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t>VENDOR SERVICE CONTRACT</w:t>
      </w:r>
    </w:p>
    <w:p>
      <w:pPr>
        <w:spacing w:before="0" w:after="0"/>
      </w:pPr>
    </w:p>
    <w:p>
      <w:pPr>
        <w:spacing w:before="0" w:after="0"/>
      </w:pPr>
      <w:r>
        <w:t>Contract Number: VSC-2024-047</w:t>
      </w:r>
    </w:p>
    <w:p>
      <w:pPr>
        <w:spacing w:before="0" w:after="0"/>
      </w:pPr>
      <w:r>
        <w:t>Effective Date: March 1, 2024</w:t>
      </w:r>
    </w:p>
    <w:p>
      <w:pPr>
        <w:spacing w:before="0" w:after="0"/>
      </w:pPr>
    </w:p>
    <w:p>
      <w:pPr>
        <w:spacing w:before="0" w:after="0"/>
      </w:pPr>
      <w:r>
        <w:t>PARTIES:</w:t>
      </w:r>
    </w:p>
    <w:p>
      <w:pPr>
        <w:spacing w:before="0" w:after="0"/>
      </w:pPr>
      <w:r>
        <w:t>Vendor: DataFlow Solutions LLC ("Vendor")</w:t>
      </w:r>
    </w:p>
    <w:p>
      <w:pPr>
        <w:spacing w:before="0" w:after="0"/>
      </w:pPr>
      <w:r>
        <w:t>789 Technology Boulevard</w:t>
      </w:r>
    </w:p>
    <w:p>
      <w:pPr>
        <w:spacing w:before="0" w:after="0"/>
      </w:pPr>
      <w:r>
        <w:t>Austin, TX 78701</w:t>
      </w:r>
    </w:p>
    <w:p>
      <w:pPr>
        <w:spacing w:before="0" w:after="0"/>
      </w:pPr>
    </w:p>
    <w:p>
      <w:pPr>
        <w:spacing w:before="0" w:after="0"/>
      </w:pPr>
      <w:r>
        <w:t>Client: Acme Corporation ("Client")</w:t>
      </w:r>
    </w:p>
    <w:p>
      <w:pPr>
        <w:spacing w:before="0" w:after="0"/>
      </w:pPr>
      <w:r>
        <w:t>456 Business Park Avenue</w:t>
      </w:r>
    </w:p>
    <w:p>
      <w:pPr>
        <w:spacing w:before="0" w:after="0"/>
      </w:pPr>
      <w:r>
        <w:t>New York, NY 10001</w:t>
      </w:r>
    </w:p>
    <w:p>
      <w:pPr>
        <w:spacing w:before="0" w:after="0"/>
      </w:pPr>
    </w:p>
    <w:p>
      <w:pPr>
        <w:spacing w:before="0" w:after="0"/>
      </w:pPr>
      <w:r>
        <w:t>1. SERVICES</w:t>
      </w:r>
    </w:p>
    <w:p>
      <w:pPr>
        <w:spacing w:before="0" w:after="0"/>
      </w:pPr>
      <w:r>
        <w:t>The Vendor shall provide:</w:t>
      </w:r>
    </w:p>
    <w:p>
      <w:pPr>
        <w:spacing w:before="0" w:after="0"/>
      </w:pPr>
      <w:r>
        <w:t>- Real-time data pipeline management</w:t>
      </w:r>
    </w:p>
    <w:p>
      <w:pPr>
        <w:spacing w:before="0" w:after="0"/>
      </w:pPr>
      <w:r>
        <w:t>- ETL (Extract, Transform, Load) services</w:t>
      </w:r>
    </w:p>
    <w:p>
      <w:pPr>
        <w:spacing w:before="0" w:after="0"/>
      </w:pPr>
      <w:r>
        <w:t>- Data warehouse optimization</w:t>
      </w:r>
    </w:p>
    <w:p>
      <w:pPr>
        <w:spacing w:before="0" w:after="0"/>
      </w:pPr>
      <w:r>
        <w:t>- Monthly performance reports</w:t>
      </w:r>
    </w:p>
    <w:p>
      <w:pPr>
        <w:spacing w:before="0" w:after="0"/>
      </w:pPr>
    </w:p>
    <w:p>
      <w:pPr>
        <w:spacing w:before="0" w:after="0"/>
      </w:pPr>
      <w:r>
        <w:t>2. PRICING</w:t>
      </w:r>
    </w:p>
    <w:p>
      <w:pPr>
        <w:spacing w:before="0" w:after="0"/>
      </w:pPr>
      <w:r>
        <w:t>2.1 Base monthly fee: $15,000</w:t>
      </w:r>
    </w:p>
    <w:p>
      <w:pPr>
        <w:spacing w:before="0" w:after="0"/>
      </w:pPr>
      <w:r>
        <w:t>2.2 Data processing overage rate: $0.05 per GB beyond 10TB monthly threshold</w:t>
      </w:r>
    </w:p>
    <w:p>
      <w:pPr>
        <w:spacing w:before="0" w:after="0"/>
      </w:pPr>
      <w:r>
        <w:t>2.3 Emergency support: $250/hour (minimum 2-hour engagement)</w:t>
      </w:r>
    </w:p>
    <w:p>
      <w:pPr>
        <w:spacing w:before="0" w:after="0"/>
      </w:pPr>
    </w:p>
    <w:p>
      <w:pPr>
        <w:spacing w:before="0" w:after="0"/>
      </w:pPr>
      <w:r>
        <w:t>3. TERM</w:t>
      </w:r>
    </w:p>
    <w:p>
      <w:pPr>
        <w:spacing w:before="0" w:after="0"/>
      </w:pPr>
      <w:r>
        <w:t>This contract is for a period of twelve (12) months, commencing March 1, 2024, and ending February 28, 2025.</w:t>
      </w:r>
    </w:p>
    <w:p>
      <w:pPr>
        <w:spacing w:before="0" w:after="0"/>
      </w:pPr>
    </w:p>
    <w:p>
      <w:pPr>
        <w:spacing w:before="0" w:after="0"/>
      </w:pPr>
      <w:r>
        <w:t>4. PAYMENT TERMS</w:t>
      </w:r>
    </w:p>
    <w:p>
      <w:pPr>
        <w:spacing w:before="0" w:after="0"/>
      </w:pPr>
      <w:r>
        <w:t>4.1 Invoices issued on the 1st of each month</w:t>
      </w:r>
    </w:p>
    <w:p>
      <w:pPr>
        <w:spacing w:before="0" w:after="0"/>
      </w:pPr>
      <w:r>
        <w:t>4.2 Payment due within 30 days of invoice date</w:t>
      </w:r>
    </w:p>
    <w:p>
      <w:pPr>
        <w:spacing w:before="0" w:after="0"/>
      </w:pPr>
      <w:r>
        <w:t>4.3 Late payments shall incur a 1.5% monthly interest charge</w:t>
      </w:r>
    </w:p>
    <w:p>
      <w:pPr>
        <w:spacing w:before="0" w:after="0"/>
      </w:pPr>
    </w:p>
    <w:p>
      <w:pPr>
        <w:spacing w:before="0" w:after="0"/>
      </w:pPr>
      <w:r>
        <w:t>5. DATA SECURITY</w:t>
      </w:r>
    </w:p>
    <w:p>
      <w:pPr>
        <w:spacing w:before="0" w:after="0"/>
      </w:pPr>
      <w:r>
        <w:t>5.1 The Vendor shall comply with SOC 2 Type II requirements</w:t>
      </w:r>
    </w:p>
    <w:p>
      <w:pPr>
        <w:spacing w:before="0" w:after="0"/>
      </w:pPr>
      <w:r>
        <w:t>5.2 All data shall be encrypted in transit (TLS 1.3) and at rest (AES-256)</w:t>
      </w:r>
    </w:p>
    <w:p>
      <w:pPr>
        <w:spacing w:before="0" w:after="0"/>
      </w:pPr>
      <w:r>
        <w:t>5.3 The Vendor shall notify the Client of any security breach within 24 hours</w:t>
      </w:r>
    </w:p>
    <w:p>
      <w:pPr>
        <w:spacing w:before="0" w:after="0"/>
      </w:pPr>
    </w:p>
    <w:p>
      <w:pPr>
        <w:spacing w:before="0" w:after="0"/>
      </w:pPr>
      <w:r>
        <w:t>6. PERFORMANCE METRICS</w:t>
      </w:r>
    </w:p>
    <w:p>
      <w:pPr>
        <w:spacing w:before="0" w:after="0"/>
      </w:pPr>
      <w:r>
        <w:t>6.1 Data pipeline uptime: 99.95%</w:t>
      </w:r>
    </w:p>
    <w:p>
      <w:pPr>
        <w:spacing w:before="0" w:after="0"/>
      </w:pPr>
      <w:r>
        <w:t>6.2 Average query response time: &lt; 500ms</w:t>
      </w:r>
    </w:p>
    <w:p>
      <w:pPr>
        <w:spacing w:before="0" w:after="0"/>
      </w:pPr>
      <w:r>
        <w:t>6.3 Data freshness: Real-time (&lt; 5 minute lag)</w:t>
      </w:r>
    </w:p>
    <w:p>
      <w:pPr>
        <w:spacing w:before="0" w:after="0"/>
      </w:pPr>
    </w:p>
    <w:p>
      <w:pPr>
        <w:spacing w:before="0" w:after="0"/>
      </w:pPr>
      <w:r>
        <w:t>7. TERMINATION</w:t>
      </w:r>
    </w:p>
    <w:p>
      <w:pPr>
        <w:spacing w:before="0" w:after="0"/>
      </w:pPr>
      <w:r>
        <w:t>Either party may terminate with 60 days written notice. Immediate termination permitted for material breach uncured within 15 days.</w:t>
      </w:r>
    </w:p>
    <w:p>
      <w:pPr>
        <w:spacing w:before="0" w:after="0"/>
      </w:pPr>
    </w:p>
    <w:p>
      <w:pPr>
        <w:spacing w:before="0" w:after="0"/>
      </w:pPr>
      <w:r>
        <w:t>Signed:</w:t>
      </w:r>
    </w:p>
    <w:p>
      <w:pPr>
        <w:spacing w:before="0" w:after="0"/>
      </w:pPr>
    </w:p>
    <w:p>
      <w:pPr>
        <w:spacing w:before="0" w:after="0"/>
      </w:pPr>
      <w:r>
        <w:t>_________________________</w:t>
      </w:r>
    </w:p>
    <w:p>
      <w:pPr>
        <w:spacing w:before="0" w:after="0"/>
      </w:pPr>
      <w:r>
        <w:t>Mark Rodriguez</w:t>
      </w:r>
    </w:p>
    <w:p>
      <w:pPr>
        <w:spacing w:before="0" w:after="0"/>
      </w:pPr>
      <w:r>
        <w:t>COO, DataFlow Solutions LLC</w:t>
      </w:r>
    </w:p>
    <w:p>
      <w:pPr>
        <w:spacing w:before="0" w:after="0"/>
      </w:pPr>
    </w:p>
    <w:p>
      <w:pPr>
        <w:spacing w:before="0" w:after="0"/>
      </w:pPr>
      <w:r>
        <w:t>_________________________</w:t>
      </w:r>
    </w:p>
    <w:p>
      <w:pPr>
        <w:spacing w:before="0" w:after="0"/>
      </w:pPr>
      <w:r>
        <w:t>Sarah Chen</w:t>
      </w:r>
    </w:p>
    <w:p>
      <w:pPr>
        <w:spacing w:before="0" w:after="0"/>
      </w:pPr>
      <w:r>
        <w:t>VP Operations, Acme Corporation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