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Acme Corporation</w:t>
      </w:r>
    </w:p>
    <w:p>
      <w:pPr>
        <w:spacing w:before="0" w:after="0"/>
      </w:pPr>
      <w:r>
        <w:t>456 Business Park Avenue</w:t>
      </w:r>
    </w:p>
    <w:p>
      <w:pPr>
        <w:spacing w:before="0" w:after="0"/>
      </w:pPr>
      <w:r>
        <w:t>New York, NY 10001</w:t>
      </w:r>
    </w:p>
    <w:p>
      <w:pPr>
        <w:spacing w:before="0" w:after="0"/>
      </w:pPr>
    </w:p>
    <w:p>
      <w:pPr>
        <w:spacing w:before="0" w:after="0"/>
      </w:pPr>
      <w:r>
        <w:t>Date: May 28, 2026</w:t>
      </w:r>
    </w:p>
    <w:p>
      <w:pPr>
        <w:spacing w:before="0" w:after="0"/>
      </w:pPr>
    </w:p>
    <w:p>
      <w:pPr>
        <w:spacing w:before="0" w:after="0"/>
      </w:pPr>
      <w:r>
        <w:t>To: Meridian Technologies Inc.</w:t>
      </w:r>
    </w:p>
    <w:p>
      <w:pPr>
        <w:spacing w:before="0" w:after="0"/>
      </w:pPr>
      <w:r>
        <w:t>123 Innovation Drive, Suite 500</w:t>
      </w:r>
    </w:p>
    <w:p>
      <w:pPr>
        <w:spacing w:before="0" w:after="0"/>
      </w:pPr>
      <w:r>
        <w:t>San Francisco, CA 94105</w:t>
      </w:r>
    </w:p>
    <w:p>
      <w:pPr>
        <w:spacing w:before="0" w:after="0"/>
      </w:pPr>
    </w:p>
    <w:p>
      <w:pPr>
        <w:spacing w:before="0" w:after="0"/>
      </w:pPr>
      <w:r>
        <w:t>Subject: Dispute Regarding Service Level Agreement Violations — Contract MSA-2024-001</w:t>
      </w:r>
    </w:p>
    <w:p>
      <w:pPr>
        <w:spacing w:before="0" w:after="0"/>
      </w:pPr>
    </w:p>
    <w:p>
      <w:pPr>
        <w:spacing w:before="0" w:after="0"/>
      </w:pPr>
      <w:r>
        <w:t>Dear Mr. Mitchell,</w:t>
      </w:r>
    </w:p>
    <w:p>
      <w:pPr>
        <w:spacing w:before="0" w:after="0"/>
      </w:pPr>
    </w:p>
    <w:p>
      <w:pPr>
        <w:spacing w:before="0" w:after="0"/>
      </w:pPr>
      <w:r>
        <w:t>I am writing to formally raise a dispute concerning repeated violations of the Service Level Agreement (SLA) outlined in Section 10 of our Master Services Agreement (MSA-2024-001).</w:t>
      </w:r>
    </w:p>
    <w:p>
      <w:pPr>
        <w:spacing w:before="0" w:after="0"/>
      </w:pPr>
    </w:p>
    <w:p>
      <w:pPr>
        <w:spacing w:before="0" w:after="0"/>
      </w:pPr>
      <w:r>
        <w:t>Over the past three months (March, April, and May 2026), we have documented significant deviations from the agreed-upon service levels:</w:t>
      </w:r>
    </w:p>
    <w:p>
      <w:pPr>
        <w:spacing w:before="0" w:after="0"/>
      </w:pPr>
    </w:p>
    <w:p>
      <w:pPr>
        <w:spacing w:before="0" w:after="0"/>
      </w:pPr>
      <w:r>
        <w:t>1. System Uptime: The guaranteed 99.9% uptime was not met in any of the three months:</w:t>
      </w:r>
    </w:p>
    <w:p>
      <w:pPr>
        <w:spacing w:before="0" w:after="0"/>
      </w:pPr>
      <w:r>
        <w:t xml:space="preserve">   - March 2026: 97.2% uptime (approximately 20 hours of downtime)</w:t>
      </w:r>
    </w:p>
    <w:p>
      <w:pPr>
        <w:spacing w:before="0" w:after="0"/>
      </w:pPr>
      <w:r>
        <w:t xml:space="preserve">   - April 2026: 98.1% uptime (approximately 14 hours of downtime)</w:t>
      </w:r>
    </w:p>
    <w:p>
      <w:pPr>
        <w:spacing w:before="0" w:after="0"/>
      </w:pPr>
      <w:r>
        <w:t xml:space="preserve">   - May 2026: 96.5% uptime (approximately 25 hours of downtime)</w:t>
      </w:r>
    </w:p>
    <w:p>
      <w:pPr>
        <w:spacing w:before="0" w:after="0"/>
      </w:pPr>
    </w:p>
    <w:p>
      <w:pPr>
        <w:spacing w:before="0" w:after="0"/>
      </w:pPr>
      <w:r>
        <w:t>2. Response Times: Critical issues logged on March 15, April 3, and May 12 received initial responses well beyond the 1-hour SLA:</w:t>
      </w:r>
    </w:p>
    <w:p>
      <w:pPr>
        <w:spacing w:before="0" w:after="0"/>
      </w:pPr>
      <w:r>
        <w:t xml:space="preserve">   - Ticket #CR-4521 (March 15): Response after 4 hours 22 minutes</w:t>
      </w:r>
    </w:p>
    <w:p>
      <w:pPr>
        <w:spacing w:before="0" w:after="0"/>
      </w:pPr>
      <w:r>
        <w:t xml:space="preserve">   - Ticket #CR-4589 (April 3): Response after 2 hours 45 minutes</w:t>
      </w:r>
    </w:p>
    <w:p>
      <w:pPr>
        <w:spacing w:before="0" w:after="0"/>
      </w:pPr>
      <w:r>
        <w:t xml:space="preserve">   - Ticket #CR-4672 (May 12): Response after 6 hours 10 minutes</w:t>
      </w:r>
    </w:p>
    <w:p>
      <w:pPr>
        <w:spacing w:before="0" w:after="0"/>
      </w:pPr>
    </w:p>
    <w:p>
      <w:pPr>
        <w:spacing w:before="0" w:after="0"/>
      </w:pPr>
      <w:r>
        <w:t>Per Section 10.3 of the agreement, we are entitled to service credits for each percentage point below the guaranteed uptime. Based on our calculations, the total credits owed amount to approximately $11,250.</w:t>
      </w:r>
    </w:p>
    <w:p>
      <w:pPr>
        <w:spacing w:before="0" w:after="0"/>
      </w:pPr>
    </w:p>
    <w:p>
      <w:pPr>
        <w:spacing w:before="0" w:after="0"/>
      </w:pPr>
      <w:r>
        <w:t>Furthermore, the repeated nature of these violations raises serious concerns about the Service Provider's capacity to fulfill its contractual obligations. We request the following:</w:t>
      </w:r>
    </w:p>
    <w:p>
      <w:pPr>
        <w:spacing w:before="0" w:after="0"/>
      </w:pPr>
    </w:p>
    <w:p>
      <w:pPr>
        <w:spacing w:before="0" w:after="0"/>
      </w:pPr>
      <w:r>
        <w:t>1. Immediate written acknowledgment of the SLA breaches</w:t>
      </w:r>
    </w:p>
    <w:p>
      <w:pPr>
        <w:spacing w:before="0" w:after="0"/>
      </w:pPr>
      <w:r>
        <w:t>2. A detailed root cause analysis for each incident</w:t>
      </w:r>
    </w:p>
    <w:p>
      <w:pPr>
        <w:spacing w:before="0" w:after="0"/>
      </w:pPr>
      <w:r>
        <w:t>3. A remediation plan with specific timelines</w:t>
      </w:r>
    </w:p>
    <w:p>
      <w:pPr>
        <w:spacing w:before="0" w:after="0"/>
      </w:pPr>
      <w:r>
        <w:t>4. Application of the appropriate service credits to our account</w:t>
      </w:r>
    </w:p>
    <w:p>
      <w:pPr>
        <w:spacing w:before="0" w:after="0"/>
      </w:pPr>
      <w:r>
        <w:t>5. A meeting within the next two weeks to discuss the path forward</w:t>
      </w:r>
    </w:p>
    <w:p>
      <w:pPr>
        <w:spacing w:before="0" w:after="0"/>
      </w:pPr>
    </w:p>
    <w:p>
      <w:pPr>
        <w:spacing w:before="0" w:after="0"/>
      </w:pPr>
      <w:r>
        <w:t>Please be advised that if these issues are not addressed within thirty (30) days of this letter, we will consider exercising our rights under Section 7.2 regarding material breach.</w:t>
      </w:r>
    </w:p>
    <w:p>
      <w:pPr>
        <w:spacing w:before="0" w:after="0"/>
      </w:pPr>
    </w:p>
    <w:p>
      <w:pPr>
        <w:spacing w:before="0" w:after="0"/>
      </w:pPr>
      <w:r>
        <w:t>We value our partnership and hope to resolve this matter amicably.</w:t>
      </w:r>
    </w:p>
    <w:p>
      <w:pPr>
        <w:spacing w:before="0" w:after="0"/>
      </w:pPr>
    </w:p>
    <w:p>
      <w:pPr>
        <w:spacing w:before="0" w:after="0"/>
      </w:pPr>
      <w:r>
        <w:t>Sincerely,</w:t>
      </w:r>
    </w:p>
    <w:p>
      <w:pPr>
        <w:spacing w:before="0" w:after="0"/>
      </w:pPr>
    </w:p>
    <w:p>
      <w:pPr>
        <w:spacing w:before="0" w:after="0"/>
      </w:pPr>
      <w:r>
        <w:t>Sarah Chen</w:t>
      </w:r>
    </w:p>
    <w:p>
      <w:pPr>
        <w:spacing w:before="0" w:after="0"/>
      </w:pPr>
      <w:r>
        <w:t>VP Operations</w:t>
      </w:r>
    </w:p>
    <w:p>
      <w:pPr>
        <w:spacing w:before="0" w:after="0"/>
      </w:pPr>
      <w:r>
        <w:t>Acme Corporation</w:t>
      </w:r>
    </w:p>
    <w:p>
      <w:pPr>
        <w:spacing w:before="0" w:after="0"/>
      </w:pPr>
      <w:r>
        <w:t>Email: sarah.chen@acmecorp.com</w:t>
      </w:r>
    </w:p>
    <w:p>
      <w:pPr>
        <w:spacing w:before="0" w:after="0"/>
      </w:pPr>
      <w:r>
        <w:t>Phone: (212) 555-0147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