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E3A8A"/>
          <w:sz w:val="48"/>
        </w:rPr>
        <w:t>MALE UAV Aero Piston Engine Digital Twin</w:t>
      </w:r>
    </w:p>
    <w:p>
      <w:pPr>
        <w:jc w:val="center"/>
      </w:pPr>
      <w:r>
        <w:rPr>
          <w:rFonts w:ascii="Calibri" w:hAnsi="Calibri"/>
          <w:i/>
          <w:color w:val="475569"/>
          <w:sz w:val="28"/>
        </w:rPr>
        <w:t>Production Deployment &amp; Enterprise Defense Integration Roadmap</w:t>
        <w:br/>
        <w:t>Phased Transition Matrix (MVP -&gt; Defense Standard)</w:t>
      </w:r>
    </w:p>
    <w:p>
      <w:pPr>
        <w:spacing w:after="240"/>
      </w:pPr>
    </w:p>
    <w:p>
      <w:pPr>
        <w:pStyle w:val="Heading1"/>
        <w:spacing w:before="360" w:after="120"/>
      </w:pPr>
      <w:r>
        <w:rPr>
          <w:rFonts w:ascii="Calibri" w:hAnsi="Calibri"/>
          <w:b/>
          <w:color w:val="1E3A8A"/>
          <w:sz w:val="36"/>
        </w:rPr>
        <w:t>1. Executive Summary &amp; Strategic Objectives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This roadmap defines the structured engineering transition from the current hackathon MVP baseline to a fully certified, air-gapped, defense-grade digital twin platform for MALE UAV operations in accordance with DRDO and Indian Armed Forces operational standards.</w:t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1E3A8A"/>
          <w:sz w:val="36"/>
        </w:rPr>
        <w:t>2. Phased Deployment Timeline &amp; Milestone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8A"/>
          </w:tcPr>
          <w:p>
            <w:r>
              <w:rPr>
                <w:b/>
                <w:color w:val="FFFFFF"/>
              </w:rPr>
              <w:t>Phase &amp; Timeline</w:t>
            </w:r>
          </w:p>
        </w:tc>
        <w:tc>
          <w:tcPr>
            <w:tcW w:type="dxa" w:w="2340"/>
            <w:shd w:fill="1E3A8A"/>
          </w:tcPr>
          <w:p>
            <w:r>
              <w:rPr>
                <w:b/>
                <w:color w:val="FFFFFF"/>
              </w:rPr>
              <w:t>Key Milestones</w:t>
            </w:r>
          </w:p>
        </w:tc>
        <w:tc>
          <w:tcPr>
            <w:tcW w:type="dxa" w:w="2340"/>
            <w:shd w:fill="1E3A8A"/>
          </w:tcPr>
          <w:p>
            <w:r>
              <w:rPr>
                <w:b/>
                <w:color w:val="FFFFFF"/>
              </w:rPr>
              <w:t>Core Deliverables</w:t>
            </w:r>
          </w:p>
        </w:tc>
        <w:tc>
          <w:tcPr>
            <w:tcW w:type="dxa" w:w="2340"/>
            <w:shd w:fill="1E3A8A"/>
          </w:tcPr>
          <w:p>
            <w:r>
              <w:rPr>
                <w:b/>
                <w:color w:val="FFFFFF"/>
              </w:rPr>
              <w:t>Target Environment</w:t>
            </w:r>
          </w:p>
        </w:tc>
      </w:tr>
      <w:tr>
        <w:tc>
          <w:tcPr>
            <w:tcW w:type="dxa" w:w="2340"/>
            <w:shd w:fill="F8FAFC"/>
          </w:tcPr>
          <w:p>
            <w:r>
              <w:rPr>
                <w:color w:val="1E293B"/>
                <w:sz w:val="19"/>
              </w:rPr>
              <w:t>Phase 1: MVP Baseline (Current / Complete)</w:t>
            </w:r>
          </w:p>
        </w:tc>
        <w:tc>
          <w:tcPr>
            <w:tcW w:type="dxa" w:w="2340"/>
            <w:shd w:fill="F8FAFC"/>
          </w:tcPr>
          <w:p>
            <w:r>
              <w:rPr>
                <w:color w:val="1E293B"/>
                <w:sz w:val="19"/>
              </w:rPr>
              <w:t>5 microservices operational, MongoDB Atlas logging, SHA-256 model hashes, CAN XOR checksums, Scenario Simulator.</w:t>
            </w:r>
          </w:p>
        </w:tc>
        <w:tc>
          <w:tcPr>
            <w:tcW w:type="dxa" w:w="2340"/>
            <w:shd w:fill="F8FAFC"/>
          </w:tcPr>
          <w:p>
            <w:r>
              <w:rPr>
                <w:color w:val="1E293B"/>
                <w:sz w:val="19"/>
              </w:rPr>
              <w:t>Local multi-service launcher, FastAPI Swagger docs, 11-test verification script.</w:t>
            </w:r>
          </w:p>
        </w:tc>
        <w:tc>
          <w:tcPr>
            <w:tcW w:type="dxa" w:w="2340"/>
            <w:shd w:fill="F8FAFC"/>
          </w:tcPr>
          <w:p>
            <w:r>
              <w:rPr>
                <w:color w:val="1E293B"/>
                <w:sz w:val="19"/>
              </w:rPr>
              <w:t>Local Dev / Demo Sandbox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color w:val="1E293B"/>
                <w:sz w:val="19"/>
              </w:rPr>
              <w:t>Phase 2: Short-Term (0 - 3 Months)</w:t>
            </w:r>
          </w:p>
        </w:tc>
        <w:tc>
          <w:tcPr>
            <w:tcW w:type="dxa" w:w="2340"/>
            <w:shd w:fill="FFFFFF"/>
          </w:tcPr>
          <w:p>
            <w:r>
              <w:rPr>
                <w:color w:val="1E293B"/>
                <w:sz w:val="19"/>
              </w:rPr>
              <w:t>Dockerization, Kubernetes Helm charts, OAuth2 / JWT Role-Based Access Control (RBAC).</w:t>
            </w:r>
          </w:p>
        </w:tc>
        <w:tc>
          <w:tcPr>
            <w:tcW w:type="dxa" w:w="2340"/>
            <w:shd w:fill="FFFFFF"/>
          </w:tcPr>
          <w:p>
            <w:r>
              <w:rPr>
                <w:color w:val="1E293B"/>
                <w:sz w:val="19"/>
              </w:rPr>
              <w:t>Docker Compose configuration, CI/CD pipeline via GitHub Actions, Prometheus + Grafana dashboards.</w:t>
            </w:r>
          </w:p>
        </w:tc>
        <w:tc>
          <w:tcPr>
            <w:tcW w:type="dxa" w:w="2340"/>
            <w:shd w:fill="FFFFFF"/>
          </w:tcPr>
          <w:p>
            <w:r>
              <w:rPr>
                <w:color w:val="1E293B"/>
                <w:sz w:val="19"/>
              </w:rPr>
              <w:t>Staging / Cloud Testbed</w:t>
            </w:r>
          </w:p>
        </w:tc>
      </w:tr>
      <w:tr>
        <w:tc>
          <w:tcPr>
            <w:tcW w:type="dxa" w:w="2340"/>
            <w:shd w:fill="F8FAFC"/>
          </w:tcPr>
          <w:p>
            <w:r>
              <w:rPr>
                <w:color w:val="1E293B"/>
                <w:sz w:val="19"/>
              </w:rPr>
              <w:t>Phase 3: Medium-Term (3 - 9 Months)</w:t>
            </w:r>
          </w:p>
        </w:tc>
        <w:tc>
          <w:tcPr>
            <w:tcW w:type="dxa" w:w="2340"/>
            <w:shd w:fill="F8FAFC"/>
          </w:tcPr>
          <w:p>
            <w:r>
              <w:rPr>
                <w:color w:val="1E293B"/>
                <w:sz w:val="19"/>
              </w:rPr>
              <w:t>Hardware-in-the-Loop (HIL) SocketCAN integration, AUTOSAR SecOC implementation, mTLS.</w:t>
            </w:r>
          </w:p>
        </w:tc>
        <w:tc>
          <w:tcPr>
            <w:tcW w:type="dxa" w:w="2340"/>
            <w:shd w:fill="F8FAFC"/>
          </w:tcPr>
          <w:p>
            <w:r>
              <w:rPr>
                <w:color w:val="1E293B"/>
                <w:sz w:val="19"/>
              </w:rPr>
              <w:t>Peak-CAN hardware interface drivers, mTLS client certs, air-gapped local MongoDB Enterprise cluster.</w:t>
            </w:r>
          </w:p>
        </w:tc>
        <w:tc>
          <w:tcPr>
            <w:tcW w:type="dxa" w:w="2340"/>
            <w:shd w:fill="F8FAFC"/>
          </w:tcPr>
          <w:p>
            <w:r>
              <w:rPr>
                <w:color w:val="1E293B"/>
                <w:sz w:val="19"/>
              </w:rPr>
              <w:t>Ground Test Rig / HIL Lab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color w:val="1E293B"/>
                <w:sz w:val="19"/>
              </w:rPr>
              <w:t>Phase 4: Defense Production (9 - 18 Months)</w:t>
            </w:r>
          </w:p>
        </w:tc>
        <w:tc>
          <w:tcPr>
            <w:tcW w:type="dxa" w:w="2340"/>
            <w:shd w:fill="FFFFFF"/>
          </w:tcPr>
          <w:p>
            <w:r>
              <w:rPr>
                <w:color w:val="1E293B"/>
                <w:sz w:val="19"/>
              </w:rPr>
              <w:t>Hardware Security Module (HSM / TPM 2.0) keys, Edge AI quantization (TensorRT), MIL-STD-810H cert.</w:t>
            </w:r>
          </w:p>
        </w:tc>
        <w:tc>
          <w:tcPr>
            <w:tcW w:type="dxa" w:w="2340"/>
            <w:shd w:fill="FFFFFF"/>
          </w:tcPr>
          <w:p>
            <w:r>
              <w:rPr>
                <w:color w:val="1E293B"/>
                <w:sz w:val="19"/>
              </w:rPr>
              <w:t>Airborne flight computer binary, Deep Learning Bus IDS, DRDO defense certification compliance.</w:t>
            </w:r>
          </w:p>
        </w:tc>
        <w:tc>
          <w:tcPr>
            <w:tcW w:type="dxa" w:w="2340"/>
            <w:shd w:fill="FFFFFF"/>
          </w:tcPr>
          <w:p>
            <w:r>
              <w:rPr>
                <w:color w:val="1E293B"/>
                <w:sz w:val="19"/>
              </w:rPr>
              <w:t>Operational UAV GCS &amp; Flight Unit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