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Nemocnice Benešov · Interní ambulance</w:t>
      </w:r>
    </w:p>
    <w:p>
      <w:pPr>
        <w:pStyle w:val="Heading1"/>
      </w:pPr>
      <w:r>
        <w:t>Ambulantní zpráva</w:t>
      </w:r>
    </w:p>
    <w:p>
      <w:r>
        <w:t>Pacient: Josef Novák, nar. 5. 1. 1966, RČ 660105/••••, pojišťovna 111</w:t>
      </w:r>
    </w:p>
    <w:p>
      <w:r>
        <w:t>Datum vyšetření: 6. 1. 2026</w:t>
      </w:r>
    </w:p>
    <w:p>
      <w:r>
        <w:t>Odesílající: MUDr. Jana Dvořáková, praktický lékař, Benešov</w:t>
      </w:r>
    </w:p>
    <w:p>
      <w:pPr>
        <w:pStyle w:val="Heading2"/>
      </w:pPr>
      <w:r>
        <w:t>Důvod vyšetření</w:t>
      </w:r>
    </w:p>
    <w:p>
      <w:r>
        <w:t>Nebolestivý ikterus od 5. 1. 2026, odeslán praktickým lékařem k došetření.</w:t>
      </w:r>
    </w:p>
    <w:p>
      <w:pPr>
        <w:pStyle w:val="Heading2"/>
      </w:pPr>
      <w:r>
        <w:t>Anamnéza</w:t>
      </w:r>
    </w:p>
    <w:p>
      <w:r>
        <w:t>DM 2. typu na PAD, arteriální hypertenze. Úbytek hmotnosti 4 kg za 2 měsíce, acholická stolice, tmavá moč. Nekuřák, alkohol příležitostně. RA: otec karcinom prostaty, jinak bez nádorů GIT.</w:t>
      </w:r>
    </w:p>
    <w:p>
      <w:pPr>
        <w:pStyle w:val="Heading2"/>
      </w:pPr>
      <w:r>
        <w:t>Farmakologická anamnéza</w:t>
      </w:r>
    </w:p>
    <w:p>
      <w:r>
        <w:t>Metformin 1000 mg 1-0-1, Ramipril 5 mg 1-0-0. Antikoagulancia ani antiagregancia neužívá. Alergie: penicilin.</w:t>
      </w:r>
    </w:p>
    <w:p>
      <w:pPr>
        <w:pStyle w:val="Heading2"/>
      </w:pPr>
      <w:r>
        <w:t>Objektivně</w:t>
      </w:r>
    </w:p>
    <w:p>
      <w:r>
        <w:t>Ikterus kůže a sklér, břicho měkké, nebolestivé, bez hmatné rezistence, játra nezvětšena.</w:t>
      </w:r>
    </w:p>
    <w:p>
      <w:r>
        <w:t>Celkový stav: soběstačný, chodí bez pomoci, běžné denní činnosti zvládá, těžší fyzickou práci již ne, většinu dne mimo lůžko – výkonnostní stav ECOG 1.</w:t>
      </w:r>
    </w:p>
    <w:p>
      <w:pPr>
        <w:pStyle w:val="Heading2"/>
      </w:pPr>
      <w:r>
        <w:t>Laboratoř (odběr 6. 1. 2026, OKB Nemocnice Benešov)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Vyšetření</w:t>
            </w:r>
          </w:p>
        </w:tc>
        <w:tc>
          <w:tcPr>
            <w:tcW w:type="dxa" w:w="2160"/>
          </w:tcPr>
          <w:p>
            <w:r>
              <w:t>Výsledek</w:t>
            </w:r>
          </w:p>
        </w:tc>
        <w:tc>
          <w:tcPr>
            <w:tcW w:type="dxa" w:w="2160"/>
          </w:tcPr>
          <w:p>
            <w:r>
              <w:t>Ref. meze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Bilirubin celkový</w:t>
            </w:r>
          </w:p>
        </w:tc>
        <w:tc>
          <w:tcPr>
            <w:tcW w:type="dxa" w:w="2160"/>
          </w:tcPr>
          <w:p>
            <w:r>
              <w:t>186 µmol/l</w:t>
            </w:r>
          </w:p>
        </w:tc>
        <w:tc>
          <w:tcPr>
            <w:tcW w:type="dxa" w:w="2160"/>
          </w:tcPr>
          <w:p>
            <w:r>
              <w:t>2–17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ALP</w:t>
            </w:r>
          </w:p>
        </w:tc>
        <w:tc>
          <w:tcPr>
            <w:tcW w:type="dxa" w:w="2160"/>
          </w:tcPr>
          <w:p>
            <w:r>
              <w:t>4,2 µkat/l</w:t>
            </w:r>
          </w:p>
        </w:tc>
        <w:tc>
          <w:tcPr>
            <w:tcW w:type="dxa" w:w="2160"/>
          </w:tcPr>
          <w:p>
            <w:r>
              <w:t>0,7–2,2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GMT</w:t>
            </w:r>
          </w:p>
        </w:tc>
        <w:tc>
          <w:tcPr>
            <w:tcW w:type="dxa" w:w="2160"/>
          </w:tcPr>
          <w:p>
            <w:r>
              <w:t>7,8 µkat/l</w:t>
            </w:r>
          </w:p>
        </w:tc>
        <w:tc>
          <w:tcPr>
            <w:tcW w:type="dxa" w:w="2160"/>
          </w:tcPr>
          <w:p>
            <w:r>
              <w:t>0,1–1,2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ALT / AST</w:t>
            </w:r>
          </w:p>
        </w:tc>
        <w:tc>
          <w:tcPr>
            <w:tcW w:type="dxa" w:w="2160"/>
          </w:tcPr>
          <w:p>
            <w:r>
              <w:t>3,1 / 2,4 µkat/l</w:t>
            </w:r>
          </w:p>
        </w:tc>
        <w:tc>
          <w:tcPr>
            <w:tcW w:type="dxa" w:w="2160"/>
          </w:tcPr>
          <w:p>
            <w:r>
              <w:t>do 0,8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CRP</w:t>
            </w:r>
          </w:p>
        </w:tc>
        <w:tc>
          <w:tcPr>
            <w:tcW w:type="dxa" w:w="2160"/>
          </w:tcPr>
          <w:p>
            <w:r>
              <w:t>12 mg/l</w:t>
            </w:r>
          </w:p>
        </w:tc>
        <w:tc>
          <w:tcPr>
            <w:tcW w:type="dxa" w:w="2160"/>
          </w:tcPr>
          <w:p>
            <w:r>
              <w:t>do 5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Leukocyty</w:t>
            </w:r>
          </w:p>
        </w:tc>
        <w:tc>
          <w:tcPr>
            <w:tcW w:type="dxa" w:w="2160"/>
          </w:tcPr>
          <w:p>
            <w:r>
              <w:t>7,9 × 10⁹/l</w:t>
            </w:r>
          </w:p>
        </w:tc>
        <w:tc>
          <w:tcPr>
            <w:tcW w:type="dxa" w:w="2160"/>
          </w:tcPr>
          <w:p>
            <w:r>
              <w:t>4,0–10,0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128 g/l</w:t>
            </w:r>
          </w:p>
        </w:tc>
        <w:tc>
          <w:tcPr>
            <w:tcW w:type="dxa" w:w="2160"/>
          </w:tcPr>
          <w:p>
            <w:r>
              <w:t>135–175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Trombocyty</w:t>
            </w:r>
          </w:p>
        </w:tc>
        <w:tc>
          <w:tcPr>
            <w:tcW w:type="dxa" w:w="2160"/>
          </w:tcPr>
          <w:p>
            <w:r>
              <w:t>245 × 10⁹/l</w:t>
            </w:r>
          </w:p>
        </w:tc>
        <w:tc>
          <w:tcPr>
            <w:tcW w:type="dxa" w:w="2160"/>
          </w:tcPr>
          <w:p>
            <w:r>
              <w:t>150–400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INR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0,8–1,2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aPTT</w:t>
            </w:r>
          </w:p>
        </w:tc>
        <w:tc>
          <w:tcPr>
            <w:tcW w:type="dxa" w:w="2160"/>
          </w:tcPr>
          <w:p>
            <w:r>
              <w:t>31 s</w:t>
            </w:r>
          </w:p>
        </w:tc>
        <w:tc>
          <w:tcPr>
            <w:tcW w:type="dxa" w:w="2160"/>
          </w:tcPr>
          <w:p>
            <w:r>
              <w:t>25–38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 19-9</w:t>
            </w:r>
          </w:p>
        </w:tc>
        <w:tc>
          <w:tcPr>
            <w:tcW w:type="dxa" w:w="2160"/>
          </w:tcPr>
          <w:p>
            <w:r>
              <w:t>389 kU/l</w:t>
            </w:r>
          </w:p>
        </w:tc>
        <w:tc>
          <w:tcPr>
            <w:tcW w:type="dxa" w:w="2160"/>
          </w:tcPr>
          <w:p>
            <w:r>
              <w:t>0–37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CEA</w:t>
            </w:r>
          </w:p>
        </w:tc>
        <w:tc>
          <w:tcPr>
            <w:tcW w:type="dxa" w:w="2160"/>
          </w:tcPr>
          <w:p>
            <w:r>
              <w:t>4,1 µg/l</w:t>
            </w:r>
          </w:p>
        </w:tc>
        <w:tc>
          <w:tcPr>
            <w:tcW w:type="dxa" w:w="2160"/>
          </w:tcPr>
          <w:p>
            <w:r>
              <w:t>0–5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Zobrazovací vyšetření</w:t>
      </w:r>
    </w:p>
    <w:p>
      <w:r>
        <w:t>UZ břicha 6. 1. 2026: hypoechogenní ložisko v hlavě pankreatu cca 32 mm, dilatace intra- i extrahepatálních žlučových cest.</w:t>
      </w:r>
    </w:p>
    <w:p>
      <w:r>
        <w:t>CT břicha zatím neprovedeno – doporučeno CT podle pankreatického protokolu v KOC.</w:t>
      </w:r>
    </w:p>
    <w:p>
      <w:pPr>
        <w:pStyle w:val="Heading2"/>
      </w:pPr>
      <w:r>
        <w:t>Histologie</w:t>
      </w:r>
    </w:p>
    <w:p>
      <w:r>
        <w:t>Dosud není k dispozici.</w:t>
      </w:r>
    </w:p>
    <w:p>
      <w:pPr>
        <w:pStyle w:val="Heading2"/>
      </w:pPr>
      <w:r>
        <w:t>Závěr a doporučení</w:t>
      </w:r>
    </w:p>
    <w:p>
      <w:r>
        <w:t>Obstrukční ikterus, suspektní tumor hlavy pankreatu. Doporučeno odeslání do KOC VFN Praha k CT (pankreatický protokol), ERCP s drenáží žlučových cest a EUS-FNB dle rozhodnutí KOC. Pacient poučen.</w:t>
      </w:r>
    </w:p>
    <w:p>
      <w:r>
        <w:t>MUDr. Pavel Kratochvíl, internista · 6. 1.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