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25" w:right="225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25" w:right="225" w:hanging="360"/>
      </w:pPr>
      <w:hyperlink w:anchor="gjdgxs">
        <w:r w:rsidDel="00000000" w:rsidR="00000000" w:rsidRPr="00000000">
          <w:rPr>
            <w:vertAlign w:val="baseline"/>
            <w:rtl w:val="0"/>
          </w:rPr>
          <w:t xml:space="preserve">Show All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25" w:right="225" w:hanging="360"/>
      </w:pPr>
      <w:hyperlink w:anchor="gjdgxs">
        <w:r w:rsidDel="00000000" w:rsidR="00000000" w:rsidRPr="00000000">
          <w:rPr>
            <w:vertAlign w:val="baseline"/>
            <w:rtl w:val="0"/>
          </w:rPr>
          <w:t xml:space="preserve">Hide All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25" w:right="22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25" w:right="225" w:hanging="360"/>
      </w:pPr>
      <w:hyperlink w:anchor="gjdgxs">
        <w:r w:rsidDel="00000000" w:rsidR="00000000" w:rsidRPr="00000000">
          <w:rPr>
            <w:vertAlign w:val="baseline"/>
            <w:rtl w:val="0"/>
          </w:rPr>
          <w:t xml:space="preserve">Download Rmd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225" w:right="225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>
          <w:i w:val="0"/>
          <w:color w:val="337ab7"/>
          <w:sz w:val="36"/>
          <w:szCs w:val="36"/>
        </w:rPr>
      </w:pPr>
      <w:hyperlink r:id="rId6">
        <w:r w:rsidDel="00000000" w:rsidR="00000000" w:rsidRPr="00000000">
          <w:rPr>
            <w:i w:val="0"/>
            <w:color w:val="337ab7"/>
            <w:sz w:val="36"/>
            <w:szCs w:val="36"/>
            <w:rtl w:val="0"/>
          </w:rPr>
          <w:t xml:space="preserve">Visualize a prediction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Agustin Calatroni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12/26/2020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25" w:right="5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Instead of a table-based approach, the color-based method to present the score system of Residual Tumor. The color corresponding to each predictor value corresponds to a number of points, which is indicated within each colored interval. The patient’s score is the sum of the points for all predictors. This score is converted into a risk estimate by means of the last color bar where a dark green color indicates a low risk and a light green to ecru color indicates high risk. This visualization of the model allows users to instantly gauge which predictors contribute most to a high risk estimate.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525" w:right="52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Van Belle, Vanya, and Ben Van Calster </w:t>
      </w:r>
      <w:hyperlink r:id="rId7">
        <w:r w:rsidDel="00000000" w:rsidR="00000000" w:rsidRPr="00000000">
          <w:rPr>
            <w:color w:val="337ab7"/>
            <w:sz w:val="26"/>
            <w:szCs w:val="26"/>
            <w:rtl w:val="0"/>
          </w:rPr>
          <w:t xml:space="preserve">“Visualizing risk prediction models.”</w:t>
        </w:r>
      </w:hyperlink>
      <w:r w:rsidDel="00000000" w:rsidR="00000000" w:rsidRPr="00000000">
        <w:rPr>
          <w:sz w:val="26"/>
          <w:szCs w:val="26"/>
          <w:rtl w:val="0"/>
        </w:rPr>
        <w:t xml:space="preserve"> PloS one 10.7 (2015)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42.85715103149414" w:lineRule="auto"/>
        <w:ind w:left="225" w:right="22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sz w:val="36"/>
          <w:szCs w:val="36"/>
          <w:rtl w:val="0"/>
        </w:rPr>
        <w:t xml:space="preserve">Overall</w:t>
      </w:r>
      <w:r w:rsidDel="00000000" w:rsidR="00000000" w:rsidRPr="00000000">
        <w:rPr>
          <w:rtl w:val="0"/>
        </w:rPr>
        <w:t xml:space="preserve"> Visualization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/>
        <w:drawing>
          <wp:inline distB="19050" distT="19050" distL="19050" distR="19050">
            <wp:extent cx="11430000" cy="1143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sz w:val="36"/>
          <w:szCs w:val="36"/>
          <w:rtl w:val="0"/>
        </w:rPr>
        <w:t xml:space="preserve">Individual</w:t>
      </w:r>
      <w:r w:rsidDel="00000000" w:rsidR="00000000" w:rsidRPr="00000000">
        <w:rPr>
          <w:rtl w:val="0"/>
        </w:rPr>
        <w:t xml:space="preserve"> Visualization (ID=140)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/>
        <w:drawing>
          <wp:inline distB="19050" distT="19050" distL="19050" distR="19050">
            <wp:extent cx="11430000" cy="1143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1143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i w:val="0"/>
          <w:sz w:val="36"/>
          <w:szCs w:val="36"/>
          <w:rtl w:val="0"/>
        </w:rPr>
        <w:t xml:space="preserve">Prediction Model</w:t>
      </w:r>
      <w:r w:rsidDel="00000000" w:rsidR="00000000" w:rsidRPr="00000000">
        <w:rPr>
          <w:rtl w:val="0"/>
        </w:rPr>
        <w:t xml:space="preserve"> Logistic Regression w/ Interactions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25.0" w:type="dxa"/>
        <w:tblLayout w:type="fixed"/>
        <w:tblLook w:val="0600"/>
      </w:tblPr>
      <w:tblGrid>
        <w:gridCol w:w="2227.5"/>
        <w:gridCol w:w="2227.5"/>
        <w:gridCol w:w="2227.5"/>
        <w:gridCol w:w="2227.5"/>
        <w:tblGridChange w:id="0">
          <w:tblGrid>
            <w:gridCol w:w="2227.5"/>
            <w:gridCol w:w="2227.5"/>
            <w:gridCol w:w="2227.5"/>
            <w:gridCol w:w="2227.5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OR</w:t>
            </w:r>
            <w:r w:rsidDel="00000000" w:rsidR="00000000" w:rsidRPr="00000000">
              <w:rPr>
                <w:sz w:val="14"/>
                <w:szCs w:val="1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95% CI</w:t>
            </w:r>
            <w:r w:rsidDel="00000000" w:rsidR="00000000" w:rsidRPr="00000000">
              <w:rPr>
                <w:sz w:val="14"/>
                <w:szCs w:val="14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p-value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225" w:right="2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1.01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0.97, 1.06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Tumor_Size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1.04, 1.08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&lt;0.001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Histology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Invasive-duct./ductal-lob.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2.16, 5.46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&lt;0.001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Multifocality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0.95, 2.85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0.071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Accomp_in_situ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DCIS &amp; LCIS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0.59, 7.30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Lymphovascular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0.34, 82.7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 * Lymphovascular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 *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0.91, 1.00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Accomp_in_situ * Lymphovascular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DCIS &amp; LCIS *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0.73, 11.3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2.85715103149414" w:lineRule="auto"/>
              <w:ind w:left="225" w:right="2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gridSpan w:val="4"/>
            <w:tcBorders>
              <w:top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sz w:val="10"/>
                <w:szCs w:val="1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14"/>
                <w:szCs w:val="1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OR = Odds Ratio, CI = Confidence Interval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/>
      </w:pPr>
      <w:r w:rsidDel="00000000" w:rsidR="00000000" w:rsidRPr="00000000">
        <w:rPr>
          <w:rtl w:val="0"/>
        </w:rPr>
        <w:t xml:space="preserve">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VIS-SIG/Wonderful-Wednesdays/tree/master/data/2020/2020-12-09" TargetMode="External"/><Relationship Id="rId7" Type="http://schemas.openxmlformats.org/officeDocument/2006/relationships/hyperlink" Target="https://journals.plos.org/plosone/article?id=10.1371/journal.pone.0132614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