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DE424A">
      <w:pPr>
        <w:spacing w:before="120" w:after="40"/>
        <w:jc w:val="center"/>
        <w:rPr>
          <w:rFonts w:ascii="Arial" w:hAnsi="Arial" w:eastAsia="Arial" w:cs="Arial"/>
          <w:b/>
          <w:bCs/>
          <w:color w:val="auto"/>
          <w:sz w:val="30"/>
          <w:szCs w:val="30"/>
        </w:rPr>
      </w:pPr>
      <w:r>
        <w:rPr>
          <w:rFonts w:ascii="Arial" w:hAnsi="Arial" w:eastAsia="Arial" w:cs="Arial"/>
          <w:b/>
          <w:bCs/>
          <w:color w:val="auto"/>
          <w:sz w:val="30"/>
          <w:szCs w:val="30"/>
        </w:rPr>
        <w:t>NETAJI SUBHAS UNIVERSITY OF TECHNOLOGY</w:t>
      </w:r>
    </w:p>
    <w:p w14:paraId="239BEA09">
      <w:pPr>
        <w:spacing w:before="120" w:after="40"/>
        <w:jc w:val="center"/>
        <w:rPr>
          <w:rFonts w:hint="default" w:ascii="Arial" w:hAnsi="Arial" w:eastAsia="Arial" w:cs="Arial"/>
          <w:b/>
          <w:bCs/>
          <w:color w:val="auto"/>
          <w:sz w:val="22"/>
          <w:szCs w:val="22"/>
          <w:lang w:val="en-US"/>
        </w:rPr>
      </w:pPr>
      <w:r>
        <w:rPr>
          <w:rFonts w:ascii="Arial" w:hAnsi="Arial" w:eastAsia="Arial" w:cs="Arial"/>
          <w:b/>
          <w:bCs/>
          <w:color w:val="auto"/>
          <w:sz w:val="22"/>
          <w:szCs w:val="22"/>
        </w:rPr>
        <w:t>DEPARTMENT OF</w:t>
      </w:r>
      <w:r>
        <w:rPr>
          <w:rFonts w:hint="default" w:cs="Arial"/>
          <w:b/>
          <w:bCs/>
          <w:color w:val="auto"/>
          <w:sz w:val="22"/>
          <w:szCs w:val="22"/>
          <w:lang w:val="en-US"/>
        </w:rPr>
        <w:t xml:space="preserve"> COMPUTER SCIENCE AND ENGINEERING</w:t>
      </w:r>
    </w:p>
    <w:p w14:paraId="70FB4734">
      <w:pPr>
        <w:spacing w:after="200"/>
        <w:jc w:val="center"/>
        <w:rPr>
          <w:color w:val="auto"/>
          <w:sz w:val="22"/>
          <w:szCs w:val="22"/>
        </w:rPr>
      </w:pPr>
      <w:r>
        <w:rPr>
          <w:rFonts w:ascii="Arial" w:hAnsi="Arial" w:eastAsia="Arial" w:cs="Arial"/>
          <w:b/>
          <w:bCs/>
          <w:color w:val="auto"/>
          <w:sz w:val="22"/>
          <w:szCs w:val="22"/>
        </w:rPr>
        <w:t>B.TECH. PROJECT REPORT</w:t>
      </w:r>
    </w:p>
    <w:p w14:paraId="4E26E53F">
      <w:pPr>
        <w:pBdr>
          <w:top w:val="single" w:color="E2E8F0" w:sz="4" w:space="8"/>
          <w:bottom w:val="single" w:color="E2E8F0" w:sz="4" w:space="8"/>
        </w:pBdr>
        <w:spacing w:before="300" w:after="300"/>
        <w:jc w:val="center"/>
        <w:rPr>
          <w:color w:val="auto"/>
        </w:rPr>
      </w:pPr>
      <w:r>
        <w:rPr>
          <w:rFonts w:ascii="Arial" w:hAnsi="Arial" w:eastAsia="Arial" w:cs="Arial"/>
          <w:b/>
          <w:bCs/>
          <w:color w:val="auto"/>
          <w:sz w:val="34"/>
          <w:szCs w:val="34"/>
        </w:rPr>
        <w:t>A 2.5D CNN–Transformer Framework with Attention, Progressive Pruning, and Nodule Feature Diversity Regularization for Lung Nodule Detection</w:t>
      </w:r>
    </w:p>
    <w:p w14:paraId="14BEF519">
      <w:pPr>
        <w:spacing w:before="200" w:after="100"/>
        <w:jc w:val="center"/>
        <w:rPr>
          <w:rFonts w:ascii="Arial" w:hAnsi="Arial" w:eastAsia="Arial" w:cs="Arial"/>
          <w:i/>
          <w:iCs/>
          <w:color w:val="auto"/>
          <w:sz w:val="20"/>
          <w:szCs w:val="20"/>
        </w:rPr>
      </w:pPr>
      <w:r>
        <w:rPr>
          <w:color w:val="auto"/>
        </w:rPr>
        <w:drawing>
          <wp:inline distT="0" distB="0" distL="0" distR="0">
            <wp:extent cx="2342515" cy="2342515"/>
            <wp:effectExtent l="0" t="0" r="19685" b="196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2342515" cy="2342515"/>
                    </a:xfrm>
                    <a:prstGeom prst="rect">
                      <a:avLst/>
                    </a:prstGeom>
                  </pic:spPr>
                </pic:pic>
              </a:graphicData>
            </a:graphic>
          </wp:inline>
        </w:drawing>
      </w:r>
    </w:p>
    <w:p w14:paraId="274B0F7B">
      <w:pPr>
        <w:spacing w:before="200" w:after="100"/>
        <w:jc w:val="center"/>
        <w:rPr>
          <w:color w:val="auto"/>
        </w:rPr>
      </w:pPr>
      <w:r>
        <w:rPr>
          <w:rFonts w:ascii="Arial" w:hAnsi="Arial" w:eastAsia="Arial" w:cs="Arial"/>
          <w:i/>
          <w:iCs/>
          <w:color w:val="auto"/>
          <w:sz w:val="20"/>
          <w:szCs w:val="20"/>
        </w:rPr>
        <w:t>A project report submitted in partial fulfilment of the requirements for the award of the degree of</w:t>
      </w:r>
    </w:p>
    <w:p w14:paraId="5700660D">
      <w:pPr>
        <w:spacing w:after="600"/>
        <w:jc w:val="center"/>
        <w:rPr>
          <w:color w:val="auto"/>
        </w:rPr>
      </w:pPr>
      <w:r>
        <w:rPr>
          <w:rFonts w:ascii="Arial" w:hAnsi="Arial" w:eastAsia="Arial" w:cs="Arial"/>
          <w:b/>
          <w:bCs/>
          <w:color w:val="auto"/>
          <w:sz w:val="22"/>
          <w:szCs w:val="22"/>
        </w:rPr>
        <w:t>BACHELOR OF TECHNOLOGY</w:t>
      </w:r>
    </w:p>
    <w:tbl>
      <w:tblPr>
        <w:tblStyle w:val="9"/>
        <w:tblW w:w="8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000"/>
        <w:gridCol w:w="4000"/>
      </w:tblGrid>
      <w:tr w14:paraId="59087BEC">
        <w:trPr>
          <w:jc w:val="center"/>
        </w:trPr>
        <w:tc>
          <w:tcPr>
            <w:tcW w:w="4000" w:type="dxa"/>
            <w:tcMar>
              <w:top w:w="80" w:type="dxa"/>
              <w:left w:w="100" w:type="dxa"/>
              <w:bottom w:w="80" w:type="dxa"/>
              <w:right w:w="100" w:type="dxa"/>
            </w:tcMar>
            <w:vAlign w:val="center"/>
          </w:tcPr>
          <w:p w14:paraId="75AF5D62">
            <w:pPr>
              <w:jc w:val="left"/>
              <w:rPr>
                <w:color w:val="auto"/>
              </w:rPr>
            </w:pPr>
            <w:r>
              <w:rPr>
                <w:rFonts w:ascii="Arial" w:hAnsi="Arial" w:eastAsia="Arial" w:cs="Arial"/>
                <w:b/>
                <w:bCs/>
                <w:color w:val="auto"/>
                <w:sz w:val="21"/>
                <w:szCs w:val="21"/>
              </w:rPr>
              <w:t>Submitted by:</w:t>
            </w:r>
          </w:p>
        </w:tc>
        <w:tc>
          <w:tcPr>
            <w:tcW w:w="4000" w:type="dxa"/>
            <w:tcMar>
              <w:top w:w="80" w:type="dxa"/>
              <w:left w:w="100" w:type="dxa"/>
              <w:bottom w:w="80" w:type="dxa"/>
              <w:right w:w="100" w:type="dxa"/>
            </w:tcMar>
            <w:vAlign w:val="center"/>
          </w:tcPr>
          <w:p w14:paraId="0322C1D6">
            <w:pPr>
              <w:jc w:val="right"/>
              <w:rPr>
                <w:color w:val="auto"/>
              </w:rPr>
            </w:pPr>
            <w:r>
              <w:rPr>
                <w:rFonts w:ascii="Arial" w:hAnsi="Arial" w:eastAsia="Arial" w:cs="Arial"/>
                <w:b/>
                <w:bCs/>
                <w:color w:val="auto"/>
                <w:sz w:val="21"/>
                <w:szCs w:val="21"/>
              </w:rPr>
              <w:t>Under the supervision of:</w:t>
            </w:r>
          </w:p>
        </w:tc>
      </w:tr>
      <w:tr w14:paraId="3EB47342">
        <w:trPr>
          <w:jc w:val="center"/>
        </w:trPr>
        <w:tc>
          <w:tcPr>
            <w:tcW w:w="4000" w:type="dxa"/>
            <w:tcMar>
              <w:top w:w="80" w:type="dxa"/>
              <w:left w:w="100" w:type="dxa"/>
              <w:bottom w:w="80" w:type="dxa"/>
              <w:right w:w="100" w:type="dxa"/>
            </w:tcMar>
            <w:vAlign w:val="center"/>
          </w:tcPr>
          <w:p w14:paraId="0EFB3437">
            <w:pPr>
              <w:jc w:val="left"/>
              <w:rPr>
                <w:rFonts w:hint="default" w:cs="Arial"/>
                <w:b w:val="0"/>
                <w:bCs w:val="0"/>
                <w:color w:val="auto"/>
                <w:sz w:val="21"/>
                <w:szCs w:val="21"/>
                <w:lang w:val="en-US"/>
              </w:rPr>
            </w:pPr>
            <w:r>
              <w:rPr>
                <w:rFonts w:hint="default" w:cs="Arial"/>
                <w:b w:val="0"/>
                <w:bCs w:val="0"/>
                <w:color w:val="auto"/>
                <w:sz w:val="21"/>
                <w:szCs w:val="21"/>
                <w:lang w:val="en-US"/>
              </w:rPr>
              <w:t>Vishal Kumar - 2023UCA1854</w:t>
            </w:r>
          </w:p>
          <w:p w14:paraId="7223751F">
            <w:pPr>
              <w:jc w:val="left"/>
              <w:rPr>
                <w:rFonts w:hint="default" w:cs="Arial"/>
                <w:b w:val="0"/>
                <w:bCs w:val="0"/>
                <w:color w:val="auto"/>
                <w:sz w:val="21"/>
                <w:szCs w:val="21"/>
                <w:lang w:val="en-US"/>
              </w:rPr>
            </w:pPr>
            <w:r>
              <w:rPr>
                <w:rFonts w:hint="default" w:cs="Arial"/>
                <w:b w:val="0"/>
                <w:bCs w:val="0"/>
                <w:color w:val="auto"/>
                <w:sz w:val="21"/>
                <w:szCs w:val="21"/>
                <w:lang w:val="en-US"/>
              </w:rPr>
              <w:t>Rydham Bansal - 2023UCS1599</w:t>
            </w:r>
          </w:p>
          <w:p w14:paraId="3D6A96C2">
            <w:pPr>
              <w:jc w:val="left"/>
              <w:rPr>
                <w:rFonts w:hint="default" w:cs="Arial"/>
                <w:b w:val="0"/>
                <w:bCs w:val="0"/>
                <w:color w:val="auto"/>
                <w:sz w:val="21"/>
                <w:szCs w:val="21"/>
                <w:lang w:val="en-US"/>
              </w:rPr>
            </w:pPr>
            <w:r>
              <w:rPr>
                <w:rFonts w:hint="default" w:cs="Arial"/>
                <w:b w:val="0"/>
                <w:bCs w:val="0"/>
                <w:color w:val="auto"/>
                <w:sz w:val="21"/>
                <w:szCs w:val="21"/>
                <w:lang w:val="en-US"/>
              </w:rPr>
              <w:t>Kushagra Sabharwal - 2023UCA1851</w:t>
            </w:r>
          </w:p>
        </w:tc>
        <w:tc>
          <w:tcPr>
            <w:tcW w:w="4000" w:type="dxa"/>
            <w:tcMar>
              <w:top w:w="80" w:type="dxa"/>
              <w:left w:w="100" w:type="dxa"/>
              <w:bottom w:w="80" w:type="dxa"/>
              <w:right w:w="100" w:type="dxa"/>
            </w:tcMar>
            <w:vAlign w:val="center"/>
          </w:tcPr>
          <w:p w14:paraId="448A64E6">
            <w:pPr>
              <w:jc w:val="right"/>
              <w:rPr>
                <w:rFonts w:hint="default" w:cs="Arial"/>
                <w:b w:val="0"/>
                <w:bCs w:val="0"/>
                <w:color w:val="auto"/>
                <w:sz w:val="21"/>
                <w:szCs w:val="21"/>
                <w:lang w:val="en-US"/>
              </w:rPr>
            </w:pPr>
            <w:r>
              <w:rPr>
                <w:rFonts w:hint="default" w:cs="Arial"/>
                <w:b w:val="0"/>
                <w:bCs w:val="0"/>
                <w:color w:val="auto"/>
                <w:sz w:val="21"/>
                <w:szCs w:val="21"/>
                <w:lang w:val="en-US"/>
              </w:rPr>
              <w:t>Dr. Surendra Nagar</w:t>
            </w:r>
          </w:p>
          <w:p w14:paraId="67CB8785">
            <w:pPr>
              <w:jc w:val="right"/>
              <w:rPr>
                <w:rFonts w:hint="default"/>
                <w:color w:val="auto"/>
                <w:lang w:val="en-US"/>
              </w:rPr>
            </w:pPr>
            <w:r>
              <w:rPr>
                <w:rFonts w:hint="default"/>
                <w:color w:val="auto"/>
                <w:lang w:val="en-US"/>
              </w:rPr>
              <w:t>Assistant Professor</w:t>
            </w:r>
          </w:p>
        </w:tc>
      </w:tr>
    </w:tbl>
    <w:p w14:paraId="044D7542">
      <w:pPr>
        <w:rPr>
          <w:color w:val="auto"/>
        </w:rPr>
      </w:pPr>
      <w:r>
        <w:rPr>
          <w:color w:val="auto"/>
        </w:rPr>
        <w:br w:type="page"/>
      </w:r>
    </w:p>
    <w:p w14:paraId="27A98F0B">
      <w:pPr>
        <w:rPr>
          <w:color w:val="auto"/>
        </w:rPr>
        <w:sectPr>
          <w:pgSz w:w="11906" w:h="16838"/>
          <w:pgMar w:top="1000" w:right="1300" w:bottom="1000" w:left="1300" w:header="708" w:footer="708" w:gutter="0"/>
          <w:cols w:space="720" w:num="1"/>
          <w:docGrid w:linePitch="360" w:charSpace="0"/>
        </w:sectPr>
      </w:pPr>
      <w:bookmarkStart w:id="0" w:name="_GoBack"/>
      <w:bookmarkEnd w:id="0"/>
    </w:p>
    <w:p w14:paraId="35746560">
      <w:pPr>
        <w:pStyle w:val="2"/>
        <w:spacing w:after="300"/>
        <w:jc w:val="center"/>
        <w:rPr>
          <w:color w:val="auto"/>
        </w:rPr>
      </w:pPr>
      <w:r>
        <w:rPr>
          <w:rFonts w:ascii="Arial" w:hAnsi="Arial" w:eastAsia="Arial" w:cs="Arial"/>
          <w:b/>
          <w:bCs/>
          <w:color w:val="auto"/>
          <w:sz w:val="32"/>
          <w:szCs w:val="32"/>
        </w:rPr>
        <w:t>Table of Contents</w:t>
      </w:r>
    </w:p>
    <w:sdt>
      <w:sdtPr>
        <w:rPr>
          <w:color w:val="auto"/>
        </w:rPr>
        <w:alias w:val="Table of Contents"/>
        <w:id w:val="285610164"/>
      </w:sdtPr>
      <w:sdtEndPr>
        <w:rPr>
          <w:color w:val="auto"/>
        </w:rPr>
      </w:sdtEndPr>
      <w:sdtContent>
        <w:p w14:paraId="34667A57">
          <w:pPr>
            <w:rPr>
              <w:color w:val="auto"/>
            </w:rPr>
          </w:pPr>
          <w:r>
            <w:rPr>
              <w:color w:val="auto"/>
            </w:rPr>
            <w:fldChar w:fldCharType="begin"/>
          </w:r>
          <w:r>
            <w:rPr>
              <w:color w:val="auto"/>
            </w:rPr>
            <w:instrText xml:space="preserve">TOC \h \o "1-2"</w:instrText>
          </w:r>
          <w:r>
            <w:rPr>
              <w:color w:val="auto"/>
            </w:rPr>
            <w:fldChar w:fldCharType="separate"/>
          </w:r>
        </w:p>
        <w:p w14:paraId="4F66B9D5">
          <w:pPr>
            <w:rPr>
              <w:color w:val="auto"/>
            </w:rPr>
          </w:pPr>
          <w:r>
            <w:rPr>
              <w:color w:val="auto"/>
            </w:rPr>
            <w:fldChar w:fldCharType="end"/>
          </w:r>
        </w:p>
      </w:sdtContent>
    </w:sdt>
    <w:p w14:paraId="3ED6A180">
      <w:pPr>
        <w:spacing w:before="200"/>
        <w:rPr>
          <w:color w:val="auto"/>
        </w:rPr>
      </w:pPr>
      <w:r>
        <w:rPr>
          <w:rFonts w:ascii="Arial" w:hAnsi="Arial" w:eastAsia="Arial" w:cs="Arial"/>
          <w:i/>
          <w:iCs/>
          <w:color w:val="auto"/>
          <w:sz w:val="18"/>
          <w:szCs w:val="18"/>
        </w:rPr>
        <w:t>(Right-click and choose "Update Field" in Microsoft Word to populate this table of contents.)</w:t>
      </w:r>
    </w:p>
    <w:p w14:paraId="116E862D">
      <w:pPr>
        <w:rPr>
          <w:color w:val="auto"/>
        </w:rPr>
      </w:pPr>
      <w:r>
        <w:rPr>
          <w:color w:val="auto"/>
        </w:rPr>
        <w:br w:type="page"/>
      </w:r>
    </w:p>
    <w:p w14:paraId="40E2CE04">
      <w:pPr>
        <w:pStyle w:val="2"/>
        <w:pBdr>
          <w:bottom w:val="single" w:color="2563EB" w:sz="8" w:space="4"/>
        </w:pBdr>
        <w:spacing w:before="360" w:after="200"/>
        <w:rPr>
          <w:color w:val="auto"/>
        </w:rPr>
      </w:pPr>
      <w:r>
        <w:rPr>
          <w:rFonts w:ascii="Arial" w:hAnsi="Arial" w:eastAsia="Arial" w:cs="Arial"/>
          <w:b/>
          <w:bCs/>
          <w:color w:val="auto"/>
          <w:sz w:val="30"/>
          <w:szCs w:val="30"/>
        </w:rPr>
        <w:t>1. Introduction</w:t>
      </w:r>
    </w:p>
    <w:p w14:paraId="6AB43A42">
      <w:pPr>
        <w:spacing w:after="160" w:line="300" w:lineRule="auto"/>
        <w:jc w:val="both"/>
        <w:rPr>
          <w:rFonts w:hint="default" w:ascii="Arial" w:hAnsi="Arial" w:eastAsia="Arial" w:cs="Arial"/>
          <w:color w:val="auto"/>
          <w:sz w:val="22"/>
          <w:szCs w:val="22"/>
        </w:rPr>
      </w:pPr>
      <w:r>
        <w:rPr>
          <w:rFonts w:hint="default" w:ascii="Arial" w:hAnsi="Arial" w:eastAsia="Arial" w:cs="Arial"/>
          <w:color w:val="auto"/>
          <w:sz w:val="22"/>
          <w:szCs w:val="22"/>
        </w:rPr>
        <w:t>Lung cancer still accounts for one of the major reasons for cancer deaths and detection of pulmonary nodules using low dose Computed Tomography</w:t>
      </w:r>
      <w:r>
        <w:rPr>
          <w:rFonts w:hint="default" w:cs="Arial"/>
          <w:color w:val="auto"/>
          <w:sz w:val="22"/>
          <w:szCs w:val="22"/>
          <w:lang w:val="en-US"/>
        </w:rPr>
        <w:t xml:space="preserve"> (</w:t>
      </w:r>
      <w:r>
        <w:rPr>
          <w:rFonts w:hint="default" w:ascii="Arial" w:hAnsi="Arial" w:eastAsia="Arial" w:cs="Arial"/>
          <w:color w:val="auto"/>
          <w:sz w:val="22"/>
          <w:szCs w:val="22"/>
        </w:rPr>
        <w:t>CT</w:t>
      </w:r>
      <w:r>
        <w:rPr>
          <w:rFonts w:hint="default" w:cs="Arial"/>
          <w:color w:val="auto"/>
          <w:sz w:val="22"/>
          <w:szCs w:val="22"/>
          <w:lang w:val="en-US"/>
        </w:rPr>
        <w:t>)</w:t>
      </w:r>
      <w:r>
        <w:rPr>
          <w:rFonts w:hint="default" w:ascii="Arial" w:hAnsi="Arial" w:eastAsia="Arial" w:cs="Arial"/>
          <w:color w:val="auto"/>
          <w:sz w:val="22"/>
          <w:szCs w:val="22"/>
        </w:rPr>
        <w:t xml:space="preserve"> screening has been proven to significantly contribute towards improving patient health status. Given the large number of two</w:t>
      </w:r>
      <w:r>
        <w:rPr>
          <w:rFonts w:hint="default" w:cs="Arial"/>
          <w:color w:val="auto"/>
          <w:sz w:val="22"/>
          <w:szCs w:val="22"/>
          <w:lang w:val="en-US"/>
        </w:rPr>
        <w:t xml:space="preserve"> </w:t>
      </w:r>
      <w:r>
        <w:rPr>
          <w:rFonts w:hint="default" w:ascii="Arial" w:hAnsi="Arial" w:eastAsia="Arial" w:cs="Arial"/>
          <w:color w:val="auto"/>
          <w:sz w:val="22"/>
          <w:szCs w:val="22"/>
        </w:rPr>
        <w:t>dimensional slices in a single scan of the thorax using CT, manual radiological analysis of all the slices in search of small and diverse in shape pulmonary nodules poses a time-consuming process with a certain degree of interobserver variability. This issue has stimulated nearly three decades of work on</w:t>
      </w:r>
      <w:r>
        <w:rPr>
          <w:rFonts w:hint="default" w:cs="Arial"/>
          <w:color w:val="auto"/>
          <w:sz w:val="22"/>
          <w:szCs w:val="22"/>
          <w:lang w:val="en-US"/>
        </w:rPr>
        <w:t xml:space="preserve"> Computer Aided Detection</w:t>
      </w:r>
      <w:r>
        <w:rPr>
          <w:rFonts w:hint="default" w:ascii="Arial" w:hAnsi="Arial" w:eastAsia="Arial" w:cs="Arial"/>
          <w:color w:val="auto"/>
          <w:sz w:val="22"/>
          <w:szCs w:val="22"/>
        </w:rPr>
        <w:t xml:space="preserve"> </w:t>
      </w:r>
      <w:r>
        <w:rPr>
          <w:rFonts w:hint="default" w:cs="Arial"/>
          <w:color w:val="auto"/>
          <w:sz w:val="22"/>
          <w:szCs w:val="22"/>
          <w:lang w:val="en-US"/>
        </w:rPr>
        <w:t>(</w:t>
      </w:r>
      <w:r>
        <w:rPr>
          <w:rFonts w:hint="default" w:ascii="Arial" w:hAnsi="Arial" w:eastAsia="Arial" w:cs="Arial"/>
          <w:color w:val="auto"/>
          <w:sz w:val="22"/>
          <w:szCs w:val="22"/>
        </w:rPr>
        <w:t>CAD</w:t>
      </w:r>
      <w:r>
        <w:rPr>
          <w:rFonts w:hint="default" w:cs="Arial"/>
          <w:color w:val="auto"/>
          <w:sz w:val="22"/>
          <w:szCs w:val="22"/>
          <w:lang w:val="en-US"/>
        </w:rPr>
        <w:t>)</w:t>
      </w:r>
      <w:r>
        <w:rPr>
          <w:rFonts w:hint="default" w:ascii="Arial" w:hAnsi="Arial" w:eastAsia="Arial" w:cs="Arial"/>
          <w:color w:val="auto"/>
          <w:sz w:val="22"/>
          <w:szCs w:val="22"/>
        </w:rPr>
        <w:t xml:space="preserve"> algorithms as well as recent developments in automated detection using deep learning.</w:t>
      </w:r>
    </w:p>
    <w:p w14:paraId="108F41CA">
      <w:pPr>
        <w:spacing w:after="160" w:line="300" w:lineRule="auto"/>
        <w:jc w:val="both"/>
        <w:rPr>
          <w:rFonts w:hint="default" w:ascii="Arial" w:hAnsi="Arial" w:eastAsia="Arial" w:cs="Arial"/>
          <w:color w:val="auto"/>
          <w:sz w:val="22"/>
          <w:szCs w:val="22"/>
        </w:rPr>
      </w:pPr>
      <w:r>
        <w:rPr>
          <w:rFonts w:hint="default" w:ascii="Arial" w:hAnsi="Arial" w:eastAsia="Arial" w:cs="Arial"/>
          <w:color w:val="auto"/>
          <w:sz w:val="22"/>
          <w:szCs w:val="22"/>
        </w:rPr>
        <w:t>The LUNA16 (LUng Nodule Analysis 2016) [11], which is a subset of the larger LIDC-IDRI database, became a standard benchmark for automated pulmonary nodule detection systems. The data set contains 888 CT scans with annotations of pulmonary nodules along with an official evaluation protocol based on the FROC curve and Competition Performance Metric (CPM).</w:t>
      </w:r>
    </w:p>
    <w:p w14:paraId="7D25B430">
      <w:pPr>
        <w:spacing w:after="160" w:line="300" w:lineRule="auto"/>
        <w:jc w:val="both"/>
        <w:rPr>
          <w:color w:val="auto"/>
        </w:rPr>
      </w:pPr>
      <w:r>
        <w:rPr>
          <w:rFonts w:hint="default" w:ascii="Arial" w:hAnsi="Arial" w:eastAsia="Arial" w:cs="Arial"/>
          <w:color w:val="auto"/>
          <w:sz w:val="22"/>
          <w:szCs w:val="22"/>
        </w:rPr>
        <w:t>A key issue regarding architecture in this field involves the representation of volumetric CT scans for a learning detector. 2D representations process each individual slice without considering any context and are computationally cheap but lose the contextual information available in the upper and lower slices relative to the candidate nodule. 3D representations keep the volumetric context intact but increase the memory and computational requirements significantly, which is a serious limitation when using commodity research computing hardware. Using a 2.5D representation where a few adjacent slices (z-1, z, z+1) of the CT scan stack up to form multiple input channels is a compromise between the two.</w:t>
      </w:r>
    </w:p>
    <w:p w14:paraId="47319116">
      <w:pPr>
        <w:spacing w:after="160" w:line="300" w:lineRule="auto"/>
        <w:jc w:val="both"/>
        <w:rPr>
          <w:rFonts w:hint="default" w:ascii="Arial" w:hAnsi="Arial" w:eastAsia="Arial" w:cs="Arial"/>
          <w:color w:val="auto"/>
          <w:sz w:val="22"/>
          <w:szCs w:val="22"/>
        </w:rPr>
      </w:pPr>
      <w:r>
        <w:rPr>
          <w:rFonts w:hint="default" w:ascii="Arial" w:hAnsi="Arial" w:eastAsia="Arial" w:cs="Arial"/>
          <w:color w:val="auto"/>
          <w:sz w:val="22"/>
          <w:szCs w:val="22"/>
        </w:rPr>
        <w:t>This research focuses on designing a 2.5D CNN-Transformer architecture for lung nodules detection in the LUNA16 dataset. Local spatial features will be extracted using a convolutional neural network backbone, whereas the Transformer will capture longer-range contextual relationships between the spatial features. Further, the project employs an attention mechanism to highlight relevant features related to lung nodules, progressive pruning to explore model compression, and Nodule Feature Diversity (NFD) to avoid redundancy in representation. The ultimate objective of this project is not to assume in advance that any of these components is beneficial, but to determine, via systematic ablation studies, the contribution of each individual component.</w:t>
      </w:r>
    </w:p>
    <w:p w14:paraId="54B677E8">
      <w:pPr>
        <w:spacing w:after="160" w:line="300" w:lineRule="auto"/>
        <w:jc w:val="both"/>
        <w:rPr>
          <w:rFonts w:hint="default" w:ascii="Arial" w:hAnsi="Arial" w:eastAsia="Arial" w:cs="Arial"/>
          <w:color w:val="auto"/>
          <w:sz w:val="22"/>
          <w:szCs w:val="22"/>
        </w:rPr>
      </w:pPr>
      <w:r>
        <w:rPr>
          <w:rFonts w:hint="default" w:ascii="Arial" w:hAnsi="Arial" w:eastAsia="Arial" w:cs="Arial"/>
          <w:color w:val="auto"/>
          <w:sz w:val="22"/>
          <w:szCs w:val="22"/>
        </w:rPr>
        <w:t>The purpose of this report is to explain the motivation behind the project, its literature background, problem statement, methodology, and simulation requirements. This report reflects the present status of an ongoing research project within academia and claims no clinical validity or finality; all architectural and mathematical models presented in this paper, where stated explicitly, are open to experimental validation.</w:t>
      </w:r>
    </w:p>
    <w:p w14:paraId="75E693A3">
      <w:pPr>
        <w:spacing w:after="160" w:line="300" w:lineRule="auto"/>
        <w:jc w:val="both"/>
        <w:rPr>
          <w:rFonts w:hint="default" w:ascii="Arial" w:hAnsi="Arial" w:eastAsia="Arial" w:cs="Arial"/>
          <w:color w:val="auto"/>
          <w:sz w:val="22"/>
          <w:szCs w:val="22"/>
        </w:rPr>
      </w:pPr>
    </w:p>
    <w:p w14:paraId="40E87BC9">
      <w:pPr>
        <w:spacing w:after="160" w:line="300" w:lineRule="auto"/>
        <w:jc w:val="both"/>
        <w:rPr>
          <w:rFonts w:hint="default" w:ascii="Arial" w:hAnsi="Arial" w:eastAsia="Arial" w:cs="Arial"/>
          <w:color w:val="auto"/>
          <w:sz w:val="22"/>
          <w:szCs w:val="22"/>
        </w:rPr>
      </w:pPr>
    </w:p>
    <w:p w14:paraId="585444CF">
      <w:pPr>
        <w:spacing w:after="160" w:line="300" w:lineRule="auto"/>
        <w:jc w:val="both"/>
        <w:rPr>
          <w:rFonts w:hint="default" w:ascii="Arial" w:hAnsi="Arial" w:eastAsia="Arial" w:cs="Arial"/>
          <w:color w:val="auto"/>
          <w:sz w:val="22"/>
          <w:szCs w:val="22"/>
        </w:rPr>
      </w:pPr>
    </w:p>
    <w:p w14:paraId="7F2443F9">
      <w:pPr>
        <w:spacing w:after="160" w:line="300" w:lineRule="auto"/>
        <w:jc w:val="both"/>
        <w:rPr>
          <w:rFonts w:hint="default" w:ascii="Arial" w:hAnsi="Arial" w:eastAsia="Arial" w:cs="Arial"/>
          <w:color w:val="auto"/>
          <w:sz w:val="22"/>
          <w:szCs w:val="22"/>
        </w:rPr>
      </w:pPr>
    </w:p>
    <w:p w14:paraId="72961613">
      <w:pPr>
        <w:spacing w:after="160" w:line="300" w:lineRule="auto"/>
        <w:jc w:val="both"/>
        <w:rPr>
          <w:rFonts w:hint="default" w:ascii="Arial" w:hAnsi="Arial" w:eastAsia="Arial" w:cs="Arial"/>
          <w:color w:val="auto"/>
          <w:sz w:val="22"/>
          <w:szCs w:val="22"/>
        </w:rPr>
      </w:pPr>
    </w:p>
    <w:p w14:paraId="5BE5953F">
      <w:pPr>
        <w:pStyle w:val="2"/>
        <w:pBdr>
          <w:bottom w:val="single" w:color="2563EB" w:sz="8" w:space="4"/>
        </w:pBdr>
        <w:spacing w:before="360" w:after="200"/>
        <w:rPr>
          <w:color w:val="auto"/>
        </w:rPr>
      </w:pPr>
      <w:r>
        <w:rPr>
          <w:rFonts w:ascii="Arial" w:hAnsi="Arial" w:eastAsia="Arial" w:cs="Arial"/>
          <w:b/>
          <w:bCs/>
          <w:color w:val="auto"/>
          <w:sz w:val="30"/>
          <w:szCs w:val="30"/>
        </w:rPr>
        <w:t>2. Motivation</w:t>
      </w:r>
    </w:p>
    <w:p w14:paraId="3C913A42">
      <w:pPr>
        <w:pStyle w:val="21"/>
        <w:keepNext w:val="0"/>
        <w:keepLines w:val="0"/>
        <w:widowControl/>
        <w:suppressLineNumbers w:val="0"/>
        <w:jc w:val="both"/>
        <w:rPr>
          <w:rFonts w:ascii="Arial" w:hAnsi="Arial" w:eastAsia="Arial" w:cs="Arial"/>
          <w:b/>
          <w:bCs/>
          <w:color w:val="auto"/>
          <w:sz w:val="25"/>
          <w:szCs w:val="25"/>
        </w:rPr>
      </w:pPr>
      <w:r>
        <w:rPr>
          <w:sz w:val="22"/>
          <w:szCs w:val="22"/>
        </w:rPr>
        <w:t>The motivation for this project arises from a combination of clinical</w:t>
      </w:r>
      <w:r>
        <w:rPr>
          <w:rFonts w:hint="default"/>
          <w:sz w:val="22"/>
          <w:szCs w:val="22"/>
          <w:lang w:val="en-US"/>
        </w:rPr>
        <w:t xml:space="preserve"> </w:t>
      </w:r>
      <w:r>
        <w:rPr>
          <w:sz w:val="22"/>
          <w:szCs w:val="22"/>
        </w:rPr>
        <w:t>relevance, well-documented technical challenges in pulmonary nodule detection, and a specific research gap identified in the recent literature.</w:t>
      </w:r>
    </w:p>
    <w:p w14:paraId="366BE6ED">
      <w:pPr>
        <w:pStyle w:val="3"/>
        <w:spacing w:before="260" w:after="140"/>
        <w:rPr>
          <w:color w:val="auto"/>
        </w:rPr>
      </w:pPr>
      <w:r>
        <w:rPr>
          <w:rFonts w:ascii="Arial" w:hAnsi="Arial" w:eastAsia="Arial" w:cs="Arial"/>
          <w:b/>
          <w:bCs/>
          <w:color w:val="auto"/>
          <w:sz w:val="25"/>
          <w:szCs w:val="25"/>
        </w:rPr>
        <w:t>2.1 Limited Context in 2D Processing</w:t>
      </w:r>
    </w:p>
    <w:p w14:paraId="46618189">
      <w:pPr>
        <w:pStyle w:val="3"/>
        <w:spacing w:before="260" w:after="140"/>
        <w:jc w:val="both"/>
        <w:rPr>
          <w:rFonts w:hint="default" w:ascii="Arial" w:hAnsi="Arial" w:eastAsia="Arial" w:cs="Arial"/>
          <w:b w:val="0"/>
          <w:bCs w:val="0"/>
          <w:color w:val="auto"/>
          <w:sz w:val="22"/>
          <w:szCs w:val="22"/>
        </w:rPr>
      </w:pPr>
      <w:r>
        <w:rPr>
          <w:rFonts w:hint="default" w:ascii="Arial" w:hAnsi="Arial" w:eastAsia="Arial" w:cs="Arial"/>
          <w:b w:val="0"/>
          <w:bCs w:val="0"/>
          <w:color w:val="auto"/>
          <w:sz w:val="22"/>
          <w:szCs w:val="22"/>
        </w:rPr>
        <w:t>Pulmonary nodules are three-dimensional objects, but information available in one CT slice does not give much information on their surrounding environment. The 2.5D approach utilizes information from nearby slices without the need for heavy computational power like that used in 3D networks.</w:t>
      </w:r>
    </w:p>
    <w:p w14:paraId="6EE15804">
      <w:pPr>
        <w:pStyle w:val="3"/>
        <w:spacing w:before="260" w:after="140"/>
        <w:rPr>
          <w:color w:val="auto"/>
        </w:rPr>
      </w:pPr>
      <w:r>
        <w:rPr>
          <w:rFonts w:ascii="Arial" w:hAnsi="Arial" w:eastAsia="Arial" w:cs="Arial"/>
          <w:b/>
          <w:bCs/>
          <w:color w:val="auto"/>
          <w:sz w:val="25"/>
          <w:szCs w:val="25"/>
        </w:rPr>
        <w:t>2.2 Local and Contextual Feature Modeling</w:t>
      </w:r>
    </w:p>
    <w:p w14:paraId="6553D576">
      <w:pPr>
        <w:pStyle w:val="3"/>
        <w:spacing w:before="260" w:after="140"/>
        <w:jc w:val="both"/>
        <w:rPr>
          <w:rFonts w:hint="default" w:ascii="Arial" w:hAnsi="Arial" w:eastAsia="Arial" w:cs="Arial"/>
          <w:b w:val="0"/>
          <w:bCs w:val="0"/>
          <w:color w:val="auto"/>
          <w:sz w:val="22"/>
          <w:szCs w:val="22"/>
        </w:rPr>
      </w:pPr>
      <w:r>
        <w:rPr>
          <w:rFonts w:hint="default" w:ascii="Arial" w:hAnsi="Arial" w:eastAsia="Arial" w:cs="Arial"/>
          <w:b w:val="0"/>
          <w:bCs w:val="0"/>
          <w:color w:val="auto"/>
          <w:sz w:val="22"/>
          <w:szCs w:val="22"/>
        </w:rPr>
        <w:t>CNNs work well for the extraction of local features, such as edges, textures, shapes, and even anatomical structures. But the detection of nodules can also take advantage of broader feature relations. Thus, this study explores the CNN</w:t>
      </w:r>
      <w:r>
        <w:rPr>
          <w:rFonts w:hint="default" w:cs="Arial"/>
          <w:b w:val="0"/>
          <w:bCs w:val="0"/>
          <w:color w:val="auto"/>
          <w:sz w:val="22"/>
          <w:szCs w:val="22"/>
          <w:lang w:val="en-US"/>
        </w:rPr>
        <w:t xml:space="preserve"> - </w:t>
      </w:r>
      <w:r>
        <w:rPr>
          <w:rFonts w:hint="default" w:ascii="Arial" w:hAnsi="Arial" w:eastAsia="Arial" w:cs="Arial"/>
          <w:b w:val="0"/>
          <w:bCs w:val="0"/>
          <w:color w:val="auto"/>
          <w:sz w:val="22"/>
          <w:szCs w:val="22"/>
        </w:rPr>
        <w:t>Transformer model architecture, where:</w:t>
      </w:r>
      <w:r>
        <w:rPr>
          <w:rFonts w:hint="default" w:ascii="Arial" w:hAnsi="Arial" w:eastAsia="Arial" w:cs="Arial"/>
          <w:b w:val="0"/>
          <w:bCs w:val="0"/>
          <w:color w:val="auto"/>
          <w:sz w:val="22"/>
          <w:szCs w:val="22"/>
        </w:rPr>
        <w:br w:type="textWrapping"/>
      </w:r>
      <w:r>
        <w:rPr>
          <w:rFonts w:hint="default" w:cs="Arial"/>
          <w:b w:val="0"/>
          <w:bCs w:val="0"/>
          <w:color w:val="auto"/>
          <w:sz w:val="22"/>
          <w:szCs w:val="22"/>
          <w:lang w:val="en-US"/>
        </w:rPr>
        <w:tab/>
      </w:r>
      <w:r>
        <w:rPr>
          <w:rFonts w:hint="default" w:ascii="Arial" w:hAnsi="Arial" w:eastAsia="Arial" w:cs="Arial"/>
          <w:b w:val="0"/>
          <w:bCs w:val="0"/>
          <w:color w:val="auto"/>
          <w:sz w:val="22"/>
          <w:szCs w:val="22"/>
        </w:rPr>
        <w:t>• CNN → extracts local spatial features.</w:t>
      </w:r>
      <w:r>
        <w:rPr>
          <w:rFonts w:hint="default" w:ascii="Arial" w:hAnsi="Arial" w:eastAsia="Arial" w:cs="Arial"/>
          <w:b w:val="0"/>
          <w:bCs w:val="0"/>
          <w:color w:val="auto"/>
          <w:sz w:val="22"/>
          <w:szCs w:val="22"/>
        </w:rPr>
        <w:br w:type="textWrapping"/>
      </w:r>
      <w:r>
        <w:rPr>
          <w:rFonts w:hint="default" w:cs="Arial"/>
          <w:b w:val="0"/>
          <w:bCs w:val="0"/>
          <w:color w:val="auto"/>
          <w:sz w:val="22"/>
          <w:szCs w:val="22"/>
          <w:lang w:val="en-US"/>
        </w:rPr>
        <w:tab/>
      </w:r>
      <w:r>
        <w:rPr>
          <w:rFonts w:hint="default" w:ascii="Arial" w:hAnsi="Arial" w:eastAsia="Arial" w:cs="Arial"/>
          <w:b w:val="0"/>
          <w:bCs w:val="0"/>
          <w:color w:val="auto"/>
          <w:sz w:val="22"/>
          <w:szCs w:val="22"/>
        </w:rPr>
        <w:t>• Transformer → captures broader feature relations.</w:t>
      </w:r>
      <w:r>
        <w:rPr>
          <w:rFonts w:hint="default" w:ascii="Arial" w:hAnsi="Arial" w:eastAsia="Arial" w:cs="Arial"/>
          <w:b w:val="0"/>
          <w:bCs w:val="0"/>
          <w:color w:val="auto"/>
          <w:sz w:val="22"/>
          <w:szCs w:val="22"/>
        </w:rPr>
        <w:br w:type="textWrapping"/>
      </w:r>
      <w:r>
        <w:rPr>
          <w:rFonts w:hint="default" w:ascii="Arial" w:hAnsi="Arial" w:eastAsia="Arial" w:cs="Arial"/>
          <w:b w:val="0"/>
          <w:bCs w:val="0"/>
          <w:color w:val="auto"/>
          <w:sz w:val="22"/>
          <w:szCs w:val="22"/>
        </w:rPr>
        <w:t>This method's performance will be tested against that of a CNN model.</w:t>
      </w:r>
    </w:p>
    <w:p w14:paraId="7C1BBE30">
      <w:pPr>
        <w:pStyle w:val="3"/>
        <w:spacing w:before="260" w:after="140"/>
        <w:rPr>
          <w:color w:val="auto"/>
        </w:rPr>
      </w:pPr>
      <w:r>
        <w:rPr>
          <w:rFonts w:ascii="Arial" w:hAnsi="Arial" w:eastAsia="Arial" w:cs="Arial"/>
          <w:b/>
          <w:bCs/>
          <w:color w:val="auto"/>
          <w:sz w:val="25"/>
          <w:szCs w:val="25"/>
        </w:rPr>
        <w:t>2.3 Model Complexity and Efficiency</w:t>
      </w:r>
    </w:p>
    <w:p w14:paraId="0B3EF1D7">
      <w:pPr>
        <w:pStyle w:val="3"/>
        <w:spacing w:before="260" w:after="140"/>
        <w:jc w:val="both"/>
        <w:rPr>
          <w:rFonts w:hint="default" w:ascii="Arial" w:hAnsi="Arial" w:eastAsia="Arial" w:cs="Arial"/>
          <w:b w:val="0"/>
          <w:bCs w:val="0"/>
          <w:color w:val="auto"/>
          <w:sz w:val="22"/>
          <w:szCs w:val="22"/>
        </w:rPr>
      </w:pPr>
      <w:r>
        <w:rPr>
          <w:rFonts w:hint="default" w:ascii="Arial" w:hAnsi="Arial" w:eastAsia="Arial" w:cs="Arial"/>
          <w:b w:val="0"/>
          <w:bCs w:val="0"/>
          <w:color w:val="auto"/>
          <w:sz w:val="22"/>
          <w:szCs w:val="22"/>
        </w:rPr>
        <w:t>Models used for medical imaging may demand a lot of computational power. As such, performance is not enough to consider; other factors include the number of parameters, memory consumption, computational cost, and inference latency. The goal of this project is to use progressive pruning to minimize model redundancies and to see whether reducing parameters leads to increased efficiency.</w:t>
      </w:r>
      <w:r>
        <w:rPr>
          <w:rFonts w:hint="default" w:ascii="Arial" w:hAnsi="Arial" w:eastAsia="Arial" w:cs="Arial"/>
          <w:b w:val="0"/>
          <w:bCs w:val="0"/>
          <w:color w:val="auto"/>
          <w:sz w:val="22"/>
          <w:szCs w:val="22"/>
        </w:rPr>
        <w:br w:type="textWrapping"/>
      </w:r>
      <w:r>
        <w:rPr>
          <w:rFonts w:hint="default" w:ascii="Arial" w:hAnsi="Arial" w:eastAsia="Arial" w:cs="Arial"/>
          <w:b w:val="0"/>
          <w:bCs w:val="0"/>
          <w:color w:val="auto"/>
          <w:sz w:val="22"/>
          <w:szCs w:val="22"/>
        </w:rPr>
        <w:t>Reducing parameters does not necessarily mean that there will be increased inference speed.</w:t>
      </w:r>
      <w:r>
        <w:rPr>
          <w:rFonts w:hint="default" w:ascii="Arial" w:hAnsi="Arial" w:eastAsia="Arial" w:cs="Arial"/>
          <w:b w:val="0"/>
          <w:bCs w:val="0"/>
          <w:color w:val="auto"/>
          <w:sz w:val="22"/>
          <w:szCs w:val="22"/>
        </w:rPr>
        <w:br w:type="textWrapping"/>
      </w:r>
      <w:r>
        <w:rPr>
          <w:rFonts w:hint="default" w:ascii="Arial" w:hAnsi="Arial" w:eastAsia="Arial" w:cs="Arial"/>
          <w:b w:val="0"/>
          <w:bCs w:val="0"/>
          <w:color w:val="auto"/>
          <w:sz w:val="22"/>
          <w:szCs w:val="22"/>
        </w:rPr>
        <w:t>Inference efficiency will thus be analyzed along with model compression.</w:t>
      </w:r>
    </w:p>
    <w:p w14:paraId="238E3384">
      <w:pPr>
        <w:pStyle w:val="3"/>
        <w:spacing w:before="260" w:after="140"/>
        <w:rPr>
          <w:color w:val="auto"/>
        </w:rPr>
      </w:pPr>
      <w:r>
        <w:rPr>
          <w:rFonts w:ascii="Arial" w:hAnsi="Arial" w:eastAsia="Arial" w:cs="Arial"/>
          <w:b/>
          <w:bCs/>
          <w:color w:val="auto"/>
          <w:sz w:val="25"/>
          <w:szCs w:val="25"/>
        </w:rPr>
        <w:t>2.4 Feature Representation and NFD</w:t>
      </w:r>
    </w:p>
    <w:p w14:paraId="70B69FCB">
      <w:pPr>
        <w:pStyle w:val="2"/>
        <w:pBdr>
          <w:bottom w:val="single" w:color="2563EB" w:sz="8" w:space="4"/>
        </w:pBdr>
        <w:spacing w:before="360" w:after="200"/>
        <w:jc w:val="both"/>
        <w:rPr>
          <w:rFonts w:hint="default" w:ascii="Arial" w:hAnsi="Arial" w:eastAsia="Arial" w:cs="Arial"/>
          <w:b w:val="0"/>
          <w:bCs w:val="0"/>
          <w:color w:val="auto"/>
          <w:sz w:val="22"/>
          <w:szCs w:val="22"/>
        </w:rPr>
      </w:pPr>
      <w:r>
        <w:rPr>
          <w:rFonts w:hint="default" w:ascii="Arial" w:hAnsi="Arial" w:eastAsia="Arial" w:cs="Arial"/>
          <w:b w:val="0"/>
          <w:bCs w:val="0"/>
          <w:color w:val="auto"/>
          <w:sz w:val="22"/>
          <w:szCs w:val="22"/>
        </w:rPr>
        <w:t>The quality and variety of learned features may also impact the performance of detection. This paper therefore explores the effect of Nodule Feature Diversity (NFD) regularization.</w:t>
      </w:r>
    </w:p>
    <w:p w14:paraId="47454FB5">
      <w:pPr>
        <w:pStyle w:val="2"/>
        <w:pBdr>
          <w:bottom w:val="single" w:color="2563EB" w:sz="8" w:space="4"/>
        </w:pBdr>
        <w:spacing w:before="360" w:after="200"/>
        <w:rPr>
          <w:color w:val="auto"/>
        </w:rPr>
      </w:pPr>
      <w:r>
        <w:rPr>
          <w:rFonts w:ascii="Arial" w:hAnsi="Arial" w:eastAsia="Arial" w:cs="Arial"/>
          <w:b/>
          <w:bCs/>
          <w:color w:val="auto"/>
          <w:sz w:val="30"/>
          <w:szCs w:val="30"/>
        </w:rPr>
        <w:t>3. Literature Survey</w:t>
      </w:r>
    </w:p>
    <w:p w14:paraId="25153DFA">
      <w:pPr>
        <w:pStyle w:val="3"/>
        <w:spacing w:before="260" w:after="140"/>
        <w:rPr>
          <w:color w:val="auto"/>
        </w:rPr>
      </w:pPr>
      <w:r>
        <w:rPr>
          <w:rFonts w:ascii="Arial" w:hAnsi="Arial" w:eastAsia="Arial" w:cs="Arial"/>
          <w:b/>
          <w:bCs/>
          <w:color w:val="auto"/>
          <w:sz w:val="25"/>
          <w:szCs w:val="25"/>
        </w:rPr>
        <w:t>3.1 CNN–Transformer and Attention-Based Classification Models</w:t>
      </w:r>
    </w:p>
    <w:p w14:paraId="297A13A4">
      <w:pPr>
        <w:pStyle w:val="4"/>
        <w:spacing w:before="180" w:after="100"/>
        <w:rPr>
          <w:color w:val="auto"/>
        </w:rPr>
      </w:pPr>
      <w:r>
        <w:rPr>
          <w:rFonts w:ascii="Arial" w:hAnsi="Arial" w:eastAsia="Arial" w:cs="Arial"/>
          <w:b/>
          <w:bCs/>
          <w:color w:val="auto"/>
          <w:sz w:val="22"/>
          <w:szCs w:val="22"/>
        </w:rPr>
        <w:t>3.1.1 Attention-Enhanced InceptionNeXt Hybrid Model [1]</w:t>
      </w:r>
    </w:p>
    <w:p w14:paraId="4DC75878">
      <w:pPr>
        <w:spacing w:after="160" w:line="300" w:lineRule="auto"/>
        <w:jc w:val="both"/>
        <w:rPr>
          <w:color w:val="auto"/>
        </w:rPr>
      </w:pPr>
      <w:r>
        <w:rPr>
          <w:rFonts w:ascii="Arial" w:hAnsi="Arial" w:eastAsia="Arial" w:cs="Arial"/>
          <w:color w:val="auto"/>
          <w:sz w:val="22"/>
          <w:szCs w:val="22"/>
        </w:rPr>
        <w:t>Ozdemir et al. [1] propose a hybrid deep learning model for lung cancer detection that integrates InceptionNeXt</w:t>
      </w:r>
      <w:r>
        <w:rPr>
          <w:rFonts w:hint="default" w:cs="Arial"/>
          <w:color w:val="auto"/>
          <w:sz w:val="22"/>
          <w:szCs w:val="22"/>
          <w:lang w:val="en-US"/>
        </w:rPr>
        <w:t xml:space="preserve"> </w:t>
      </w:r>
      <w:r>
        <w:rPr>
          <w:rFonts w:ascii="Arial" w:hAnsi="Arial" w:eastAsia="Arial" w:cs="Arial"/>
          <w:color w:val="auto"/>
          <w:sz w:val="22"/>
          <w:szCs w:val="22"/>
        </w:rPr>
        <w:t>style multi-scale convolutional blocks with Vision</w:t>
      </w:r>
      <w:r>
        <w:rPr>
          <w:rFonts w:hint="default" w:cs="Arial"/>
          <w:color w:val="auto"/>
          <w:sz w:val="22"/>
          <w:szCs w:val="22"/>
          <w:lang w:val="en-US"/>
        </w:rPr>
        <w:t xml:space="preserve"> </w:t>
      </w:r>
      <w:r>
        <w:rPr>
          <w:rFonts w:ascii="Arial" w:hAnsi="Arial" w:eastAsia="Arial" w:cs="Arial"/>
          <w:color w:val="auto"/>
          <w:sz w:val="22"/>
          <w:szCs w:val="22"/>
        </w:rPr>
        <w:t>Transformer</w:t>
      </w:r>
      <w:r>
        <w:rPr>
          <w:rFonts w:hint="default" w:cs="Arial"/>
          <w:color w:val="auto"/>
          <w:sz w:val="22"/>
          <w:szCs w:val="22"/>
          <w:lang w:val="en-US"/>
        </w:rPr>
        <w:t xml:space="preserve"> </w:t>
      </w:r>
      <w:r>
        <w:rPr>
          <w:rFonts w:ascii="Arial" w:hAnsi="Arial" w:eastAsia="Arial" w:cs="Arial"/>
          <w:color w:val="auto"/>
          <w:sz w:val="22"/>
          <w:szCs w:val="22"/>
        </w:rPr>
        <w:t>style grid and block attention mechanisms, built on a MaxViT backbone with data augmentation and transfer learning. Grid attention captures spatial relationships across regions of the image while block attention captures hierarchical, contextual information, allowing the model to jointly capture fine-grained and large-scale nodule features. Evaluated on the IQ-OTH/NCCD dataset (99.54% accuracy) and a Kaggle chest</w:t>
      </w:r>
      <w:r>
        <w:rPr>
          <w:rFonts w:hint="default" w:cs="Arial"/>
          <w:color w:val="auto"/>
          <w:sz w:val="22"/>
          <w:szCs w:val="22"/>
          <w:lang w:val="en-US"/>
        </w:rPr>
        <w:t xml:space="preserve"> </w:t>
      </w:r>
      <w:r>
        <w:rPr>
          <w:rFonts w:ascii="Arial" w:hAnsi="Arial" w:eastAsia="Arial" w:cs="Arial"/>
          <w:color w:val="auto"/>
          <w:sz w:val="22"/>
          <w:szCs w:val="22"/>
        </w:rPr>
        <w:t>CT dataset (98.41% accuracy) with a model size of 18.1 million parameters, the paper is a classification study (not detection) and is not evaluated on LUNA16. It is relevant to this project chiefly as an architectural precedent for combining CNN multi</w:t>
      </w:r>
      <w:r>
        <w:rPr>
          <w:rFonts w:hint="default" w:cs="Arial"/>
          <w:color w:val="auto"/>
          <w:sz w:val="22"/>
          <w:szCs w:val="22"/>
          <w:lang w:val="en-US"/>
        </w:rPr>
        <w:t>-</w:t>
      </w:r>
      <w:r>
        <w:rPr>
          <w:rFonts w:ascii="Arial" w:hAnsi="Arial" w:eastAsia="Arial" w:cs="Arial"/>
          <w:color w:val="auto"/>
          <w:sz w:val="22"/>
          <w:szCs w:val="22"/>
        </w:rPr>
        <w:t>scale feature extraction with Transformer</w:t>
      </w:r>
      <w:r>
        <w:rPr>
          <w:rFonts w:hint="default" w:cs="Arial"/>
          <w:color w:val="auto"/>
          <w:sz w:val="22"/>
          <w:szCs w:val="22"/>
          <w:lang w:val="en-US"/>
        </w:rPr>
        <w:t xml:space="preserve"> </w:t>
      </w:r>
      <w:r>
        <w:rPr>
          <w:rFonts w:ascii="Arial" w:hAnsi="Arial" w:eastAsia="Arial" w:cs="Arial"/>
          <w:color w:val="auto"/>
          <w:sz w:val="22"/>
          <w:szCs w:val="22"/>
        </w:rPr>
        <w:t>style attention.</w:t>
      </w:r>
    </w:p>
    <w:p w14:paraId="32AE723A">
      <w:pPr>
        <w:pStyle w:val="4"/>
        <w:spacing w:before="180" w:after="100"/>
        <w:rPr>
          <w:color w:val="auto"/>
        </w:rPr>
      </w:pPr>
      <w:r>
        <w:rPr>
          <w:rFonts w:ascii="Arial" w:hAnsi="Arial" w:eastAsia="Arial" w:cs="Arial"/>
          <w:b/>
          <w:bCs/>
          <w:color w:val="auto"/>
          <w:sz w:val="22"/>
          <w:szCs w:val="22"/>
        </w:rPr>
        <w:t>3.1.2 Multi-Scale Transformer for Nodule Diagnosis, MSTD [3]</w:t>
      </w:r>
    </w:p>
    <w:p w14:paraId="4520EFD0">
      <w:pPr>
        <w:spacing w:after="160" w:line="300" w:lineRule="auto"/>
        <w:jc w:val="both"/>
        <w:rPr>
          <w:color w:val="auto"/>
        </w:rPr>
      </w:pPr>
      <w:r>
        <w:rPr>
          <w:rFonts w:ascii="Arial" w:hAnsi="Arial" w:eastAsia="Arial" w:cs="Arial"/>
          <w:color w:val="auto"/>
          <w:sz w:val="22"/>
          <w:szCs w:val="22"/>
        </w:rPr>
        <w:t>Zhao et al. [3] propose MSTD, which combines a multi-scale convolutional module (six parallel branches with different receptive fields) with a dual</w:t>
      </w:r>
      <w:r>
        <w:rPr>
          <w:rFonts w:hint="default" w:cs="Arial"/>
          <w:color w:val="auto"/>
          <w:sz w:val="22"/>
          <w:szCs w:val="22"/>
          <w:lang w:val="en-US"/>
        </w:rPr>
        <w:t xml:space="preserve"> </w:t>
      </w:r>
      <w:r>
        <w:rPr>
          <w:rFonts w:ascii="Arial" w:hAnsi="Arial" w:eastAsia="Arial" w:cs="Arial"/>
          <w:color w:val="auto"/>
          <w:sz w:val="22"/>
          <w:szCs w:val="22"/>
        </w:rPr>
        <w:t>branch Transformer fusion module a “Space Transformer” that attends across spatial patches and a “Scale Transformer” that attends across the scale dimension before classifying nodules as benign or malignant. On LUNA16, the reported average F1-score is 94.5%, specificity 96.5%, and sensitivity 91.1%, with the authors reporting improvements of roughly 1% AUC, 3.4% accuracy, and 3.6% F1-score over prior state</w:t>
      </w:r>
      <w:r>
        <w:rPr>
          <w:rFonts w:hint="default" w:cs="Arial"/>
          <w:color w:val="auto"/>
          <w:sz w:val="22"/>
          <w:szCs w:val="22"/>
          <w:lang w:val="en-US"/>
        </w:rPr>
        <w:t xml:space="preserve"> </w:t>
      </w:r>
      <w:r>
        <w:rPr>
          <w:rFonts w:ascii="Arial" w:hAnsi="Arial" w:eastAsia="Arial" w:cs="Arial"/>
          <w:color w:val="auto"/>
          <w:sz w:val="22"/>
          <w:szCs w:val="22"/>
        </w:rPr>
        <w:t>of</w:t>
      </w:r>
      <w:r>
        <w:rPr>
          <w:rFonts w:hint="default" w:cs="Arial"/>
          <w:color w:val="auto"/>
          <w:sz w:val="22"/>
          <w:szCs w:val="22"/>
          <w:lang w:val="en-US"/>
        </w:rPr>
        <w:t xml:space="preserve"> </w:t>
      </w:r>
      <w:r>
        <w:rPr>
          <w:rFonts w:ascii="Arial" w:hAnsi="Arial" w:eastAsia="Arial" w:cs="Arial"/>
          <w:color w:val="auto"/>
          <w:sz w:val="22"/>
          <w:szCs w:val="22"/>
        </w:rPr>
        <w:t>the</w:t>
      </w:r>
      <w:r>
        <w:rPr>
          <w:rFonts w:hint="default" w:cs="Arial"/>
          <w:color w:val="auto"/>
          <w:sz w:val="22"/>
          <w:szCs w:val="22"/>
          <w:lang w:val="en-US"/>
        </w:rPr>
        <w:t xml:space="preserve"> </w:t>
      </w:r>
      <w:r>
        <w:rPr>
          <w:rFonts w:ascii="Arial" w:hAnsi="Arial" w:eastAsia="Arial" w:cs="Arial"/>
          <w:color w:val="auto"/>
          <w:sz w:val="22"/>
          <w:szCs w:val="22"/>
        </w:rPr>
        <w:t>art methods on average. MSTD is directly relevant to the Transformer and multi-scale fusion components of the proposed framework, though it operates on single 2D slices rather than a 2.5D representation and includes no pruning or diversity</w:t>
      </w:r>
      <w:r>
        <w:rPr>
          <w:rFonts w:hint="default" w:cs="Arial"/>
          <w:color w:val="auto"/>
          <w:sz w:val="22"/>
          <w:szCs w:val="22"/>
          <w:lang w:val="en-US"/>
        </w:rPr>
        <w:t xml:space="preserve"> </w:t>
      </w:r>
      <w:r>
        <w:rPr>
          <w:rFonts w:ascii="Arial" w:hAnsi="Arial" w:eastAsia="Arial" w:cs="Arial"/>
          <w:color w:val="auto"/>
          <w:sz w:val="22"/>
          <w:szCs w:val="22"/>
        </w:rPr>
        <w:t>regularization mechanism.</w:t>
      </w:r>
    </w:p>
    <w:p w14:paraId="69AAB030">
      <w:pPr>
        <w:pStyle w:val="4"/>
        <w:spacing w:before="180" w:after="100"/>
        <w:rPr>
          <w:color w:val="auto"/>
        </w:rPr>
      </w:pPr>
      <w:r>
        <w:rPr>
          <w:rFonts w:ascii="Arial" w:hAnsi="Arial" w:eastAsia="Arial" w:cs="Arial"/>
          <w:b/>
          <w:bCs/>
          <w:color w:val="auto"/>
          <w:sz w:val="22"/>
          <w:szCs w:val="22"/>
        </w:rPr>
        <w:t>3.1.3 Squeeze-and-Excitation Vision Transformer, SE-ViT [4]</w:t>
      </w:r>
    </w:p>
    <w:p w14:paraId="6EC4137B">
      <w:pPr>
        <w:spacing w:after="160" w:line="300" w:lineRule="auto"/>
        <w:jc w:val="both"/>
        <w:rPr>
          <w:color w:val="auto"/>
        </w:rPr>
      </w:pPr>
      <w:r>
        <w:rPr>
          <w:rFonts w:ascii="Arial" w:hAnsi="Arial" w:eastAsia="Arial" w:cs="Arial"/>
          <w:color w:val="auto"/>
          <w:sz w:val="22"/>
          <w:szCs w:val="22"/>
        </w:rPr>
        <w:t>Xue et al. [4] propose SE-ViT, which places a Squeeze-and-Excitation (SE) block before a standard Vision Transformer self</w:t>
      </w:r>
      <w:r>
        <w:rPr>
          <w:rFonts w:hint="default" w:cs="Arial"/>
          <w:color w:val="auto"/>
          <w:sz w:val="22"/>
          <w:szCs w:val="22"/>
          <w:lang w:val="en-US"/>
        </w:rPr>
        <w:t xml:space="preserve"> </w:t>
      </w:r>
      <w:r>
        <w:rPr>
          <w:rFonts w:ascii="Arial" w:hAnsi="Arial" w:eastAsia="Arial" w:cs="Arial"/>
          <w:color w:val="auto"/>
          <w:sz w:val="22"/>
          <w:szCs w:val="22"/>
        </w:rPr>
        <w:t>attention stage so that image patches (rather than individual pixels) are re-weighted according to their informativeness before self-attention is applied. On LUNA16, SE-ViT reports an average accuracy of 0.863, precision of 0.872, recall of 0.876, F1-score of 0.872, and AUC of 0.862, with ablation results showing improvement over a plain ViT and an SE-CNN baseline. The use of Grad-CAM for interpretability and the explicit channel</w:t>
      </w:r>
      <w:r>
        <w:rPr>
          <w:rFonts w:hint="default" w:cs="Arial"/>
          <w:color w:val="auto"/>
          <w:sz w:val="22"/>
          <w:szCs w:val="22"/>
          <w:lang w:val="en-US"/>
        </w:rPr>
        <w:t xml:space="preserve"> </w:t>
      </w:r>
      <w:r>
        <w:rPr>
          <w:rFonts w:ascii="Arial" w:hAnsi="Arial" w:eastAsia="Arial" w:cs="Arial"/>
          <w:color w:val="auto"/>
          <w:sz w:val="22"/>
          <w:szCs w:val="22"/>
        </w:rPr>
        <w:t>attention</w:t>
      </w:r>
      <w:r>
        <w:rPr>
          <w:rFonts w:hint="default" w:cs="Arial"/>
          <w:color w:val="auto"/>
          <w:sz w:val="22"/>
          <w:szCs w:val="22"/>
          <w:lang w:val="en-US"/>
        </w:rPr>
        <w:t xml:space="preserve"> </w:t>
      </w:r>
      <w:r>
        <w:rPr>
          <w:rFonts w:ascii="Arial" w:hAnsi="Arial" w:eastAsia="Arial" w:cs="Arial"/>
          <w:color w:val="auto"/>
          <w:sz w:val="22"/>
          <w:szCs w:val="22"/>
        </w:rPr>
        <w:t>before</w:t>
      </w:r>
      <w:r>
        <w:rPr>
          <w:rFonts w:hint="default" w:cs="Arial"/>
          <w:color w:val="auto"/>
          <w:sz w:val="22"/>
          <w:szCs w:val="22"/>
          <w:lang w:val="en-US"/>
        </w:rPr>
        <w:t xml:space="preserve"> </w:t>
      </w:r>
      <w:r>
        <w:rPr>
          <w:rFonts w:ascii="Arial" w:hAnsi="Arial" w:eastAsia="Arial" w:cs="Arial"/>
          <w:color w:val="auto"/>
          <w:sz w:val="22"/>
          <w:szCs w:val="22"/>
        </w:rPr>
        <w:t>self</w:t>
      </w:r>
      <w:r>
        <w:rPr>
          <w:rFonts w:hint="default" w:cs="Arial"/>
          <w:color w:val="auto"/>
          <w:sz w:val="22"/>
          <w:szCs w:val="22"/>
          <w:lang w:val="en-US"/>
        </w:rPr>
        <w:t xml:space="preserve"> </w:t>
      </w:r>
      <w:r>
        <w:rPr>
          <w:rFonts w:ascii="Arial" w:hAnsi="Arial" w:eastAsia="Arial" w:cs="Arial"/>
          <w:color w:val="auto"/>
          <w:sz w:val="22"/>
          <w:szCs w:val="22"/>
        </w:rPr>
        <w:t>attention design are directly relevant to the attention module investigated in this project, although SE-ViT is a 2D classification model without pruning or feature</w:t>
      </w:r>
      <w:r>
        <w:rPr>
          <w:rFonts w:hint="default" w:cs="Arial"/>
          <w:color w:val="auto"/>
          <w:sz w:val="22"/>
          <w:szCs w:val="22"/>
          <w:lang w:val="en-US"/>
        </w:rPr>
        <w:t xml:space="preserve"> </w:t>
      </w:r>
      <w:r>
        <w:rPr>
          <w:rFonts w:ascii="Arial" w:hAnsi="Arial" w:eastAsia="Arial" w:cs="Arial"/>
          <w:color w:val="auto"/>
          <w:sz w:val="22"/>
          <w:szCs w:val="22"/>
        </w:rPr>
        <w:t>diversity regularization.</w:t>
      </w:r>
    </w:p>
    <w:p w14:paraId="364A1FDC">
      <w:pPr>
        <w:pStyle w:val="3"/>
        <w:spacing w:before="260" w:after="140"/>
        <w:rPr>
          <w:color w:val="auto"/>
        </w:rPr>
      </w:pPr>
      <w:r>
        <w:rPr>
          <w:rFonts w:ascii="Arial" w:hAnsi="Arial" w:eastAsia="Arial" w:cs="Arial"/>
          <w:b/>
          <w:bCs/>
          <w:color w:val="auto"/>
          <w:sz w:val="25"/>
          <w:szCs w:val="25"/>
        </w:rPr>
        <w:t>3.2 Lightweight and Memory-Efficient Architectures</w:t>
      </w:r>
    </w:p>
    <w:p w14:paraId="4B965392">
      <w:pPr>
        <w:pStyle w:val="4"/>
        <w:spacing w:before="180" w:after="100"/>
        <w:rPr>
          <w:color w:val="auto"/>
        </w:rPr>
      </w:pPr>
      <w:r>
        <w:rPr>
          <w:rFonts w:ascii="Arial" w:hAnsi="Arial" w:eastAsia="Arial" w:cs="Arial"/>
          <w:b/>
          <w:bCs/>
          <w:color w:val="auto"/>
          <w:sz w:val="22"/>
          <w:szCs w:val="22"/>
        </w:rPr>
        <w:t>3.2.1 MEAA-Net [2]</w:t>
      </w:r>
    </w:p>
    <w:p w14:paraId="1A4EC63E">
      <w:pPr>
        <w:spacing w:after="160" w:line="300" w:lineRule="auto"/>
        <w:jc w:val="both"/>
        <w:rPr>
          <w:color w:val="auto"/>
        </w:rPr>
      </w:pPr>
      <w:r>
        <w:rPr>
          <w:rFonts w:ascii="Arial" w:hAnsi="Arial" w:eastAsia="Arial" w:cs="Arial"/>
          <w:color w:val="auto"/>
          <w:sz w:val="22"/>
          <w:szCs w:val="22"/>
        </w:rPr>
        <w:t>Qiao and Chuprat [2] propose a Memory</w:t>
      </w:r>
      <w:r>
        <w:rPr>
          <w:rFonts w:hint="default" w:cs="Arial"/>
          <w:color w:val="auto"/>
          <w:sz w:val="22"/>
          <w:szCs w:val="22"/>
          <w:lang w:val="en-US"/>
        </w:rPr>
        <w:t xml:space="preserve"> </w:t>
      </w:r>
      <w:r>
        <w:rPr>
          <w:rFonts w:ascii="Arial" w:hAnsi="Arial" w:eastAsia="Arial" w:cs="Arial"/>
          <w:color w:val="auto"/>
          <w:sz w:val="22"/>
          <w:szCs w:val="22"/>
        </w:rPr>
        <w:t>Efficient Asymmetric Attention (MEAA) mechanism that partitions feature maps along the batch dimension and applies self</w:t>
      </w:r>
      <w:r>
        <w:rPr>
          <w:rFonts w:hint="default" w:cs="Arial"/>
          <w:color w:val="auto"/>
          <w:sz w:val="22"/>
          <w:szCs w:val="22"/>
          <w:lang w:val="en-US"/>
        </w:rPr>
        <w:t xml:space="preserve"> </w:t>
      </w:r>
      <w:r>
        <w:rPr>
          <w:rFonts w:ascii="Arial" w:hAnsi="Arial" w:eastAsia="Arial" w:cs="Arial"/>
          <w:color w:val="auto"/>
          <w:sz w:val="22"/>
          <w:szCs w:val="22"/>
        </w:rPr>
        <w:t>attention independently within each partition, combined with gradient checkpointing to reduce peak training memory without increasing parameter count. Evaluated on LUNA16 and LIDC-IDRI across five architectural variants, their smallest model (61K parameters, 0.76 GFLOPs) achieves 80.8% accuracy on LUNA16 with an 11 ms single-slice CPU inference time, and the MEAA mechanism reduces peak GPU inference memory by 38.1% and latency by 5.9% relative to a comparable Transformer variant. This paper is highly relevant as a direct efficiency comparator</w:t>
      </w:r>
      <w:r>
        <w:rPr>
          <w:rFonts w:hint="default" w:cs="Arial"/>
          <w:color w:val="auto"/>
          <w:sz w:val="22"/>
          <w:szCs w:val="22"/>
          <w:lang w:val="en-US"/>
        </w:rPr>
        <w:t xml:space="preserve"> as</w:t>
      </w:r>
      <w:r>
        <w:rPr>
          <w:rFonts w:ascii="Arial" w:hAnsi="Arial" w:eastAsia="Arial" w:cs="Arial"/>
          <w:color w:val="auto"/>
          <w:sz w:val="22"/>
          <w:szCs w:val="22"/>
        </w:rPr>
        <w:t xml:space="preserve"> it demonstrates that attention-based lung nodule classification on LUNA16 can be achieved with orders of magnitude fewer parameters than a ResNet-18 baseline, motivating the parallel emphasis in the present project on measuring parameters, FLOPs, memory, and latency alongside detection accuracy. Unlike the present project, MEAA-Net achieves efficiency through batch-partitioned attention and checkpointing rather than explicit weight pruning, and it is 2D-slice based rather than 2.5D.</w:t>
      </w:r>
    </w:p>
    <w:p w14:paraId="646FDD47">
      <w:pPr>
        <w:pStyle w:val="3"/>
        <w:spacing w:before="260" w:after="140"/>
        <w:rPr>
          <w:color w:val="auto"/>
        </w:rPr>
      </w:pPr>
      <w:r>
        <w:rPr>
          <w:rFonts w:ascii="Arial" w:hAnsi="Arial" w:eastAsia="Arial" w:cs="Arial"/>
          <w:b/>
          <w:bCs/>
          <w:color w:val="auto"/>
          <w:sz w:val="25"/>
          <w:szCs w:val="25"/>
        </w:rPr>
        <w:t>3.3 Detection-Oriented (YOLO-Family) Architectures</w:t>
      </w:r>
    </w:p>
    <w:p w14:paraId="2BBA8394">
      <w:pPr>
        <w:pStyle w:val="4"/>
        <w:spacing w:before="180" w:after="100"/>
        <w:rPr>
          <w:color w:val="auto"/>
        </w:rPr>
      </w:pPr>
      <w:r>
        <w:rPr>
          <w:rFonts w:ascii="Arial" w:hAnsi="Arial" w:eastAsia="Arial" w:cs="Arial"/>
          <w:b/>
          <w:bCs/>
          <w:color w:val="auto"/>
          <w:sz w:val="22"/>
          <w:szCs w:val="22"/>
        </w:rPr>
        <w:t>3.3.1 DAFNet: Downsampling Attention Fusion Network [6]</w:t>
      </w:r>
    </w:p>
    <w:p w14:paraId="3B7F48E3">
      <w:pPr>
        <w:spacing w:after="160" w:line="300" w:lineRule="auto"/>
        <w:jc w:val="both"/>
        <w:rPr>
          <w:color w:val="auto"/>
        </w:rPr>
      </w:pPr>
      <w:r>
        <w:rPr>
          <w:rFonts w:ascii="Arial" w:hAnsi="Arial" w:eastAsia="Arial" w:cs="Arial"/>
          <w:color w:val="auto"/>
          <w:sz w:val="22"/>
          <w:szCs w:val="22"/>
        </w:rPr>
        <w:t>Li et al. [6] propose DAFNet, a YOLOv11-based one-stage detector for lung nodule detection with two plug-and-play modules: an Adaptive Downsampling Module (ADSM), a dua</w:t>
      </w:r>
      <w:r>
        <w:rPr>
          <w:rFonts w:hint="default" w:cs="Arial"/>
          <w:color w:val="auto"/>
          <w:sz w:val="22"/>
          <w:szCs w:val="22"/>
          <w:lang w:val="en-US"/>
        </w:rPr>
        <w:t xml:space="preserve">l </w:t>
      </w:r>
      <w:r>
        <w:rPr>
          <w:rFonts w:ascii="Arial" w:hAnsi="Arial" w:eastAsia="Arial" w:cs="Arial"/>
          <w:color w:val="auto"/>
          <w:sz w:val="22"/>
          <w:szCs w:val="22"/>
        </w:rPr>
        <w:t>branch pooling/convolution design that replaces strided convolution to preserve both high and low</w:t>
      </w:r>
      <w:r>
        <w:rPr>
          <w:rFonts w:hint="default" w:cs="Arial"/>
          <w:color w:val="auto"/>
          <w:sz w:val="22"/>
          <w:szCs w:val="22"/>
          <w:lang w:val="en-US"/>
        </w:rPr>
        <w:t xml:space="preserve"> </w:t>
      </w:r>
      <w:r>
        <w:rPr>
          <w:rFonts w:ascii="Arial" w:hAnsi="Arial" w:eastAsia="Arial" w:cs="Arial"/>
          <w:color w:val="auto"/>
          <w:sz w:val="22"/>
          <w:szCs w:val="22"/>
        </w:rPr>
        <w:t>frequency features while reducing parameters, and a Global Attention Module (GAM), which cascades channel and spatial attention to refine morphological and textural nodule features. DAFNet reports 93.2% precision and 90.7% recall on a self-constructed CT dataset and states that it outperforms state-of-the-art methods in terms of mAP on LUNA16, with an inference speed of 1.5 ms per image and approximately 2.5 million trainable parameters. DAFNet is the closest of the reviewed works to an actual lightweight, attention-augmented detection (rather than classification) pipeline evaluated on LUNA16, and the authors explicitly note that it does not include a false-positive-reduction or malignancy-grading stage — a limitation that motivates the present project's continued use of the official LUNA16 FROC/CPM detection</w:t>
      </w:r>
      <w:r>
        <w:rPr>
          <w:rFonts w:hint="default" w:cs="Arial"/>
          <w:color w:val="auto"/>
          <w:sz w:val="22"/>
          <w:szCs w:val="22"/>
          <w:lang w:val="en-US"/>
        </w:rPr>
        <w:t xml:space="preserve"> </w:t>
      </w:r>
      <w:r>
        <w:rPr>
          <w:rFonts w:ascii="Arial" w:hAnsi="Arial" w:eastAsia="Arial" w:cs="Arial"/>
          <w:color w:val="auto"/>
          <w:sz w:val="22"/>
          <w:szCs w:val="22"/>
        </w:rPr>
        <w:t>evaluation protocol.</w:t>
      </w:r>
    </w:p>
    <w:p w14:paraId="66263F4D">
      <w:pPr>
        <w:pStyle w:val="4"/>
        <w:spacing w:before="180" w:after="100"/>
        <w:rPr>
          <w:color w:val="auto"/>
        </w:rPr>
      </w:pPr>
      <w:r>
        <w:rPr>
          <w:rFonts w:ascii="Arial" w:hAnsi="Arial" w:eastAsia="Arial" w:cs="Arial"/>
          <w:b/>
          <w:bCs/>
          <w:color w:val="auto"/>
          <w:sz w:val="22"/>
          <w:szCs w:val="22"/>
        </w:rPr>
        <w:t>3.3.2 TiCNet: Transformer in Convolutional Neural Network [7]</w:t>
      </w:r>
    </w:p>
    <w:p w14:paraId="30AA6B9B">
      <w:pPr>
        <w:spacing w:after="160" w:line="300" w:lineRule="auto"/>
        <w:jc w:val="both"/>
        <w:rPr>
          <w:color w:val="auto"/>
        </w:rPr>
      </w:pPr>
      <w:r>
        <w:rPr>
          <w:rFonts w:ascii="Arial" w:hAnsi="Arial" w:eastAsia="Arial" w:cs="Arial"/>
          <w:color w:val="auto"/>
          <w:sz w:val="22"/>
          <w:szCs w:val="22"/>
        </w:rPr>
        <w:t>Ma et al. [7] propose TiCNet, which embeds a Transformer module within a convolutional detection backbone for pulmonary nodule detection on CT images, reporting improved detection performance over prior CNN</w:t>
      </w:r>
      <w:r>
        <w:rPr>
          <w:rFonts w:hint="default" w:cs="Arial"/>
          <w:color w:val="auto"/>
          <w:sz w:val="22"/>
          <w:szCs w:val="22"/>
          <w:lang w:val="en-US"/>
        </w:rPr>
        <w:t xml:space="preserve"> </w:t>
      </w:r>
      <w:r>
        <w:rPr>
          <w:rFonts w:ascii="Arial" w:hAnsi="Arial" w:eastAsia="Arial" w:cs="Arial"/>
          <w:color w:val="auto"/>
          <w:sz w:val="22"/>
          <w:szCs w:val="22"/>
        </w:rPr>
        <w:t>only detectors on LUNA16. TiCNet is directly relevant as a precedent for combining Transformer</w:t>
      </w:r>
      <w:r>
        <w:rPr>
          <w:rFonts w:hint="default" w:cs="Arial"/>
          <w:color w:val="auto"/>
          <w:sz w:val="22"/>
          <w:szCs w:val="22"/>
          <w:lang w:val="en-US"/>
        </w:rPr>
        <w:t xml:space="preserve"> </w:t>
      </w:r>
      <w:r>
        <w:rPr>
          <w:rFonts w:ascii="Arial" w:hAnsi="Arial" w:eastAsia="Arial" w:cs="Arial"/>
          <w:color w:val="auto"/>
          <w:sz w:val="22"/>
          <w:szCs w:val="22"/>
        </w:rPr>
        <w:t>based contextual modeling with a CNN detection backbone in a detection (rather than classification) setting, supporting the architectural direction adopted in this project.</w:t>
      </w:r>
    </w:p>
    <w:p w14:paraId="72D56B84">
      <w:pPr>
        <w:pStyle w:val="4"/>
        <w:spacing w:before="180" w:after="100"/>
        <w:rPr>
          <w:color w:val="auto"/>
        </w:rPr>
      </w:pPr>
      <w:r>
        <w:rPr>
          <w:rFonts w:ascii="Arial" w:hAnsi="Arial" w:eastAsia="Arial" w:cs="Arial"/>
          <w:b/>
          <w:bCs/>
          <w:color w:val="auto"/>
          <w:sz w:val="22"/>
          <w:szCs w:val="22"/>
        </w:rPr>
        <w:t>3.3.3 Swin Transformer for Lung Nodule Detection [8]</w:t>
      </w:r>
    </w:p>
    <w:p w14:paraId="08862036">
      <w:pPr>
        <w:spacing w:after="160" w:line="300" w:lineRule="auto"/>
        <w:jc w:val="both"/>
        <w:rPr>
          <w:color w:val="auto"/>
        </w:rPr>
      </w:pPr>
      <w:r>
        <w:rPr>
          <w:rFonts w:ascii="Arial" w:hAnsi="Arial" w:eastAsia="Arial" w:cs="Arial"/>
          <w:color w:val="auto"/>
          <w:sz w:val="22"/>
          <w:szCs w:val="22"/>
        </w:rPr>
        <w:t>Shakuri and Rezvanian [8] investigate a Swin</w:t>
      </w:r>
      <w:r>
        <w:rPr>
          <w:rFonts w:hint="default" w:cs="Arial"/>
          <w:color w:val="auto"/>
          <w:sz w:val="22"/>
          <w:szCs w:val="22"/>
          <w:lang w:val="en-US"/>
        </w:rPr>
        <w:t xml:space="preserve"> </w:t>
      </w:r>
      <w:r>
        <w:rPr>
          <w:rFonts w:ascii="Arial" w:hAnsi="Arial" w:eastAsia="Arial" w:cs="Arial"/>
          <w:color w:val="auto"/>
          <w:sz w:val="22"/>
          <w:szCs w:val="22"/>
        </w:rPr>
        <w:t>Transformer</w:t>
      </w:r>
      <w:r>
        <w:rPr>
          <w:rFonts w:hint="default" w:cs="Arial"/>
          <w:color w:val="auto"/>
          <w:sz w:val="22"/>
          <w:szCs w:val="22"/>
          <w:lang w:val="en-US"/>
        </w:rPr>
        <w:t xml:space="preserve"> </w:t>
      </w:r>
      <w:r>
        <w:rPr>
          <w:rFonts w:ascii="Arial" w:hAnsi="Arial" w:eastAsia="Arial" w:cs="Arial"/>
          <w:color w:val="auto"/>
          <w:sz w:val="22"/>
          <w:szCs w:val="22"/>
        </w:rPr>
        <w:t>based detection pipeline for lung nodules, exploring the use of hierarchical, shifted</w:t>
      </w:r>
      <w:r>
        <w:rPr>
          <w:rFonts w:hint="default" w:cs="Arial"/>
          <w:color w:val="auto"/>
          <w:sz w:val="22"/>
          <w:szCs w:val="22"/>
          <w:lang w:val="en-US"/>
        </w:rPr>
        <w:t xml:space="preserve"> </w:t>
      </w:r>
      <w:r>
        <w:rPr>
          <w:rFonts w:ascii="Arial" w:hAnsi="Arial" w:eastAsia="Arial" w:cs="Arial"/>
          <w:color w:val="auto"/>
          <w:sz w:val="22"/>
          <w:szCs w:val="22"/>
        </w:rPr>
        <w:t>window self</w:t>
      </w:r>
      <w:r>
        <w:rPr>
          <w:rFonts w:hint="default" w:cs="Arial"/>
          <w:color w:val="auto"/>
          <w:sz w:val="22"/>
          <w:szCs w:val="22"/>
          <w:lang w:val="en-US"/>
        </w:rPr>
        <w:t xml:space="preserve"> </w:t>
      </w:r>
      <w:r>
        <w:rPr>
          <w:rFonts w:ascii="Arial" w:hAnsi="Arial" w:eastAsia="Arial" w:cs="Arial"/>
          <w:color w:val="auto"/>
          <w:sz w:val="22"/>
          <w:szCs w:val="22"/>
        </w:rPr>
        <w:t>attention as an alternative to conventional CNN backbones for nodule detection. This work is relevant to the choice of Transformer variant considered for the contextual</w:t>
      </w:r>
      <w:r>
        <w:rPr>
          <w:rFonts w:hint="default" w:cs="Arial"/>
          <w:color w:val="auto"/>
          <w:sz w:val="22"/>
          <w:szCs w:val="22"/>
          <w:lang w:val="en-US"/>
        </w:rPr>
        <w:t xml:space="preserve"> </w:t>
      </w:r>
      <w:r>
        <w:rPr>
          <w:rFonts w:ascii="Arial" w:hAnsi="Arial" w:eastAsia="Arial" w:cs="Arial"/>
          <w:color w:val="auto"/>
          <w:sz w:val="22"/>
          <w:szCs w:val="22"/>
        </w:rPr>
        <w:t>feature</w:t>
      </w:r>
      <w:r>
        <w:rPr>
          <w:rFonts w:hint="default" w:cs="Arial"/>
          <w:color w:val="auto"/>
          <w:sz w:val="22"/>
          <w:szCs w:val="22"/>
          <w:lang w:val="en-US"/>
        </w:rPr>
        <w:t xml:space="preserve"> </w:t>
      </w:r>
      <w:r>
        <w:rPr>
          <w:rFonts w:ascii="Arial" w:hAnsi="Arial" w:eastAsia="Arial" w:cs="Arial"/>
          <w:color w:val="auto"/>
          <w:sz w:val="22"/>
          <w:szCs w:val="22"/>
        </w:rPr>
        <w:t>modeling stage of the proposed framework, and illustrates that windowed self</w:t>
      </w:r>
      <w:r>
        <w:rPr>
          <w:rFonts w:hint="default" w:cs="Arial"/>
          <w:color w:val="auto"/>
          <w:sz w:val="22"/>
          <w:szCs w:val="22"/>
          <w:lang w:val="en-US"/>
        </w:rPr>
        <w:t xml:space="preserve"> </w:t>
      </w:r>
      <w:r>
        <w:rPr>
          <w:rFonts w:ascii="Arial" w:hAnsi="Arial" w:eastAsia="Arial" w:cs="Arial"/>
          <w:color w:val="auto"/>
          <w:sz w:val="22"/>
          <w:szCs w:val="22"/>
        </w:rPr>
        <w:t>attention is an actively explored alternative to full self-attention for volumetric/2.5D medical imaging tasks.</w:t>
      </w:r>
    </w:p>
    <w:p w14:paraId="7342B8F7">
      <w:pPr>
        <w:pStyle w:val="3"/>
        <w:spacing w:before="260" w:after="140"/>
        <w:rPr>
          <w:color w:val="auto"/>
        </w:rPr>
      </w:pPr>
      <w:r>
        <w:rPr>
          <w:rFonts w:ascii="Arial" w:hAnsi="Arial" w:eastAsia="Arial" w:cs="Arial"/>
          <w:b/>
          <w:bCs/>
          <w:color w:val="auto"/>
          <w:sz w:val="25"/>
          <w:szCs w:val="25"/>
        </w:rPr>
        <w:t>3.4 A Review of Detection Architectures</w:t>
      </w:r>
    </w:p>
    <w:p w14:paraId="475AB5FD">
      <w:pPr>
        <w:pStyle w:val="4"/>
        <w:spacing w:before="180" w:after="100"/>
        <w:rPr>
          <w:color w:val="auto"/>
        </w:rPr>
      </w:pPr>
      <w:r>
        <w:rPr>
          <w:rFonts w:ascii="Arial" w:hAnsi="Arial" w:eastAsia="Arial" w:cs="Arial"/>
          <w:b/>
          <w:bCs/>
          <w:color w:val="auto"/>
          <w:sz w:val="22"/>
          <w:szCs w:val="22"/>
        </w:rPr>
        <w:t>3.4.1 YOLO in Healthcare: A Comprehensive Review [5]</w:t>
      </w:r>
    </w:p>
    <w:p w14:paraId="68365029">
      <w:pPr>
        <w:spacing w:after="160" w:line="300" w:lineRule="auto"/>
        <w:jc w:val="both"/>
        <w:rPr>
          <w:color w:val="auto"/>
        </w:rPr>
      </w:pPr>
      <w:r>
        <w:rPr>
          <w:rFonts w:ascii="Arial" w:hAnsi="Arial" w:eastAsia="Arial" w:cs="Arial"/>
          <w:color w:val="auto"/>
          <w:sz w:val="22"/>
          <w:szCs w:val="22"/>
        </w:rPr>
        <w:t>Palaniappan et al. [5] present a systematic review of peer-reviewed papers applying YOLO-family object detectors across medical imaging domains, including oncology and radiology. The review documents the architectural evolution of YOLOv1 through YOLOv8+ (backbone/neck/head changes and reported mAP@0.5 improving from 63.4% for YOLOv1 to 89.2% for YOLOv8, as summarized by the reviewed literature) and reports that lightweight variants such as YOLOv5s achieve real-time frame rates in surgical settings. As a review rather than a novel method, this paper is not directly comparable on LUNA16 metrics; it is cited here for background context on detection</w:t>
      </w:r>
      <w:r>
        <w:rPr>
          <w:rFonts w:hint="default" w:cs="Arial"/>
          <w:color w:val="auto"/>
          <w:sz w:val="22"/>
          <w:szCs w:val="22"/>
          <w:lang w:val="en-US"/>
        </w:rPr>
        <w:t xml:space="preserve"> </w:t>
      </w:r>
      <w:r>
        <w:rPr>
          <w:rFonts w:ascii="Arial" w:hAnsi="Arial" w:eastAsia="Arial" w:cs="Arial"/>
          <w:color w:val="auto"/>
          <w:sz w:val="22"/>
          <w:szCs w:val="22"/>
        </w:rPr>
        <w:t>architecture trends and the role of attention/Transformer</w:t>
      </w:r>
      <w:r>
        <w:rPr>
          <w:rFonts w:hint="default" w:cs="Arial"/>
          <w:color w:val="auto"/>
          <w:sz w:val="22"/>
          <w:szCs w:val="22"/>
          <w:lang w:val="en-US"/>
        </w:rPr>
        <w:t xml:space="preserve"> </w:t>
      </w:r>
      <w:r>
        <w:rPr>
          <w:rFonts w:ascii="Arial" w:hAnsi="Arial" w:eastAsia="Arial" w:cs="Arial"/>
          <w:color w:val="auto"/>
          <w:sz w:val="22"/>
          <w:szCs w:val="22"/>
        </w:rPr>
        <w:t>enhanced backbones in medical object detection, which motivates situating the proposed 2.5D CNN</w:t>
      </w:r>
      <w:r>
        <w:rPr>
          <w:rFonts w:hint="default" w:cs="Arial"/>
          <w:color w:val="auto"/>
          <w:sz w:val="22"/>
          <w:szCs w:val="22"/>
          <w:lang w:val="en-US"/>
        </w:rPr>
        <w:t>-</w:t>
      </w:r>
      <w:r>
        <w:rPr>
          <w:rFonts w:ascii="Arial" w:hAnsi="Arial" w:eastAsia="Arial" w:cs="Arial"/>
          <w:color w:val="auto"/>
          <w:sz w:val="22"/>
          <w:szCs w:val="22"/>
        </w:rPr>
        <w:t>Transformer detector within the broader detection</w:t>
      </w:r>
      <w:r>
        <w:rPr>
          <w:rFonts w:hint="default" w:cs="Arial"/>
          <w:color w:val="auto"/>
          <w:sz w:val="22"/>
          <w:szCs w:val="22"/>
          <w:lang w:val="en-US"/>
        </w:rPr>
        <w:t xml:space="preserve"> </w:t>
      </w:r>
      <w:r>
        <w:rPr>
          <w:rFonts w:ascii="Arial" w:hAnsi="Arial" w:eastAsia="Arial" w:cs="Arial"/>
          <w:color w:val="auto"/>
          <w:sz w:val="22"/>
          <w:szCs w:val="22"/>
        </w:rPr>
        <w:t>architecture literature rather than treating it as an isolated classification problem.</w:t>
      </w:r>
    </w:p>
    <w:p w14:paraId="197D3455">
      <w:pPr>
        <w:pStyle w:val="3"/>
        <w:spacing w:before="260" w:after="140"/>
        <w:rPr>
          <w:color w:val="auto"/>
        </w:rPr>
      </w:pPr>
      <w:r>
        <w:rPr>
          <w:rFonts w:ascii="Arial" w:hAnsi="Arial" w:eastAsia="Arial" w:cs="Arial"/>
          <w:b/>
          <w:bCs/>
          <w:color w:val="auto"/>
          <w:sz w:val="25"/>
          <w:szCs w:val="25"/>
        </w:rPr>
        <w:t>3.5 Feature-Diversity Regularization</w:t>
      </w:r>
    </w:p>
    <w:p w14:paraId="0F724FB0">
      <w:pPr>
        <w:spacing w:after="160" w:line="300" w:lineRule="auto"/>
        <w:jc w:val="both"/>
        <w:rPr>
          <w:color w:val="auto"/>
        </w:rPr>
      </w:pPr>
      <w:r>
        <w:rPr>
          <w:rFonts w:ascii="Arial" w:hAnsi="Arial" w:eastAsia="Arial" w:cs="Arial"/>
          <w:color w:val="auto"/>
          <w:sz w:val="22"/>
          <w:szCs w:val="22"/>
        </w:rPr>
        <w:t xml:space="preserve">The proposed Nodule Feature Diversity (NFD) regularization term (Section 5.3) is conceptually related to but </w:t>
      </w:r>
      <w:r>
        <w:rPr>
          <w:rFonts w:hint="default" w:cs="Arial"/>
          <w:color w:val="auto"/>
          <w:sz w:val="22"/>
          <w:szCs w:val="22"/>
          <w:lang w:val="en-US"/>
        </w:rPr>
        <w:t xml:space="preserve">is </w:t>
      </w:r>
      <w:r>
        <w:rPr>
          <w:rFonts w:ascii="Arial" w:hAnsi="Arial" w:eastAsia="Arial" w:cs="Arial"/>
          <w:color w:val="auto"/>
          <w:sz w:val="22"/>
          <w:szCs w:val="22"/>
        </w:rPr>
        <w:t>distinct from, existing feature</w:t>
      </w:r>
      <w:r>
        <w:rPr>
          <w:rFonts w:hint="default" w:cs="Arial"/>
          <w:color w:val="auto"/>
          <w:sz w:val="22"/>
          <w:szCs w:val="22"/>
          <w:lang w:val="en-US"/>
        </w:rPr>
        <w:t xml:space="preserve"> </w:t>
      </w:r>
      <w:r>
        <w:rPr>
          <w:rFonts w:ascii="Arial" w:hAnsi="Arial" w:eastAsia="Arial" w:cs="Arial"/>
          <w:color w:val="auto"/>
          <w:sz w:val="22"/>
          <w:szCs w:val="22"/>
        </w:rPr>
        <w:t>diversity and redundancy</w:t>
      </w:r>
      <w:r>
        <w:rPr>
          <w:rFonts w:hint="default" w:cs="Arial"/>
          <w:color w:val="auto"/>
          <w:sz w:val="22"/>
          <w:szCs w:val="22"/>
          <w:lang w:val="en-US"/>
        </w:rPr>
        <w:t xml:space="preserve"> </w:t>
      </w:r>
      <w:r>
        <w:rPr>
          <w:rFonts w:ascii="Arial" w:hAnsi="Arial" w:eastAsia="Arial" w:cs="Arial"/>
          <w:color w:val="auto"/>
          <w:sz w:val="22"/>
          <w:szCs w:val="22"/>
        </w:rPr>
        <w:t>reduction regularizers in the general deep learning literature.</w:t>
      </w:r>
    </w:p>
    <w:p w14:paraId="06E0B9AF">
      <w:pPr>
        <w:pStyle w:val="4"/>
        <w:spacing w:before="180" w:after="100"/>
        <w:rPr>
          <w:color w:val="auto"/>
        </w:rPr>
      </w:pPr>
      <w:r>
        <w:rPr>
          <w:rFonts w:ascii="Arial" w:hAnsi="Arial" w:eastAsia="Arial" w:cs="Arial"/>
          <w:b/>
          <w:bCs/>
          <w:color w:val="auto"/>
          <w:sz w:val="22"/>
          <w:szCs w:val="22"/>
        </w:rPr>
        <w:t>3.5.1 VICReg [9]</w:t>
      </w:r>
    </w:p>
    <w:p w14:paraId="46BC0E83">
      <w:pPr>
        <w:spacing w:after="160" w:line="300" w:lineRule="auto"/>
        <w:jc w:val="both"/>
        <w:rPr>
          <w:color w:val="auto"/>
        </w:rPr>
      </w:pPr>
      <w:r>
        <w:rPr>
          <w:rFonts w:ascii="Arial" w:hAnsi="Arial" w:eastAsia="Arial" w:cs="Arial"/>
          <w:color w:val="auto"/>
          <w:sz w:val="22"/>
          <w:szCs w:val="22"/>
        </w:rPr>
        <w:t>Bardes et al. [9] propose Variance</w:t>
      </w:r>
      <w:r>
        <w:rPr>
          <w:rFonts w:hint="default" w:cs="Arial"/>
          <w:color w:val="auto"/>
          <w:sz w:val="22"/>
          <w:szCs w:val="22"/>
          <w:lang w:val="en-US"/>
        </w:rPr>
        <w:t xml:space="preserve"> </w:t>
      </w:r>
      <w:r>
        <w:rPr>
          <w:rFonts w:ascii="Arial" w:hAnsi="Arial" w:eastAsia="Arial" w:cs="Arial"/>
          <w:color w:val="auto"/>
          <w:sz w:val="22"/>
          <w:szCs w:val="22"/>
        </w:rPr>
        <w:t>Invariance</w:t>
      </w:r>
      <w:r>
        <w:rPr>
          <w:rFonts w:hint="default" w:cs="Arial"/>
          <w:color w:val="auto"/>
          <w:sz w:val="22"/>
          <w:szCs w:val="22"/>
          <w:lang w:val="en-US"/>
        </w:rPr>
        <w:t xml:space="preserve"> </w:t>
      </w:r>
      <w:r>
        <w:rPr>
          <w:rFonts w:ascii="Arial" w:hAnsi="Arial" w:eastAsia="Arial" w:cs="Arial"/>
          <w:color w:val="auto"/>
          <w:sz w:val="22"/>
          <w:szCs w:val="22"/>
        </w:rPr>
        <w:t>Covariance Regularization (VICReg) for self-supervised representation learning, which explicitly regularizes the variance of each embedding dimension and decorrelates different embedding dimensions via a covariance penalty, preventing representational collapse without requiring negative sample pairs. The variance and covariance terms in VICReg provide a template for how a diversity/redundancy</w:t>
      </w:r>
      <w:r>
        <w:rPr>
          <w:rFonts w:hint="default" w:cs="Arial"/>
          <w:color w:val="auto"/>
          <w:sz w:val="22"/>
          <w:szCs w:val="22"/>
          <w:lang w:val="en-US"/>
        </w:rPr>
        <w:t xml:space="preserve"> </w:t>
      </w:r>
      <w:r>
        <w:rPr>
          <w:rFonts w:ascii="Arial" w:hAnsi="Arial" w:eastAsia="Arial" w:cs="Arial"/>
          <w:color w:val="auto"/>
          <w:sz w:val="22"/>
          <w:szCs w:val="22"/>
        </w:rPr>
        <w:t>reduction penalty can be defined directly on learned feature embeddings, which informs the design rationale for the proposed NFD loss, although VICReg is developed for general self</w:t>
      </w:r>
      <w:r>
        <w:rPr>
          <w:rFonts w:hint="default" w:cs="Arial"/>
          <w:color w:val="auto"/>
          <w:sz w:val="22"/>
          <w:szCs w:val="22"/>
          <w:lang w:val="en-US"/>
        </w:rPr>
        <w:t xml:space="preserve"> </w:t>
      </w:r>
      <w:r>
        <w:rPr>
          <w:rFonts w:ascii="Arial" w:hAnsi="Arial" w:eastAsia="Arial" w:cs="Arial"/>
          <w:color w:val="auto"/>
          <w:sz w:val="22"/>
          <w:szCs w:val="22"/>
        </w:rPr>
        <w:t>supervised representation learning rather than medical nodule detection.</w:t>
      </w:r>
    </w:p>
    <w:p w14:paraId="0EE55C41">
      <w:pPr>
        <w:pStyle w:val="2"/>
        <w:pBdr>
          <w:bottom w:val="single" w:color="2563EB" w:sz="8" w:space="4"/>
        </w:pBdr>
        <w:spacing w:before="360" w:after="200"/>
        <w:rPr>
          <w:color w:val="auto"/>
        </w:rPr>
      </w:pPr>
      <w:r>
        <w:rPr>
          <w:rFonts w:ascii="Arial" w:hAnsi="Arial" w:eastAsia="Arial" w:cs="Arial"/>
          <w:b/>
          <w:bCs/>
          <w:color w:val="auto"/>
          <w:sz w:val="30"/>
          <w:szCs w:val="30"/>
        </w:rPr>
        <w:t>4. Problem Statement</w:t>
      </w:r>
    </w:p>
    <w:p w14:paraId="7AA3971C">
      <w:pPr>
        <w:keepNext w:val="0"/>
        <w:keepLines w:val="0"/>
        <w:pageBreakBefore w:val="0"/>
        <w:widowControl/>
        <w:kinsoku/>
        <w:wordWrap/>
        <w:overflowPunct/>
        <w:topLinePunct w:val="0"/>
        <w:autoSpaceDE/>
        <w:autoSpaceDN/>
        <w:bidi w:val="0"/>
        <w:adjustRightInd/>
        <w:snapToGrid/>
        <w:spacing w:line="312" w:lineRule="auto"/>
        <w:jc w:val="both"/>
        <w:textAlignment w:val="auto"/>
        <w:rPr>
          <w:lang/>
        </w:rPr>
      </w:pPr>
      <w:r>
        <w:rPr>
          <w:lang/>
        </w:rPr>
        <w:t>Lung nodule detection from CT scans is challenging due to variations in nodule size, shape, density, and contrast, along with severe class imbalance. While 2D approaches are computationally efficient, they may lose inter-slice context, whereas 3D approaches preserve this information at significantly higher computational and memory costs. Existing research has explored CNN–Transformer architectures, attention mechanisms, and lightweight models largely in isolation, leaving the effectiveness of their integrated use and feature redundancy control insufficiently established.</w:t>
      </w:r>
    </w:p>
    <w:p w14:paraId="28606571">
      <w:pPr>
        <w:keepNext w:val="0"/>
        <w:keepLines w:val="0"/>
        <w:pageBreakBefore w:val="0"/>
        <w:widowControl/>
        <w:kinsoku/>
        <w:wordWrap/>
        <w:overflowPunct/>
        <w:topLinePunct w:val="0"/>
        <w:autoSpaceDE/>
        <w:autoSpaceDN/>
        <w:bidi w:val="0"/>
        <w:adjustRightInd/>
        <w:snapToGrid/>
        <w:spacing w:line="312" w:lineRule="auto"/>
        <w:jc w:val="both"/>
        <w:textAlignment w:val="auto"/>
      </w:pPr>
      <w:r>
        <w:rPr>
          <w:lang/>
        </w:rPr>
        <w:t>This project therefore aims to design and experimentally evaluate a 2.5D CNN</w:t>
      </w:r>
      <w:r>
        <w:rPr>
          <w:rFonts w:hint="default"/>
          <w:lang w:val="en-US"/>
        </w:rPr>
        <w:t>-</w:t>
      </w:r>
      <w:r>
        <w:rPr>
          <w:lang/>
        </w:rPr>
        <w:t>Transformer lung nodule detection framework incorporating attention, progressive pruning, and Nodule Feature Diversity (NFD) regularization. Using controlled single-variable ablation experiments on the LUNA16 dataset, the study will determine whether these components individually or jointly improve the trade-off between detection performance (FROC/CPM, sensitivity, false positives) and computational efficiency (parameters, FLOPs, memory, latency, and sparsity), without assuming that any component is inherently beneficial.</w:t>
      </w:r>
    </w:p>
    <w:p w14:paraId="07360B99">
      <w:pPr>
        <w:spacing w:after="160" w:line="300" w:lineRule="auto"/>
        <w:jc w:val="both"/>
        <w:rPr>
          <w:color w:val="auto"/>
        </w:rPr>
      </w:pPr>
    </w:p>
    <w:p w14:paraId="07EF975B">
      <w:pPr>
        <w:pStyle w:val="2"/>
        <w:pBdr>
          <w:bottom w:val="single" w:color="2563EB" w:sz="8" w:space="4"/>
        </w:pBdr>
        <w:spacing w:before="360" w:after="200"/>
        <w:rPr>
          <w:color w:val="auto"/>
        </w:rPr>
      </w:pPr>
      <w:r>
        <w:rPr>
          <w:rFonts w:ascii="Arial" w:hAnsi="Arial" w:eastAsia="Arial" w:cs="Arial"/>
          <w:b/>
          <w:bCs/>
          <w:color w:val="auto"/>
          <w:sz w:val="30"/>
          <w:szCs w:val="30"/>
        </w:rPr>
        <w:t>5. Objective and Methodology</w:t>
      </w:r>
    </w:p>
    <w:p w14:paraId="5975372D">
      <w:pPr>
        <w:pStyle w:val="3"/>
        <w:spacing w:before="260" w:after="140"/>
        <w:rPr>
          <w:color w:val="auto"/>
        </w:rPr>
      </w:pPr>
      <w:r>
        <w:rPr>
          <w:rFonts w:ascii="Arial" w:hAnsi="Arial" w:eastAsia="Arial" w:cs="Arial"/>
          <w:b/>
          <w:bCs/>
          <w:color w:val="auto"/>
          <w:sz w:val="25"/>
          <w:szCs w:val="25"/>
        </w:rPr>
        <w:t>5.1 Research Objectives</w:t>
      </w:r>
    </w:p>
    <w:p w14:paraId="799118DA">
      <w:pPr>
        <w:spacing w:after="160" w:line="300" w:lineRule="auto"/>
        <w:jc w:val="both"/>
        <w:rPr>
          <w:color w:val="auto"/>
        </w:rPr>
      </w:pPr>
      <w:r>
        <w:rPr>
          <w:rFonts w:ascii="Arial" w:hAnsi="Arial" w:eastAsia="Arial" w:cs="Arial"/>
          <w:color w:val="auto"/>
          <w:sz w:val="22"/>
          <w:szCs w:val="22"/>
        </w:rPr>
        <w:t>The central research question guiding this project is:</w:t>
      </w:r>
    </w:p>
    <w:p w14:paraId="0F0B7130">
      <w:pPr>
        <w:spacing w:after="160" w:line="300" w:lineRule="auto"/>
        <w:jc w:val="both"/>
        <w:rPr>
          <w:color w:val="auto"/>
        </w:rPr>
      </w:pPr>
      <w:r>
        <w:rPr>
          <w:rFonts w:ascii="Arial" w:hAnsi="Arial" w:eastAsia="Arial" w:cs="Arial"/>
          <w:b/>
          <w:bCs/>
          <w:i/>
          <w:iCs/>
          <w:color w:val="auto"/>
          <w:sz w:val="22"/>
          <w:szCs w:val="22"/>
        </w:rPr>
        <w:t>“Can a 2.5D CNN</w:t>
      </w:r>
      <w:r>
        <w:rPr>
          <w:rFonts w:hint="default" w:cs="Arial"/>
          <w:b/>
          <w:bCs/>
          <w:i/>
          <w:iCs/>
          <w:color w:val="auto"/>
          <w:sz w:val="22"/>
          <w:szCs w:val="22"/>
          <w:lang w:val="en-US"/>
        </w:rPr>
        <w:t>-</w:t>
      </w:r>
      <w:r>
        <w:rPr>
          <w:rFonts w:ascii="Arial" w:hAnsi="Arial" w:eastAsia="Arial" w:cs="Arial"/>
          <w:b/>
          <w:bCs/>
          <w:i/>
          <w:iCs/>
          <w:color w:val="auto"/>
          <w:sz w:val="22"/>
          <w:szCs w:val="22"/>
        </w:rPr>
        <w:t>Transformer lung nodule detection framework, enhanced with attention, progressive pruning, and Nodule Feature Diversity regularization, achieve a useful balance between detection performance and computational efficiency on LUNA16?”</w:t>
      </w:r>
    </w:p>
    <w:p w14:paraId="649DB97D">
      <w:pPr>
        <w:pStyle w:val="4"/>
        <w:spacing w:before="180" w:after="100"/>
        <w:rPr>
          <w:color w:val="auto"/>
        </w:rPr>
      </w:pPr>
      <w:r>
        <w:rPr>
          <w:rFonts w:ascii="Arial" w:hAnsi="Arial" w:eastAsia="Arial" w:cs="Arial"/>
          <w:b/>
          <w:bCs/>
          <w:color w:val="auto"/>
          <w:sz w:val="22"/>
          <w:szCs w:val="22"/>
        </w:rPr>
        <w:t>5.1.1 Primary Objective</w:t>
      </w:r>
    </w:p>
    <w:p w14:paraId="1BBAC8D7">
      <w:pPr>
        <w:spacing w:after="160" w:line="300" w:lineRule="auto"/>
        <w:jc w:val="both"/>
        <w:rPr>
          <w:color w:val="auto"/>
        </w:rPr>
      </w:pPr>
      <w:r>
        <w:rPr>
          <w:rFonts w:ascii="Arial" w:hAnsi="Arial" w:eastAsia="Arial" w:cs="Arial"/>
          <w:color w:val="auto"/>
          <w:sz w:val="22"/>
          <w:szCs w:val="22"/>
        </w:rPr>
        <w:t>To develop and evaluate a complete lung nodule detection framework using a 2.5D CT input representation and CNN–Transformer feature extraction.</w:t>
      </w:r>
    </w:p>
    <w:p w14:paraId="1E3F8F49">
      <w:pPr>
        <w:pStyle w:val="4"/>
        <w:spacing w:before="180" w:after="100"/>
        <w:rPr>
          <w:color w:val="auto"/>
        </w:rPr>
      </w:pPr>
      <w:r>
        <w:rPr>
          <w:rFonts w:ascii="Arial" w:hAnsi="Arial" w:eastAsia="Arial" w:cs="Arial"/>
          <w:b/>
          <w:bCs/>
          <w:color w:val="auto"/>
          <w:sz w:val="22"/>
          <w:szCs w:val="22"/>
        </w:rPr>
        <w:t>5.1.2 Secondary Objectives</w:t>
      </w:r>
    </w:p>
    <w:p w14:paraId="46FC80B8">
      <w:pPr>
        <w:pStyle w:val="18"/>
        <w:numPr>
          <w:ilvl w:val="0"/>
          <w:numId w:val="1"/>
        </w:numPr>
        <w:spacing w:after="100" w:line="280" w:lineRule="auto"/>
        <w:rPr>
          <w:color w:val="auto"/>
        </w:rPr>
      </w:pPr>
      <w:r>
        <w:rPr>
          <w:rFonts w:ascii="Arial" w:hAnsi="Arial" w:eastAsia="Arial" w:cs="Arial"/>
          <w:color w:val="auto"/>
          <w:sz w:val="22"/>
          <w:szCs w:val="22"/>
        </w:rPr>
        <w:t>Establish a reproducible lung nodule detection baseline.</w:t>
      </w:r>
    </w:p>
    <w:p w14:paraId="23F6ED15">
      <w:pPr>
        <w:pStyle w:val="18"/>
        <w:numPr>
          <w:ilvl w:val="0"/>
          <w:numId w:val="1"/>
        </w:numPr>
        <w:spacing w:after="100" w:line="280" w:lineRule="auto"/>
        <w:rPr>
          <w:color w:val="auto"/>
        </w:rPr>
      </w:pPr>
      <w:r>
        <w:rPr>
          <w:rFonts w:ascii="Arial" w:hAnsi="Arial" w:eastAsia="Arial" w:cs="Arial"/>
          <w:color w:val="auto"/>
          <w:sz w:val="22"/>
          <w:szCs w:val="22"/>
        </w:rPr>
        <w:t>Investigate the contribution of Transformer</w:t>
      </w:r>
      <w:r>
        <w:rPr>
          <w:rFonts w:hint="default" w:cs="Arial"/>
          <w:color w:val="auto"/>
          <w:sz w:val="22"/>
          <w:szCs w:val="22"/>
          <w:lang w:val="en-US"/>
        </w:rPr>
        <w:t xml:space="preserve"> </w:t>
      </w:r>
      <w:r>
        <w:rPr>
          <w:rFonts w:ascii="Arial" w:hAnsi="Arial" w:eastAsia="Arial" w:cs="Arial"/>
          <w:color w:val="auto"/>
          <w:sz w:val="22"/>
          <w:szCs w:val="22"/>
        </w:rPr>
        <w:t>based contextual modeling over a CNN</w:t>
      </w:r>
      <w:r>
        <w:rPr>
          <w:rFonts w:hint="default" w:cs="Arial"/>
          <w:color w:val="auto"/>
          <w:sz w:val="22"/>
          <w:szCs w:val="22"/>
          <w:lang w:val="en-US"/>
        </w:rPr>
        <w:t xml:space="preserve"> </w:t>
      </w:r>
      <w:r>
        <w:rPr>
          <w:rFonts w:ascii="Arial" w:hAnsi="Arial" w:eastAsia="Arial" w:cs="Arial"/>
          <w:color w:val="auto"/>
          <w:sz w:val="22"/>
          <w:szCs w:val="22"/>
        </w:rPr>
        <w:t>only backbone.</w:t>
      </w:r>
    </w:p>
    <w:p w14:paraId="7D7BD61A">
      <w:pPr>
        <w:pStyle w:val="18"/>
        <w:numPr>
          <w:ilvl w:val="0"/>
          <w:numId w:val="1"/>
        </w:numPr>
        <w:spacing w:after="100" w:line="280" w:lineRule="auto"/>
        <w:rPr>
          <w:color w:val="auto"/>
        </w:rPr>
      </w:pPr>
      <w:r>
        <w:rPr>
          <w:rFonts w:ascii="Arial" w:hAnsi="Arial" w:eastAsia="Arial" w:cs="Arial"/>
          <w:color w:val="auto"/>
          <w:sz w:val="22"/>
          <w:szCs w:val="22"/>
        </w:rPr>
        <w:t>Develop and evaluate a progressive pruning strategy.</w:t>
      </w:r>
    </w:p>
    <w:p w14:paraId="20CDB47D">
      <w:pPr>
        <w:pStyle w:val="18"/>
        <w:numPr>
          <w:ilvl w:val="0"/>
          <w:numId w:val="1"/>
        </w:numPr>
        <w:spacing w:after="100" w:line="280" w:lineRule="auto"/>
        <w:rPr>
          <w:color w:val="auto"/>
        </w:rPr>
      </w:pPr>
      <w:r>
        <w:rPr>
          <w:rFonts w:ascii="Arial" w:hAnsi="Arial" w:eastAsia="Arial" w:cs="Arial"/>
          <w:color w:val="auto"/>
          <w:sz w:val="22"/>
          <w:szCs w:val="22"/>
        </w:rPr>
        <w:t>Develop and evaluate a task</w:t>
      </w:r>
      <w:r>
        <w:rPr>
          <w:rFonts w:hint="default" w:cs="Arial"/>
          <w:color w:val="auto"/>
          <w:sz w:val="22"/>
          <w:szCs w:val="22"/>
          <w:lang w:val="en-US"/>
        </w:rPr>
        <w:t xml:space="preserve"> </w:t>
      </w:r>
      <w:r>
        <w:rPr>
          <w:rFonts w:ascii="Arial" w:hAnsi="Arial" w:eastAsia="Arial" w:cs="Arial"/>
          <w:color w:val="auto"/>
          <w:sz w:val="22"/>
          <w:szCs w:val="22"/>
        </w:rPr>
        <w:t>specific Nodule Feature Diversity (NFD) regularization term.</w:t>
      </w:r>
    </w:p>
    <w:p w14:paraId="01823853">
      <w:pPr>
        <w:pStyle w:val="18"/>
        <w:numPr>
          <w:ilvl w:val="0"/>
          <w:numId w:val="1"/>
        </w:numPr>
        <w:spacing w:after="100" w:line="280" w:lineRule="auto"/>
        <w:rPr>
          <w:color w:val="auto"/>
        </w:rPr>
      </w:pPr>
      <w:r>
        <w:rPr>
          <w:rFonts w:ascii="Arial" w:hAnsi="Arial" w:eastAsia="Arial" w:cs="Arial"/>
          <w:color w:val="auto"/>
          <w:sz w:val="22"/>
          <w:szCs w:val="22"/>
        </w:rPr>
        <w:t>Evaluate detection performance using LUNA16</w:t>
      </w:r>
      <w:r>
        <w:rPr>
          <w:rFonts w:hint="default" w:cs="Arial"/>
          <w:color w:val="auto"/>
          <w:sz w:val="22"/>
          <w:szCs w:val="22"/>
          <w:lang w:val="en-US"/>
        </w:rPr>
        <w:t xml:space="preserve"> </w:t>
      </w:r>
      <w:r>
        <w:rPr>
          <w:rFonts w:ascii="Arial" w:hAnsi="Arial" w:eastAsia="Arial" w:cs="Arial"/>
          <w:color w:val="auto"/>
          <w:sz w:val="22"/>
          <w:szCs w:val="22"/>
        </w:rPr>
        <w:t>appropriate metrics (FROC, CPM, sensitivity, false positives per scan).</w:t>
      </w:r>
    </w:p>
    <w:p w14:paraId="14D5AE8E">
      <w:pPr>
        <w:pStyle w:val="18"/>
        <w:numPr>
          <w:ilvl w:val="0"/>
          <w:numId w:val="1"/>
        </w:numPr>
        <w:spacing w:after="100" w:line="280" w:lineRule="auto"/>
        <w:rPr>
          <w:color w:val="auto"/>
        </w:rPr>
      </w:pPr>
      <w:r>
        <w:rPr>
          <w:rFonts w:ascii="Arial" w:hAnsi="Arial" w:eastAsia="Arial" w:cs="Arial"/>
          <w:color w:val="auto"/>
          <w:sz w:val="22"/>
          <w:szCs w:val="22"/>
        </w:rPr>
        <w:t>Measure computational characteristics (parameters, FLOPs/MACs, memory, latency, sparsity, throughput) for every experimental configuration.</w:t>
      </w:r>
    </w:p>
    <w:p w14:paraId="5BBC9AA6">
      <w:pPr>
        <w:pStyle w:val="18"/>
        <w:numPr>
          <w:ilvl w:val="0"/>
          <w:numId w:val="1"/>
        </w:numPr>
        <w:spacing w:after="100" w:line="280" w:lineRule="auto"/>
        <w:rPr>
          <w:color w:val="auto"/>
        </w:rPr>
      </w:pPr>
      <w:r>
        <w:rPr>
          <w:rFonts w:ascii="Arial" w:hAnsi="Arial" w:eastAsia="Arial" w:cs="Arial"/>
          <w:color w:val="auto"/>
          <w:sz w:val="22"/>
          <w:szCs w:val="22"/>
        </w:rPr>
        <w:t>Perform controlled experiments to isolate the contribution of each component, and analyze the resulting performance</w:t>
      </w:r>
      <w:r>
        <w:rPr>
          <w:rFonts w:hint="default" w:cs="Arial"/>
          <w:color w:val="auto"/>
          <w:sz w:val="22"/>
          <w:szCs w:val="22"/>
          <w:lang w:val="en-US"/>
        </w:rPr>
        <w:t>-</w:t>
      </w:r>
      <w:r>
        <w:rPr>
          <w:rFonts w:ascii="Arial" w:hAnsi="Arial" w:eastAsia="Arial" w:cs="Arial"/>
          <w:color w:val="auto"/>
          <w:sz w:val="22"/>
          <w:szCs w:val="22"/>
        </w:rPr>
        <w:t>efficiency trade-off.</w:t>
      </w:r>
    </w:p>
    <w:p w14:paraId="216549B1">
      <w:pPr>
        <w:pStyle w:val="3"/>
        <w:spacing w:before="260" w:after="140"/>
        <w:rPr>
          <w:color w:val="auto"/>
        </w:rPr>
      </w:pPr>
      <w:r>
        <w:rPr>
          <w:rFonts w:ascii="Arial" w:hAnsi="Arial" w:eastAsia="Arial" w:cs="Arial"/>
          <w:b/>
          <w:bCs/>
          <w:color w:val="auto"/>
          <w:sz w:val="25"/>
          <w:szCs w:val="25"/>
        </w:rPr>
        <w:t>5.2 Proposed Architecture</w:t>
      </w:r>
    </w:p>
    <w:p w14:paraId="0F572EBF">
      <w:pPr>
        <w:spacing w:after="160" w:line="300" w:lineRule="auto"/>
        <w:jc w:val="both"/>
        <w:rPr>
          <w:rFonts w:ascii="Arial" w:hAnsi="Arial" w:eastAsia="Arial" w:cs="Arial"/>
          <w:color w:val="auto"/>
          <w:sz w:val="22"/>
          <w:szCs w:val="22"/>
        </w:rPr>
      </w:pPr>
      <w:r>
        <w:rPr>
          <w:rFonts w:ascii="Arial" w:hAnsi="Arial" w:eastAsia="Arial" w:cs="Arial"/>
          <w:color w:val="auto"/>
          <w:sz w:val="22"/>
          <w:szCs w:val="22"/>
        </w:rPr>
        <w:t xml:space="preserve">Figure 5.1 summarizes the </w:t>
      </w:r>
      <w:r>
        <w:rPr>
          <w:rFonts w:hint="default" w:cs="Arial"/>
          <w:color w:val="auto"/>
          <w:sz w:val="22"/>
          <w:szCs w:val="22"/>
          <w:lang w:val="en-US"/>
        </w:rPr>
        <w:t>proposed architecture</w:t>
      </w:r>
      <w:r>
        <w:rPr>
          <w:rFonts w:ascii="Arial" w:hAnsi="Arial" w:eastAsia="Arial" w:cs="Arial"/>
          <w:color w:val="auto"/>
          <w:sz w:val="22"/>
          <w:szCs w:val="22"/>
        </w:rPr>
        <w:t>.</w:t>
      </w:r>
    </w:p>
    <w:p w14:paraId="79D5E689">
      <w:pPr>
        <w:spacing w:after="160" w:line="300" w:lineRule="auto"/>
        <w:jc w:val="both"/>
        <w:rPr>
          <w:rFonts w:hint="default" w:ascii="Arial" w:hAnsi="Arial" w:eastAsia="Arial" w:cs="Arial"/>
          <w:color w:val="auto"/>
          <w:sz w:val="22"/>
          <w:szCs w:val="22"/>
          <w:lang w:val="en-US"/>
        </w:rPr>
      </w:pPr>
      <w:r>
        <w:rPr>
          <w:rFonts w:hint="default" w:ascii="Arial" w:hAnsi="Arial" w:eastAsia="Arial" w:cs="Arial"/>
          <w:color w:val="auto"/>
          <w:sz w:val="22"/>
          <w:szCs w:val="22"/>
          <w:lang w:val="en-US"/>
        </w:rPr>
        <w:drawing>
          <wp:inline distT="0" distB="0" distL="114300" distR="114300">
            <wp:extent cx="5905500" cy="5577205"/>
            <wp:effectExtent l="0" t="0" r="12700" b="10795"/>
            <wp:docPr id="3" name="Picture 3" descr="BTP-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TP-1.drawio"/>
                    <pic:cNvPicPr>
                      <a:picLocks noChangeAspect="1"/>
                    </pic:cNvPicPr>
                  </pic:nvPicPr>
                  <pic:blipFill>
                    <a:blip r:embed="rId7"/>
                    <a:stretch>
                      <a:fillRect/>
                    </a:stretch>
                  </pic:blipFill>
                  <pic:spPr>
                    <a:xfrm>
                      <a:off x="0" y="0"/>
                      <a:ext cx="5905500" cy="5577205"/>
                    </a:xfrm>
                    <a:prstGeom prst="rect">
                      <a:avLst/>
                    </a:prstGeom>
                  </pic:spPr>
                </pic:pic>
              </a:graphicData>
            </a:graphic>
          </wp:inline>
        </w:drawing>
      </w:r>
    </w:p>
    <w:p w14:paraId="638AE1ED">
      <w:pPr>
        <w:spacing w:before="80" w:after="240"/>
        <w:jc w:val="center"/>
        <w:rPr>
          <w:color w:val="auto"/>
        </w:rPr>
      </w:pPr>
      <w:r>
        <w:rPr>
          <w:rFonts w:ascii="Arial" w:hAnsi="Arial" w:eastAsia="Arial" w:cs="Arial"/>
          <w:i/>
          <w:iCs/>
          <w:color w:val="auto"/>
          <w:sz w:val="19"/>
          <w:szCs w:val="19"/>
        </w:rPr>
        <w:t>Figure 5.1: proposed 2.5D CNN–Transformer detection framework.</w:t>
      </w:r>
    </w:p>
    <w:p w14:paraId="06FA630A">
      <w:pPr>
        <w:spacing w:after="160" w:line="300" w:lineRule="auto"/>
        <w:jc w:val="both"/>
        <w:rPr>
          <w:color w:val="auto"/>
        </w:rPr>
      </w:pPr>
      <w:r>
        <w:rPr>
          <w:rFonts w:ascii="Arial" w:hAnsi="Arial" w:eastAsia="Arial" w:cs="Arial"/>
          <w:color w:val="auto"/>
          <w:sz w:val="22"/>
          <w:szCs w:val="22"/>
        </w:rPr>
        <w:t>Every stage of this pipeline is implemented as an independently replaceable module (data, preprocessing, backbone, attention, fusion, detection head), so that the exact CNN backbone, Transformer depth/embedding dimension, attention variant, number of 2.5D slices, and detection-head formulation remain configurable research variables rather than fixed design choices, consistent with the project's architecture rules. No specific backbone or Transformer configuration is claimed as final at this stage; the appropriate configuration will be selected based on the experimental results described in Section 5.4.</w:t>
      </w:r>
    </w:p>
    <w:p w14:paraId="273524F7">
      <w:pPr>
        <w:pStyle w:val="3"/>
        <w:keepNext w:val="0"/>
        <w:keepLines w:val="0"/>
        <w:widowControl/>
        <w:suppressLineNumbers w:val="0"/>
      </w:pPr>
      <w:r>
        <w:rPr>
          <w:rStyle w:val="16"/>
          <w:b/>
          <w:bCs/>
        </w:rPr>
        <w:t>5.3 Proposed Training Objective</w:t>
      </w:r>
    </w:p>
    <w:p w14:paraId="2F512A3B">
      <w:pPr>
        <w:keepNext w:val="0"/>
        <w:keepLines w:val="0"/>
        <w:widowControl/>
        <w:suppressLineNumbers w:val="0"/>
        <w:jc w:val="left"/>
      </w:pPr>
      <w:r>
        <w:t>The primary detection objective combines a classification/objectness loss with a localization loss:</w:t>
      </w:r>
    </w:p>
    <w:p w14:paraId="1EB5DE2B">
      <w:pPr>
        <w:pStyle w:val="15"/>
        <w:keepNext w:val="0"/>
        <w:keepLines w:val="0"/>
        <w:widowControl/>
        <w:suppressLineNumbers w:val="0"/>
        <w:rPr>
          <w:i w:val="0"/>
        </w:rPr>
      </w:pPr>
      <m:oMathPara>
        <m:oMath>
          <m:borderBox>
            <m:borderBoxPr>
              <m:ctrlPr>
                <w:rPr>
                  <w:rFonts w:hint="default" w:ascii="DejaVu Math TeX Gyre" w:hAnsi="DejaVu Math TeX Gyre" w:eastAsia="SimSun"/>
                  <w:sz w:val="24"/>
                </w:rPr>
              </m:ctrlPr>
            </m:borderBoxPr>
            <m:e>
              <m:sSub>
                <m:sSubPr>
                  <m:ctrlPr>
                    <w:rPr>
                      <w:rFonts w:hint="default" w:ascii="DejaVu Math TeX Gyre" w:hAnsi="DejaVu Math TeX Gyre" w:eastAsia="SimSun"/>
                      <w:sz w:val="24"/>
                    </w:rPr>
                  </m:ctrlPr>
                </m:sSubPr>
                <m:e>
                  <m:r>
                    <m:rPr/>
                    <w:rPr>
                      <w:rFonts w:hint="default" w:ascii="DejaVu Math TeX Gyre" w:hAnsi="DejaVu Math TeX Gyre" w:eastAsia="SimSun"/>
                      <w:sz w:val="24"/>
                    </w:rPr>
                    <m:t>L</m:t>
                  </m:r>
                  <m:ctrlPr>
                    <w:rPr>
                      <w:rFonts w:ascii="DejaVu Math TeX Gyre" w:hAnsi="DejaVu Math TeX Gyre" w:eastAsia="SimSun"/>
                      <w:sz w:val="24"/>
                    </w:rPr>
                  </m:ctrlPr>
                </m:e>
                <m:sub>
                  <m:r>
                    <m:rPr>
                      <m:sty m:val="p"/>
                    </m:rPr>
                    <w:rPr>
                      <w:rFonts w:hint="default" w:ascii="DejaVu Math TeX Gyre" w:hAnsi="DejaVu Math TeX Gyre" w:eastAsia="SimSun"/>
                      <w:sz w:val="24"/>
                    </w:rPr>
                    <m:t>det</m:t>
                  </m:r>
                  <m:ctrlPr>
                    <w:rPr>
                      <w:rFonts w:ascii="DejaVu Math TeX Gyre" w:hAnsi="DejaVu Math TeX Gyre" w:eastAsia="SimSun"/>
                      <w:sz w:val="24"/>
                    </w:rPr>
                  </m:ctrlPr>
                </m:sub>
              </m:sSub>
              <m:r>
                <m:rPr/>
                <w:rPr>
                  <w:rFonts w:hint="default" w:ascii="DejaVu Math TeX Gyre" w:hAnsi="DejaVu Math TeX Gyre" w:eastAsia="SimSun"/>
                  <w:sz w:val="24"/>
                </w:rPr>
                <m:t>=</m:t>
              </m:r>
              <m:sSub>
                <m:sSubPr>
                  <m:ctrlPr>
                    <w:rPr>
                      <w:rFonts w:hint="default" w:ascii="DejaVu Math TeX Gyre" w:hAnsi="DejaVu Math TeX Gyre" w:eastAsia="SimSun"/>
                      <w:sz w:val="24"/>
                    </w:rPr>
                  </m:ctrlPr>
                </m:sSubPr>
                <m:e>
                  <m:r>
                    <m:rPr/>
                    <w:rPr>
                      <w:rFonts w:hint="default" w:ascii="DejaVu Math TeX Gyre" w:hAnsi="DejaVu Math TeX Gyre" w:eastAsia="SimSun"/>
                      <w:sz w:val="24"/>
                    </w:rPr>
                    <m:t>λ</m:t>
                  </m:r>
                  <m:ctrlPr>
                    <w:rPr>
                      <w:rFonts w:ascii="DejaVu Math TeX Gyre" w:hAnsi="DejaVu Math TeX Gyre" w:eastAsia="SimSun"/>
                      <w:sz w:val="24"/>
                    </w:rPr>
                  </m:ctrlPr>
                </m:e>
                <m:sub>
                  <m:r>
                    <m:rPr>
                      <m:sty m:val="p"/>
                    </m:rPr>
                    <w:rPr>
                      <w:rFonts w:hint="default" w:ascii="DejaVu Math TeX Gyre" w:hAnsi="DejaVu Math TeX Gyre" w:eastAsia="SimSun"/>
                      <w:sz w:val="24"/>
                    </w:rPr>
                    <m:t>cls</m:t>
                  </m:r>
                  <m:ctrlPr>
                    <w:rPr>
                      <w:rFonts w:ascii="DejaVu Math TeX Gyre" w:hAnsi="DejaVu Math TeX Gyre" w:eastAsia="SimSun"/>
                      <w:sz w:val="24"/>
                    </w:rPr>
                  </m:ctrlPr>
                </m:sub>
              </m:sSub>
              <m:sSub>
                <m:sSubPr>
                  <m:ctrlPr>
                    <w:rPr>
                      <w:rFonts w:hint="default" w:ascii="DejaVu Math TeX Gyre" w:hAnsi="DejaVu Math TeX Gyre" w:eastAsia="SimSun"/>
                      <w:sz w:val="24"/>
                    </w:rPr>
                  </m:ctrlPr>
                </m:sSubPr>
                <m:e>
                  <m:r>
                    <m:rPr/>
                    <w:rPr>
                      <w:rFonts w:hint="default" w:ascii="DejaVu Math TeX Gyre" w:hAnsi="DejaVu Math TeX Gyre" w:eastAsia="SimSun"/>
                      <w:sz w:val="24"/>
                    </w:rPr>
                    <m:t>L</m:t>
                  </m:r>
                  <m:ctrlPr>
                    <w:rPr>
                      <w:rFonts w:ascii="DejaVu Math TeX Gyre" w:hAnsi="DejaVu Math TeX Gyre" w:eastAsia="SimSun"/>
                      <w:sz w:val="24"/>
                    </w:rPr>
                  </m:ctrlPr>
                </m:e>
                <m:sub>
                  <m:r>
                    <m:rPr>
                      <m:sty m:val="p"/>
                    </m:rPr>
                    <w:rPr>
                      <w:rFonts w:hint="default" w:ascii="DejaVu Math TeX Gyre" w:hAnsi="DejaVu Math TeX Gyre" w:eastAsia="SimSun"/>
                      <w:sz w:val="24"/>
                    </w:rPr>
                    <m:t>focal</m:t>
                  </m:r>
                  <m:ctrlPr>
                    <w:rPr>
                      <w:rFonts w:ascii="DejaVu Math TeX Gyre" w:hAnsi="DejaVu Math TeX Gyre" w:eastAsia="SimSun"/>
                      <w:sz w:val="24"/>
                    </w:rPr>
                  </m:ctrlPr>
                </m:sub>
              </m:sSub>
              <m:r>
                <m:rPr/>
                <w:rPr>
                  <w:rFonts w:hint="default" w:ascii="DejaVu Math TeX Gyre" w:hAnsi="DejaVu Math TeX Gyre" w:eastAsia="SimSun"/>
                  <w:sz w:val="24"/>
                </w:rPr>
                <m:t>+</m:t>
              </m:r>
              <m:sSub>
                <m:sSubPr>
                  <m:ctrlPr>
                    <w:rPr>
                      <w:rFonts w:hint="default" w:ascii="DejaVu Math TeX Gyre" w:hAnsi="DejaVu Math TeX Gyre" w:eastAsia="SimSun"/>
                      <w:sz w:val="24"/>
                    </w:rPr>
                  </m:ctrlPr>
                </m:sSubPr>
                <m:e>
                  <m:r>
                    <m:rPr/>
                    <w:rPr>
                      <w:rFonts w:hint="default" w:ascii="DejaVu Math TeX Gyre" w:hAnsi="DejaVu Math TeX Gyre" w:eastAsia="SimSun"/>
                      <w:sz w:val="24"/>
                    </w:rPr>
                    <m:t>λ</m:t>
                  </m:r>
                  <m:ctrlPr>
                    <w:rPr>
                      <w:rFonts w:ascii="DejaVu Math TeX Gyre" w:hAnsi="DejaVu Math TeX Gyre" w:eastAsia="SimSun"/>
                      <w:sz w:val="24"/>
                    </w:rPr>
                  </m:ctrlPr>
                </m:e>
                <m:sub>
                  <m:r>
                    <m:rPr>
                      <m:sty m:val="p"/>
                    </m:rPr>
                    <w:rPr>
                      <w:rFonts w:hint="default" w:ascii="DejaVu Math TeX Gyre" w:hAnsi="DejaVu Math TeX Gyre" w:eastAsia="SimSun"/>
                      <w:sz w:val="24"/>
                    </w:rPr>
                    <m:t>loc</m:t>
                  </m:r>
                  <m:ctrlPr>
                    <w:rPr>
                      <w:rFonts w:ascii="DejaVu Math TeX Gyre" w:hAnsi="DejaVu Math TeX Gyre" w:eastAsia="SimSun"/>
                      <w:sz w:val="24"/>
                    </w:rPr>
                  </m:ctrlPr>
                </m:sub>
              </m:sSub>
              <m:sSub>
                <m:sSubPr>
                  <m:ctrlPr>
                    <w:rPr>
                      <w:rFonts w:hint="default" w:ascii="DejaVu Math TeX Gyre" w:hAnsi="DejaVu Math TeX Gyre" w:eastAsia="SimSun"/>
                      <w:sz w:val="24"/>
                    </w:rPr>
                  </m:ctrlPr>
                </m:sSubPr>
                <m:e>
                  <m:r>
                    <m:rPr/>
                    <w:rPr>
                      <w:rFonts w:hint="default" w:ascii="DejaVu Math TeX Gyre" w:hAnsi="DejaVu Math TeX Gyre" w:eastAsia="SimSun"/>
                      <w:sz w:val="24"/>
                    </w:rPr>
                    <m:t>L</m:t>
                  </m:r>
                  <m:ctrlPr>
                    <w:rPr>
                      <w:rFonts w:ascii="DejaVu Math TeX Gyre" w:hAnsi="DejaVu Math TeX Gyre" w:eastAsia="SimSun"/>
                      <w:sz w:val="24"/>
                    </w:rPr>
                  </m:ctrlPr>
                </m:e>
                <m:sub>
                  <m:r>
                    <m:rPr>
                      <m:sty m:val="p"/>
                    </m:rPr>
                    <w:rPr>
                      <w:rFonts w:hint="default" w:ascii="DejaVu Math TeX Gyre" w:hAnsi="DejaVu Math TeX Gyre" w:eastAsia="SimSun"/>
                      <w:sz w:val="24"/>
                    </w:rPr>
                    <m:t>loc</m:t>
                  </m:r>
                  <m:ctrlPr>
                    <w:rPr>
                      <w:rFonts w:ascii="DejaVu Math TeX Gyre" w:hAnsi="DejaVu Math TeX Gyre" w:eastAsia="SimSun"/>
                      <w:sz w:val="24"/>
                    </w:rPr>
                  </m:ctrlPr>
                </m:sub>
              </m:sSub>
              <m:ctrlPr>
                <w:rPr>
                  <w:rFonts w:hint="default" w:ascii="DejaVu Math TeX Gyre" w:hAnsi="DejaVu Math TeX Gyre" w:eastAsia="SimSun"/>
                  <w:sz w:val="24"/>
                </w:rPr>
              </m:ctrlPr>
            </m:e>
          </m:borderBox>
        </m:oMath>
      </m:oMathPara>
    </w:p>
    <w:p w14:paraId="4B6F15E1">
      <w:pPr>
        <w:pStyle w:val="15"/>
        <w:keepNext w:val="0"/>
        <w:keepLines w:val="0"/>
        <w:widowControl/>
        <w:suppressLineNumbers w:val="0"/>
      </w:pPr>
      <w:r>
        <w:t>Because the candidate set for nodule detection is heavily dominated by easy negative (non-nodule) samples, a focal loss formulation may be used for the classification/objectness term:</w:t>
      </w:r>
    </w:p>
    <w:p w14:paraId="23EE4470">
      <w:pPr>
        <w:keepNext w:val="0"/>
        <w:keepLines w:val="0"/>
        <w:widowControl/>
        <w:suppressLineNumbers w:val="0"/>
        <w:jc w:val="left"/>
        <w:rPr>
          <w:i w:val="0"/>
        </w:rPr>
      </w:pPr>
      <m:oMathPara>
        <m:oMath>
          <m:borderBox>
            <m:borderBoxPr>
              <m:ctrlPr>
                <w:rPr>
                  <w:rFonts w:hint="default" w:ascii="DejaVu Math TeX Gyre" w:hAnsi="DejaVu Math TeX Gyre" w:eastAsia="SimSun"/>
                  <w:sz w:val="24"/>
                </w:rPr>
              </m:ctrlPr>
            </m:borderBoxPr>
            <m:e>
              <m:sSub>
                <m:sSubPr>
                  <m:ctrlPr>
                    <w:rPr>
                      <w:rFonts w:hint="default" w:ascii="DejaVu Math TeX Gyre" w:hAnsi="DejaVu Math TeX Gyre" w:eastAsia="SimSun"/>
                      <w:sz w:val="24"/>
                    </w:rPr>
                  </m:ctrlPr>
                </m:sSubPr>
                <m:e>
                  <m:r>
                    <m:rPr/>
                    <w:rPr>
                      <w:rFonts w:hint="default" w:ascii="DejaVu Math TeX Gyre" w:hAnsi="DejaVu Math TeX Gyre" w:eastAsia="SimSun"/>
                      <w:sz w:val="24"/>
                    </w:rPr>
                    <m:t>L</m:t>
                  </m:r>
                  <m:ctrlPr>
                    <w:rPr>
                      <w:rFonts w:ascii="DejaVu Math TeX Gyre" w:hAnsi="DejaVu Math TeX Gyre" w:eastAsia="SimSun"/>
                      <w:sz w:val="24"/>
                    </w:rPr>
                  </m:ctrlPr>
                </m:e>
                <m:sub>
                  <m:r>
                    <m:rPr>
                      <m:sty m:val="p"/>
                    </m:rPr>
                    <w:rPr>
                      <w:rFonts w:hint="default" w:ascii="DejaVu Math TeX Gyre" w:hAnsi="DejaVu Math TeX Gyre" w:eastAsia="SimSun"/>
                      <w:sz w:val="24"/>
                    </w:rPr>
                    <m:t>focal</m:t>
                  </m:r>
                  <m:ctrlPr>
                    <w:rPr>
                      <w:rFonts w:ascii="DejaVu Math TeX Gyre" w:hAnsi="DejaVu Math TeX Gyre" w:eastAsia="SimSun"/>
                      <w:sz w:val="24"/>
                    </w:rPr>
                  </m:ctrlPr>
                </m:sub>
              </m:sSub>
              <m:r>
                <m:rPr/>
                <w:rPr>
                  <w:rFonts w:hint="default" w:ascii="DejaVu Math TeX Gyre" w:hAnsi="DejaVu Math TeX Gyre" w:eastAsia="SimSun"/>
                  <w:sz w:val="24"/>
                </w:rPr>
                <m:t>=−</m:t>
              </m:r>
              <m:sSub>
                <m:sSubPr>
                  <m:ctrlPr>
                    <w:rPr>
                      <w:rFonts w:hint="default" w:ascii="DejaVu Math TeX Gyre" w:hAnsi="DejaVu Math TeX Gyre" w:eastAsia="SimSun"/>
                      <w:sz w:val="24"/>
                    </w:rPr>
                  </m:ctrlPr>
                </m:sSubPr>
                <m:e>
                  <m:r>
                    <m:rPr/>
                    <w:rPr>
                      <w:rFonts w:hint="default" w:ascii="DejaVu Math TeX Gyre" w:hAnsi="DejaVu Math TeX Gyre" w:eastAsia="SimSun"/>
                      <w:sz w:val="24"/>
                    </w:rPr>
                    <m:t>α</m:t>
                  </m:r>
                  <m:ctrlPr>
                    <w:rPr>
                      <w:rFonts w:ascii="DejaVu Math TeX Gyre" w:hAnsi="DejaVu Math TeX Gyre" w:eastAsia="SimSun"/>
                      <w:sz w:val="24"/>
                    </w:rPr>
                  </m:ctrlPr>
                </m:e>
                <m:sub>
                  <m:r>
                    <m:rPr/>
                    <w:rPr>
                      <w:rFonts w:hint="default" w:ascii="DejaVu Math TeX Gyre" w:hAnsi="DejaVu Math TeX Gyre" w:eastAsia="SimSun"/>
                      <w:sz w:val="24"/>
                    </w:rPr>
                    <m:t>t</m:t>
                  </m:r>
                  <m:ctrlPr>
                    <w:rPr>
                      <w:rFonts w:ascii="DejaVu Math TeX Gyre" w:hAnsi="DejaVu Math TeX Gyre" w:eastAsia="SimSun"/>
                      <w:sz w:val="24"/>
                    </w:rPr>
                  </m:ctrlPr>
                </m:sub>
              </m:sSub>
              <m:r>
                <m:rPr/>
                <w:rPr>
                  <w:rFonts w:hint="default" w:ascii="DejaVu Math TeX Gyre" w:hAnsi="DejaVu Math TeX Gyre" w:eastAsia="SimSun"/>
                  <w:sz w:val="24"/>
                </w:rPr>
                <m:t>(1−</m:t>
              </m:r>
              <m:sSub>
                <m:sSubPr>
                  <m:ctrlPr>
                    <w:rPr>
                      <w:rFonts w:hint="default" w:ascii="DejaVu Math TeX Gyre" w:hAnsi="DejaVu Math TeX Gyre" w:eastAsia="SimSun"/>
                      <w:sz w:val="24"/>
                    </w:rPr>
                  </m:ctrlPr>
                </m:sSubPr>
                <m:e>
                  <m:r>
                    <m:rPr/>
                    <w:rPr>
                      <w:rFonts w:hint="default" w:ascii="DejaVu Math TeX Gyre" w:hAnsi="DejaVu Math TeX Gyre" w:eastAsia="SimSun"/>
                      <w:sz w:val="24"/>
                    </w:rPr>
                    <m:t>p</m:t>
                  </m:r>
                  <m:ctrlPr>
                    <w:rPr>
                      <w:rFonts w:ascii="DejaVu Math TeX Gyre" w:hAnsi="DejaVu Math TeX Gyre" w:eastAsia="SimSun"/>
                      <w:sz w:val="24"/>
                    </w:rPr>
                  </m:ctrlPr>
                </m:e>
                <m:sub>
                  <m:r>
                    <m:rPr/>
                    <w:rPr>
                      <w:rFonts w:hint="default" w:ascii="DejaVu Math TeX Gyre" w:hAnsi="DejaVu Math TeX Gyre" w:eastAsia="SimSun"/>
                      <w:sz w:val="24"/>
                    </w:rPr>
                    <m:t>t</m:t>
                  </m:r>
                  <m:ctrlPr>
                    <w:rPr>
                      <w:rFonts w:ascii="DejaVu Math TeX Gyre" w:hAnsi="DejaVu Math TeX Gyre" w:eastAsia="SimSun"/>
                      <w:sz w:val="24"/>
                    </w:rPr>
                  </m:ctrlPr>
                </m:sub>
              </m:sSub>
              <m:sSup>
                <m:sSupPr>
                  <m:ctrlPr>
                    <w:rPr>
                      <w:rFonts w:hint="default" w:ascii="DejaVu Math TeX Gyre" w:hAnsi="DejaVu Math TeX Gyre" w:eastAsia="SimSun"/>
                      <w:sz w:val="24"/>
                    </w:rPr>
                  </m:ctrlPr>
                </m:sSupPr>
                <m:e>
                  <m:r>
                    <m:rPr/>
                    <w:rPr>
                      <w:rFonts w:hint="default" w:ascii="DejaVu Math TeX Gyre" w:hAnsi="DejaVu Math TeX Gyre" w:eastAsia="SimSun"/>
                      <w:sz w:val="24"/>
                    </w:rPr>
                    <m:t>)</m:t>
                  </m:r>
                  <m:ctrlPr>
                    <w:rPr>
                      <w:rFonts w:ascii="DejaVu Math TeX Gyre" w:hAnsi="DejaVu Math TeX Gyre" w:eastAsia="SimSun"/>
                      <w:sz w:val="24"/>
                    </w:rPr>
                  </m:ctrlPr>
                </m:e>
                <m:sup>
                  <m:r>
                    <m:rPr/>
                    <w:rPr>
                      <w:rFonts w:hint="default" w:ascii="DejaVu Math TeX Gyre" w:hAnsi="DejaVu Math TeX Gyre" w:eastAsia="SimSun"/>
                      <w:sz w:val="24"/>
                    </w:rPr>
                    <m:t>γ</m:t>
                  </m:r>
                  <m:ctrlPr>
                    <w:rPr>
                      <w:rFonts w:ascii="DejaVu Math TeX Gyre" w:hAnsi="DejaVu Math TeX Gyre" w:eastAsia="SimSun"/>
                      <w:sz w:val="24"/>
                    </w:rPr>
                  </m:ctrlPr>
                </m:sup>
              </m:sSup>
              <m:func>
                <m:funcPr>
                  <m:ctrlPr>
                    <w:rPr>
                      <w:rFonts w:hint="default" w:ascii="DejaVu Math TeX Gyre" w:hAnsi="DejaVu Math TeX Gyre" w:eastAsia="SimSun"/>
                      <w:sz w:val="24"/>
                    </w:rPr>
                  </m:ctrlPr>
                </m:funcPr>
                <m:fName>
                  <m:r>
                    <m:rPr>
                      <m:sty m:val="p"/>
                    </m:rPr>
                    <w:rPr>
                      <w:rFonts w:hint="default" w:ascii="DejaVu Math TeX Gyre" w:hAnsi="DejaVu Math TeX Gyre" w:eastAsia="SimSun"/>
                      <w:sz w:val="24"/>
                    </w:rPr>
                    <m:t>log</m:t>
                  </m:r>
                  <m:ctrlPr>
                    <w:rPr>
                      <w:rFonts w:ascii="DejaVu Math TeX Gyre" w:hAnsi="DejaVu Math TeX Gyre" w:eastAsia="SimSun"/>
                      <w:sz w:val="24"/>
                    </w:rPr>
                  </m:ctrlPr>
                </m:fName>
                <m:e>
                  <m:r>
                    <m:rPr/>
                    <w:rPr>
                      <w:rFonts w:hint="default" w:ascii="DejaVu Math TeX Gyre" w:hAnsi="DejaVu Math TeX Gyre" w:eastAsia="SimSun"/>
                      <w:sz w:val="24"/>
                    </w:rPr>
                    <m:t>(</m:t>
                  </m:r>
                  <m:ctrlPr>
                    <w:rPr>
                      <w:rFonts w:ascii="DejaVu Math TeX Gyre" w:hAnsi="DejaVu Math TeX Gyre" w:eastAsia="SimSun"/>
                      <w:sz w:val="24"/>
                    </w:rPr>
                  </m:ctrlPr>
                </m:e>
              </m:func>
              <m:sSub>
                <m:sSubPr>
                  <m:ctrlPr>
                    <w:rPr>
                      <w:rFonts w:hint="default" w:ascii="DejaVu Math TeX Gyre" w:hAnsi="DejaVu Math TeX Gyre" w:eastAsia="SimSun"/>
                      <w:sz w:val="24"/>
                    </w:rPr>
                  </m:ctrlPr>
                </m:sSubPr>
                <m:e>
                  <m:r>
                    <m:rPr/>
                    <w:rPr>
                      <w:rFonts w:hint="default" w:ascii="DejaVu Math TeX Gyre" w:hAnsi="DejaVu Math TeX Gyre" w:eastAsia="SimSun"/>
                      <w:sz w:val="24"/>
                    </w:rPr>
                    <m:t>p</m:t>
                  </m:r>
                  <m:ctrlPr>
                    <w:rPr>
                      <w:rFonts w:ascii="DejaVu Math TeX Gyre" w:hAnsi="DejaVu Math TeX Gyre" w:eastAsia="SimSun"/>
                      <w:sz w:val="24"/>
                    </w:rPr>
                  </m:ctrlPr>
                </m:e>
                <m:sub>
                  <m:r>
                    <m:rPr/>
                    <w:rPr>
                      <w:rFonts w:hint="default" w:ascii="DejaVu Math TeX Gyre" w:hAnsi="DejaVu Math TeX Gyre" w:eastAsia="SimSun"/>
                      <w:sz w:val="24"/>
                    </w:rPr>
                    <m:t>t</m:t>
                  </m:r>
                  <m:ctrlPr>
                    <w:rPr>
                      <w:rFonts w:ascii="DejaVu Math TeX Gyre" w:hAnsi="DejaVu Math TeX Gyre" w:eastAsia="SimSun"/>
                      <w:sz w:val="24"/>
                    </w:rPr>
                  </m:ctrlPr>
                </m:sub>
              </m:sSub>
              <m:r>
                <m:rPr/>
                <w:rPr>
                  <w:rFonts w:hint="default" w:ascii="DejaVu Math TeX Gyre" w:hAnsi="DejaVu Math TeX Gyre" w:eastAsia="SimSun"/>
                  <w:sz w:val="24"/>
                </w:rPr>
                <m:t>)</m:t>
              </m:r>
              <m:ctrlPr>
                <w:rPr>
                  <w:rFonts w:hint="default" w:ascii="DejaVu Math TeX Gyre" w:hAnsi="DejaVu Math TeX Gyre" w:eastAsia="SimSun"/>
                  <w:sz w:val="24"/>
                </w:rPr>
              </m:ctrlPr>
            </m:e>
          </m:borderBox>
        </m:oMath>
      </m:oMathPara>
    </w:p>
    <w:p w14:paraId="3A8D2609">
      <w:pPr>
        <w:keepNext w:val="0"/>
        <w:keepLines w:val="0"/>
        <w:widowControl/>
        <w:suppressLineNumbers w:val="0"/>
        <w:jc w:val="left"/>
        <w:rPr>
          <w:i w:val="0"/>
          <w:lang w:val="en-US" w:eastAsia="zh-CN"/>
        </w:rPr>
      </w:pPr>
    </w:p>
    <w:p w14:paraId="4902D059">
      <w:pPr>
        <w:pStyle w:val="15"/>
        <w:keepNext w:val="0"/>
        <w:keepLines w:val="0"/>
        <w:widowControl/>
        <w:suppressLineNumbers w:val="0"/>
      </w:pPr>
      <w:r>
        <w:t>Where</w:t>
      </w:r>
    </w:p>
    <w:p w14:paraId="1436B39D">
      <w:pPr>
        <w:pStyle w:val="15"/>
        <w:keepNext w:val="0"/>
        <w:keepLines w:val="0"/>
        <w:widowControl/>
        <w:suppressLineNumbers w:val="0"/>
        <w:rPr>
          <w:i w:val="0"/>
        </w:rPr>
      </w:pPr>
      <m:oMathPara>
        <m:oMath>
          <m:borderBox>
            <m:borderBoxPr>
              <m:ctrlPr>
                <w:rPr>
                  <w:rFonts w:hint="default" w:ascii="DejaVu Math TeX Gyre" w:hAnsi="DejaVu Math TeX Gyre" w:eastAsia="SimSun"/>
                  <w:sz w:val="24"/>
                </w:rPr>
              </m:ctrlPr>
            </m:borderBoxPr>
            <m:e>
              <m:sSub>
                <m:sSubPr>
                  <m:ctrlPr>
                    <w:rPr>
                      <w:rFonts w:hint="default" w:ascii="DejaVu Math TeX Gyre" w:hAnsi="DejaVu Math TeX Gyre" w:eastAsia="SimSun"/>
                      <w:sz w:val="24"/>
                    </w:rPr>
                  </m:ctrlPr>
                </m:sSubPr>
                <m:e>
                  <m:r>
                    <m:rPr/>
                    <w:rPr>
                      <w:rFonts w:hint="default" w:ascii="DejaVu Math TeX Gyre" w:hAnsi="DejaVu Math TeX Gyre" w:eastAsia="SimSun"/>
                      <w:sz w:val="24"/>
                    </w:rPr>
                    <m:t>p</m:t>
                  </m:r>
                  <m:ctrlPr>
                    <w:rPr>
                      <w:rFonts w:ascii="DejaVu Math TeX Gyre" w:hAnsi="DejaVu Math TeX Gyre" w:eastAsia="SimSun"/>
                      <w:sz w:val="24"/>
                    </w:rPr>
                  </m:ctrlPr>
                </m:e>
                <m:sub>
                  <m:r>
                    <m:rPr/>
                    <w:rPr>
                      <w:rFonts w:hint="default" w:ascii="DejaVu Math TeX Gyre" w:hAnsi="DejaVu Math TeX Gyre" w:eastAsia="SimSun"/>
                      <w:sz w:val="24"/>
                    </w:rPr>
                    <m:t>t</m:t>
                  </m:r>
                  <m:ctrlPr>
                    <w:rPr>
                      <w:rFonts w:ascii="DejaVu Math TeX Gyre" w:hAnsi="DejaVu Math TeX Gyre" w:eastAsia="SimSun"/>
                      <w:sz w:val="24"/>
                    </w:rPr>
                  </m:ctrlPr>
                </m:sub>
              </m:sSub>
              <m:r>
                <m:rPr/>
                <w:rPr>
                  <w:rFonts w:hint="default" w:ascii="DejaVu Math TeX Gyre" w:hAnsi="DejaVu Math TeX Gyre" w:eastAsia="SimSun"/>
                  <w:sz w:val="24"/>
                </w:rPr>
                <m:t>=</m:t>
              </m:r>
              <m:d>
                <m:dPr>
                  <m:begChr m:val="{"/>
                  <m:endChr m:val=""/>
                  <m:ctrlPr>
                    <w:rPr>
                      <w:rFonts w:hint="default" w:ascii="DejaVu Math TeX Gyre" w:hAnsi="DejaVu Math TeX Gyre" w:eastAsia="SimSun"/>
                      <w:sz w:val="24"/>
                    </w:rPr>
                  </m:ctrlPr>
                </m:dPr>
                <m:e>
                  <m:eqArr>
                    <m:eqArrPr>
                      <m:ctrlPr>
                        <w:rPr>
                          <w:rFonts w:hint="default" w:ascii="DejaVu Math TeX Gyre" w:hAnsi="DejaVu Math TeX Gyre" w:eastAsia="SimSun"/>
                          <w:sz w:val="24"/>
                        </w:rPr>
                      </m:ctrlPr>
                    </m:eqArrPr>
                    <m:e>
                      <m:r>
                        <m:rPr/>
                        <w:rPr>
                          <w:rFonts w:hint="default" w:ascii="DejaVu Math TeX Gyre" w:hAnsi="DejaVu Math TeX Gyre" w:eastAsia="SimSun"/>
                          <w:sz w:val="24"/>
                        </w:rPr>
                        <m:t>p,ify=1,</m:t>
                      </m:r>
                      <m:ctrlPr>
                        <w:rPr>
                          <w:rFonts w:ascii="DejaVu Math TeX Gyre" w:hAnsi="DejaVu Math TeX Gyre" w:eastAsia="SimSun"/>
                          <w:sz w:val="24"/>
                        </w:rPr>
                      </m:ctrlPr>
                    </m:e>
                    <m:e>
                      <m:r>
                        <m:rPr/>
                        <w:rPr>
                          <w:rFonts w:hint="default" w:ascii="DejaVu Math TeX Gyre" w:hAnsi="DejaVu Math TeX Gyre" w:eastAsia="SimSun"/>
                          <w:sz w:val="24"/>
                        </w:rPr>
                        <m:t>1−p,ify=0.</m:t>
                      </m:r>
                      <m:ctrlPr>
                        <w:rPr>
                          <w:rFonts w:ascii="DejaVu Math TeX Gyre" w:hAnsi="DejaVu Math TeX Gyre" w:eastAsia="SimSun"/>
                          <w:sz w:val="24"/>
                        </w:rPr>
                      </m:ctrlPr>
                    </m:e>
                  </m:eqArr>
                  <m:ctrlPr>
                    <w:rPr>
                      <w:rFonts w:hint="default" w:ascii="DejaVu Math TeX Gyre" w:hAnsi="DejaVu Math TeX Gyre" w:eastAsia="SimSun"/>
                      <w:sz w:val="24"/>
                    </w:rPr>
                  </m:ctrlPr>
                </m:e>
              </m:d>
              <m:ctrlPr>
                <w:rPr>
                  <w:rFonts w:hint="default" w:ascii="DejaVu Math TeX Gyre" w:hAnsi="DejaVu Math TeX Gyre" w:eastAsia="SimSun"/>
                  <w:sz w:val="24"/>
                </w:rPr>
              </m:ctrlPr>
            </m:e>
          </m:borderBox>
        </m:oMath>
      </m:oMathPara>
    </w:p>
    <w:p w14:paraId="52546285">
      <w:pPr>
        <w:pStyle w:val="15"/>
        <w:keepNext w:val="0"/>
        <w:keepLines w:val="0"/>
        <w:widowControl/>
        <w:suppressLineNumbers w:val="0"/>
        <w:rPr>
          <w:i w:val="0"/>
        </w:rPr>
      </w:pPr>
    </w:p>
    <w:p w14:paraId="7AD8208D">
      <w:pPr>
        <w:pStyle w:val="15"/>
        <w:keepNext w:val="0"/>
        <w:keepLines w:val="0"/>
        <w:widowControl/>
        <w:suppressLineNumbers w:val="0"/>
      </w:pPr>
      <w:r>
        <w:t>Here,</w:t>
      </w:r>
      <w:r>
        <w:rPr>
          <w:rFonts w:hint="default"/>
          <w:lang w:val="en-US"/>
        </w:rPr>
        <w:t xml:space="preserve"> </w:t>
      </w:r>
      <m:oMath>
        <m:sSub>
          <m:sSubPr>
            <m:ctrlPr>
              <w:rPr>
                <w:rFonts w:hint="default" w:ascii="Cambria Math"/>
              </w:rPr>
            </m:ctrlPr>
          </m:sSubPr>
          <m:e>
            <m:r>
              <m:rPr/>
              <w:rPr>
                <w:rFonts w:hint="default" w:ascii="Cambria Math"/>
              </w:rPr>
              <m:t>α</m:t>
            </m:r>
          </m:e>
          <m:sub>
            <m:r>
              <m:rPr/>
              <w:rPr>
                <w:rFonts w:hint="default" w:ascii="Cambria Math"/>
              </w:rPr>
              <m:t>t</m:t>
            </m:r>
          </m:sub>
        </m:sSub>
      </m:oMath>
      <w:r>
        <w:rPr>
          <w:rFonts w:hint="default"/>
          <w:i w:val="0"/>
          <w:lang w:val="en-US"/>
        </w:rPr>
        <w:t xml:space="preserve"> </w:t>
      </w:r>
      <w:r>
        <w:t xml:space="preserve">controls class weighting and </w:t>
      </w:r>
      <m:oMath>
        <m:r>
          <m:rPr>
            <m:sty m:val="p"/>
          </m:rPr>
          <m:t>γ</m:t>
        </m:r>
      </m:oMath>
      <w:r>
        <w:t xml:space="preserve"> controls the down-weighting of easy examples. </w:t>
      </w:r>
    </w:p>
    <w:p w14:paraId="53D8F9D3">
      <w:pPr>
        <w:pStyle w:val="15"/>
        <w:keepNext w:val="0"/>
        <w:keepLines w:val="0"/>
        <w:widowControl/>
        <w:suppressLineNumbers w:val="0"/>
      </w:pPr>
      <w:r>
        <w:t>An IoU-based localization loss,</w:t>
      </w:r>
    </w:p>
    <w:p w14:paraId="7B64EF13">
      <w:pPr>
        <w:keepNext w:val="0"/>
        <w:keepLines w:val="0"/>
        <w:widowControl/>
        <w:suppressLineNumbers w:val="0"/>
        <w:jc w:val="left"/>
        <w:rPr>
          <w:rFonts w:hAnsi="SimSun" w:eastAsia="SimSun" w:cs="SimSun"/>
          <w:i w:val="0"/>
          <w:color w:val="1E293B"/>
          <w:kern w:val="0"/>
          <w:sz w:val="24"/>
          <w:szCs w:val="24"/>
          <w:lang w:val="en-US" w:eastAsia="zh-CN" w:bidi="ar"/>
        </w:rPr>
      </w:pPr>
      <m:oMathPara>
        <m:oMath>
          <m:borderBox>
            <m:borderBoxPr>
              <m:ctrlPr>
                <w:rPr>
                  <w:rFonts w:hint="default" w:ascii="DejaVu Math TeX Gyre" w:hAnsi="DejaVu Math TeX Gyre" w:eastAsia="SimSun"/>
                  <w:sz w:val="24"/>
                </w:rPr>
              </m:ctrlPr>
            </m:borderBoxPr>
            <m:e>
              <m:sSub>
                <m:sSubPr>
                  <m:ctrlPr>
                    <w:rPr>
                      <w:rFonts w:hint="default" w:ascii="DejaVu Math TeX Gyre" w:hAnsi="DejaVu Math TeX Gyre" w:eastAsia="SimSun"/>
                      <w:sz w:val="24"/>
                    </w:rPr>
                  </m:ctrlPr>
                </m:sSubPr>
                <m:e>
                  <m:r>
                    <m:rPr/>
                    <w:rPr>
                      <w:rFonts w:hint="default" w:ascii="DejaVu Math TeX Gyre" w:hAnsi="DejaVu Math TeX Gyre" w:eastAsia="SimSun"/>
                      <w:sz w:val="24"/>
                    </w:rPr>
                    <m:t>L</m:t>
                  </m:r>
                  <m:ctrlPr>
                    <w:rPr>
                      <w:rFonts w:ascii="DejaVu Math TeX Gyre" w:hAnsi="DejaVu Math TeX Gyre" w:eastAsia="SimSun"/>
                      <w:sz w:val="24"/>
                    </w:rPr>
                  </m:ctrlPr>
                </m:e>
                <m:sub>
                  <m:r>
                    <m:rPr>
                      <m:sty m:val="p"/>
                    </m:rPr>
                    <w:rPr>
                      <w:rFonts w:hint="default" w:ascii="DejaVu Math TeX Gyre" w:hAnsi="DejaVu Math TeX Gyre" w:eastAsia="SimSun"/>
                      <w:sz w:val="24"/>
                    </w:rPr>
                    <m:t>loc</m:t>
                  </m:r>
                  <m:ctrlPr>
                    <w:rPr>
                      <w:rFonts w:ascii="DejaVu Math TeX Gyre" w:hAnsi="DejaVu Math TeX Gyre" w:eastAsia="SimSun"/>
                      <w:sz w:val="24"/>
                    </w:rPr>
                  </m:ctrlPr>
                </m:sub>
              </m:sSub>
              <m:r>
                <m:rPr/>
                <w:rPr>
                  <w:rFonts w:hint="default" w:ascii="DejaVu Math TeX Gyre" w:hAnsi="DejaVu Math TeX Gyre" w:eastAsia="SimSun"/>
                  <w:sz w:val="24"/>
                </w:rPr>
                <m:t>=1−IoU(B,</m:t>
              </m:r>
              <m:sSup>
                <m:sSupPr>
                  <m:ctrlPr>
                    <w:rPr>
                      <w:rFonts w:hint="default" w:ascii="DejaVu Math TeX Gyre" w:hAnsi="DejaVu Math TeX Gyre" w:eastAsia="SimSun"/>
                      <w:sz w:val="24"/>
                    </w:rPr>
                  </m:ctrlPr>
                </m:sSupPr>
                <m:e>
                  <m:r>
                    <m:rPr/>
                    <w:rPr>
                      <w:rFonts w:hint="default" w:ascii="DejaVu Math TeX Gyre" w:hAnsi="DejaVu Math TeX Gyre" w:eastAsia="SimSun"/>
                      <w:sz w:val="24"/>
                    </w:rPr>
                    <m:t>B</m:t>
                  </m:r>
                  <m:ctrlPr>
                    <w:rPr>
                      <w:rFonts w:ascii="DejaVu Math TeX Gyre" w:hAnsi="DejaVu Math TeX Gyre" w:eastAsia="SimSun"/>
                      <w:sz w:val="24"/>
                    </w:rPr>
                  </m:ctrlPr>
                </m:e>
                <m:sup>
                  <m:r>
                    <m:rPr/>
                    <w:rPr>
                      <w:rFonts w:hint="default" w:ascii="DejaVu Math TeX Gyre" w:hAnsi="DejaVu Math TeX Gyre" w:eastAsia="SimSun"/>
                      <w:sz w:val="24"/>
                    </w:rPr>
                    <m:t>∗</m:t>
                  </m:r>
                  <m:ctrlPr>
                    <w:rPr>
                      <w:rFonts w:ascii="DejaVu Math TeX Gyre" w:hAnsi="DejaVu Math TeX Gyre" w:eastAsia="SimSun"/>
                      <w:sz w:val="24"/>
                    </w:rPr>
                  </m:ctrlPr>
                </m:sup>
              </m:sSup>
              <m:r>
                <m:rPr/>
                <w:rPr>
                  <w:rFonts w:hint="default" w:ascii="DejaVu Math TeX Gyre" w:hAnsi="DejaVu Math TeX Gyre" w:eastAsia="SimSun"/>
                  <w:sz w:val="24"/>
                </w:rPr>
                <m:t>)</m:t>
              </m:r>
              <m:ctrlPr>
                <w:rPr>
                  <w:rFonts w:hint="default" w:ascii="DejaVu Math TeX Gyre" w:hAnsi="DejaVu Math TeX Gyre" w:eastAsia="SimSun"/>
                  <w:sz w:val="24"/>
                </w:rPr>
              </m:ctrlPr>
            </m:e>
          </m:borderBox>
        </m:oMath>
      </m:oMathPara>
    </w:p>
    <w:p w14:paraId="6DC9BB97">
      <w:pPr>
        <w:keepNext w:val="0"/>
        <w:keepLines w:val="0"/>
        <w:widowControl/>
        <w:suppressLineNumbers w:val="0"/>
        <w:jc w:val="left"/>
        <w:rPr>
          <w:rFonts w:hAnsi="SimSun" w:eastAsia="SimSun" w:cs="SimSun"/>
          <w:i w:val="0"/>
          <w:color w:val="1E293B"/>
          <w:kern w:val="0"/>
          <w:sz w:val="24"/>
          <w:szCs w:val="24"/>
          <w:lang w:val="en-US" w:eastAsia="zh-CN" w:bidi="ar"/>
        </w:rPr>
      </w:pPr>
    </w:p>
    <w:p w14:paraId="1D9B17CD">
      <w:pPr>
        <w:pStyle w:val="15"/>
        <w:keepNext w:val="0"/>
        <w:keepLines w:val="0"/>
        <w:widowControl/>
        <w:suppressLineNumbers w:val="0"/>
      </w:pPr>
      <w:r>
        <w:t xml:space="preserve">may be used to measure the discrepancy between a predicted box BB and the ground-truth box </w:t>
      </w:r>
      <m:oMath>
        <m:sSup>
          <m:sSupPr>
            <m:ctrlPr>
              <w:rPr>
                <w:rFonts w:hint="default" w:ascii="Cambria Math"/>
              </w:rPr>
            </m:ctrlPr>
          </m:sSupPr>
          <m:e>
            <m:r>
              <m:rPr/>
              <w:rPr>
                <w:rFonts w:hint="default" w:ascii="Cambria Math"/>
              </w:rPr>
              <m:t>B</m:t>
            </m:r>
          </m:e>
          <m:sup>
            <m:r>
              <m:rPr/>
              <w:rPr>
                <w:rFonts w:hint="default" w:ascii="Cambria Math"/>
              </w:rPr>
              <m:t>∗</m:t>
            </m:r>
          </m:sup>
        </m:sSup>
      </m:oMath>
      <w:r>
        <w:t>, where</w:t>
      </w:r>
    </w:p>
    <w:p w14:paraId="37BA7AB3">
      <w:pPr>
        <w:pStyle w:val="15"/>
        <w:keepNext w:val="0"/>
        <w:keepLines w:val="0"/>
        <w:widowControl/>
        <w:suppressLineNumbers w:val="0"/>
        <w:rPr>
          <w:rFonts w:hAnsi="SimSun" w:eastAsia="SimSun" w:cs="SimSun"/>
          <w:i w:val="0"/>
          <w:color w:val="1E293B"/>
          <w:kern w:val="0"/>
          <w:sz w:val="24"/>
          <w:szCs w:val="24"/>
          <w:lang w:val="en-US" w:eastAsia="zh-CN" w:bidi="ar"/>
        </w:rPr>
      </w:pPr>
      <m:oMathPara>
        <m:oMath>
          <m:borderBox>
            <m:borderBoxPr>
              <m:ctrlPr>
                <w:rPr>
                  <w:rFonts w:hint="default" w:ascii="DejaVu Math TeX Gyre" w:hAnsi="DejaVu Math TeX Gyre" w:eastAsia="SimSun"/>
                  <w:sz w:val="24"/>
                </w:rPr>
              </m:ctrlPr>
            </m:borderBoxPr>
            <m:e>
              <m:r>
                <m:rPr/>
                <w:rPr>
                  <w:rFonts w:hint="default" w:ascii="DejaVu Math TeX Gyre" w:hAnsi="DejaVu Math TeX Gyre" w:eastAsia="SimSun"/>
                  <w:sz w:val="24"/>
                </w:rPr>
                <m:t>IoU(B,</m:t>
              </m:r>
              <m:sSup>
                <m:sSupPr>
                  <m:ctrlPr>
                    <w:rPr>
                      <w:rFonts w:hint="default" w:ascii="DejaVu Math TeX Gyre" w:hAnsi="DejaVu Math TeX Gyre" w:eastAsia="SimSun"/>
                      <w:sz w:val="24"/>
                    </w:rPr>
                  </m:ctrlPr>
                </m:sSupPr>
                <m:e>
                  <m:r>
                    <m:rPr/>
                    <w:rPr>
                      <w:rFonts w:hint="default" w:ascii="DejaVu Math TeX Gyre" w:hAnsi="DejaVu Math TeX Gyre" w:eastAsia="SimSun"/>
                      <w:sz w:val="24"/>
                    </w:rPr>
                    <m:t>B</m:t>
                  </m:r>
                  <m:ctrlPr>
                    <w:rPr>
                      <w:rFonts w:ascii="DejaVu Math TeX Gyre" w:hAnsi="DejaVu Math TeX Gyre" w:eastAsia="SimSun"/>
                      <w:sz w:val="24"/>
                    </w:rPr>
                  </m:ctrlPr>
                </m:e>
                <m:sup>
                  <m:r>
                    <m:rPr/>
                    <w:rPr>
                      <w:rFonts w:hint="default" w:ascii="DejaVu Math TeX Gyre" w:hAnsi="DejaVu Math TeX Gyre" w:eastAsia="SimSun"/>
                      <w:sz w:val="24"/>
                    </w:rPr>
                    <m:t>∗</m:t>
                  </m:r>
                  <m:ctrlPr>
                    <w:rPr>
                      <w:rFonts w:ascii="DejaVu Math TeX Gyre" w:hAnsi="DejaVu Math TeX Gyre" w:eastAsia="SimSun"/>
                      <w:sz w:val="24"/>
                    </w:rPr>
                  </m:ctrlPr>
                </m:sup>
              </m:sSup>
              <m:r>
                <m:rPr/>
                <w:rPr>
                  <w:rFonts w:hint="default" w:ascii="DejaVu Math TeX Gyre" w:hAnsi="DejaVu Math TeX Gyre" w:eastAsia="SimSun"/>
                  <w:sz w:val="24"/>
                </w:rPr>
                <m:t>)=</m:t>
              </m:r>
              <m:f>
                <m:fPr>
                  <m:ctrlPr>
                    <w:rPr>
                      <w:rFonts w:hint="default" w:ascii="DejaVu Math TeX Gyre" w:hAnsi="DejaVu Math TeX Gyre" w:eastAsia="SimSun"/>
                      <w:sz w:val="24"/>
                    </w:rPr>
                  </m:ctrlPr>
                </m:fPr>
                <m:num>
                  <m:d>
                    <m:dPr>
                      <m:begChr m:val="|"/>
                      <m:endChr m:val="|"/>
                      <m:ctrlPr>
                        <w:rPr>
                          <w:rFonts w:hint="default" w:ascii="DejaVu Math TeX Gyre" w:hAnsi="DejaVu Math TeX Gyre" w:eastAsia="SimSun"/>
                          <w:sz w:val="24"/>
                        </w:rPr>
                      </m:ctrlPr>
                    </m:dPr>
                    <m:e>
                      <m:r>
                        <m:rPr/>
                        <w:rPr>
                          <w:rFonts w:hint="default" w:ascii="DejaVu Math TeX Gyre" w:hAnsi="DejaVu Math TeX Gyre" w:eastAsia="SimSun"/>
                          <w:sz w:val="24"/>
                        </w:rPr>
                        <m:t>B∩</m:t>
                      </m:r>
                      <m:sSup>
                        <m:sSupPr>
                          <m:ctrlPr>
                            <w:rPr>
                              <w:rFonts w:hint="default" w:ascii="DejaVu Math TeX Gyre" w:hAnsi="DejaVu Math TeX Gyre" w:eastAsia="SimSun"/>
                              <w:sz w:val="24"/>
                            </w:rPr>
                          </m:ctrlPr>
                        </m:sSupPr>
                        <m:e>
                          <m:r>
                            <m:rPr/>
                            <w:rPr>
                              <w:rFonts w:hint="default" w:ascii="DejaVu Math TeX Gyre" w:hAnsi="DejaVu Math TeX Gyre" w:eastAsia="SimSun"/>
                              <w:sz w:val="24"/>
                            </w:rPr>
                            <m:t>B</m:t>
                          </m:r>
                          <m:ctrlPr>
                            <w:rPr>
                              <w:rFonts w:ascii="DejaVu Math TeX Gyre" w:hAnsi="DejaVu Math TeX Gyre" w:eastAsia="SimSun"/>
                              <w:sz w:val="24"/>
                            </w:rPr>
                          </m:ctrlPr>
                        </m:e>
                        <m:sup>
                          <m:r>
                            <m:rPr/>
                            <w:rPr>
                              <w:rFonts w:hint="default" w:ascii="DejaVu Math TeX Gyre" w:hAnsi="DejaVu Math TeX Gyre" w:eastAsia="SimSun"/>
                              <w:sz w:val="24"/>
                            </w:rPr>
                            <m:t>∗</m:t>
                          </m:r>
                          <m:ctrlPr>
                            <w:rPr>
                              <w:rFonts w:ascii="DejaVu Math TeX Gyre" w:hAnsi="DejaVu Math TeX Gyre" w:eastAsia="SimSun"/>
                              <w:sz w:val="24"/>
                            </w:rPr>
                          </m:ctrlPr>
                        </m:sup>
                      </m:sSup>
                      <m:ctrlPr>
                        <w:rPr>
                          <w:rFonts w:hint="default" w:ascii="DejaVu Math TeX Gyre" w:hAnsi="DejaVu Math TeX Gyre" w:eastAsia="SimSun"/>
                          <w:sz w:val="24"/>
                        </w:rPr>
                      </m:ctrlPr>
                    </m:e>
                  </m:d>
                  <m:ctrlPr>
                    <w:rPr>
                      <w:rFonts w:hint="default" w:ascii="DejaVu Math TeX Gyre" w:hAnsi="DejaVu Math TeX Gyre" w:eastAsia="SimSun"/>
                      <w:sz w:val="24"/>
                    </w:rPr>
                  </m:ctrlPr>
                </m:num>
                <m:den>
                  <m:d>
                    <m:dPr>
                      <m:begChr m:val="|"/>
                      <m:endChr m:val="|"/>
                      <m:ctrlPr>
                        <w:rPr>
                          <w:rFonts w:hint="default" w:ascii="DejaVu Math TeX Gyre" w:hAnsi="DejaVu Math TeX Gyre" w:eastAsia="SimSun"/>
                          <w:sz w:val="24"/>
                        </w:rPr>
                      </m:ctrlPr>
                    </m:dPr>
                    <m:e>
                      <m:r>
                        <m:rPr/>
                        <w:rPr>
                          <w:rFonts w:hint="default" w:ascii="DejaVu Math TeX Gyre" w:hAnsi="DejaVu Math TeX Gyre" w:eastAsia="SimSun"/>
                          <w:sz w:val="24"/>
                        </w:rPr>
                        <m:t>B∪</m:t>
                      </m:r>
                      <m:sSup>
                        <m:sSupPr>
                          <m:ctrlPr>
                            <w:rPr>
                              <w:rFonts w:hint="default" w:ascii="DejaVu Math TeX Gyre" w:hAnsi="DejaVu Math TeX Gyre" w:eastAsia="SimSun"/>
                              <w:sz w:val="24"/>
                            </w:rPr>
                          </m:ctrlPr>
                        </m:sSupPr>
                        <m:e>
                          <m:r>
                            <m:rPr/>
                            <w:rPr>
                              <w:rFonts w:hint="default" w:ascii="DejaVu Math TeX Gyre" w:hAnsi="DejaVu Math TeX Gyre" w:eastAsia="SimSun"/>
                              <w:sz w:val="24"/>
                            </w:rPr>
                            <m:t>B</m:t>
                          </m:r>
                          <m:ctrlPr>
                            <w:rPr>
                              <w:rFonts w:ascii="DejaVu Math TeX Gyre" w:hAnsi="DejaVu Math TeX Gyre" w:eastAsia="SimSun"/>
                              <w:sz w:val="24"/>
                            </w:rPr>
                          </m:ctrlPr>
                        </m:e>
                        <m:sup>
                          <m:r>
                            <m:rPr/>
                            <w:rPr>
                              <w:rFonts w:hint="default" w:ascii="DejaVu Math TeX Gyre" w:hAnsi="DejaVu Math TeX Gyre" w:eastAsia="SimSun"/>
                              <w:sz w:val="24"/>
                            </w:rPr>
                            <m:t>∗</m:t>
                          </m:r>
                          <m:ctrlPr>
                            <w:rPr>
                              <w:rFonts w:ascii="DejaVu Math TeX Gyre" w:hAnsi="DejaVu Math TeX Gyre" w:eastAsia="SimSun"/>
                              <w:sz w:val="24"/>
                            </w:rPr>
                          </m:ctrlPr>
                        </m:sup>
                      </m:sSup>
                      <m:ctrlPr>
                        <w:rPr>
                          <w:rFonts w:hint="default" w:ascii="DejaVu Math TeX Gyre" w:hAnsi="DejaVu Math TeX Gyre" w:eastAsia="SimSun"/>
                          <w:sz w:val="24"/>
                        </w:rPr>
                      </m:ctrlPr>
                    </m:e>
                  </m:d>
                  <m:ctrlPr>
                    <w:rPr>
                      <w:rFonts w:hint="default" w:ascii="DejaVu Math TeX Gyre" w:hAnsi="DejaVu Math TeX Gyre" w:eastAsia="SimSun"/>
                      <w:sz w:val="24"/>
                    </w:rPr>
                  </m:ctrlPr>
                </m:den>
              </m:f>
              <m:ctrlPr>
                <w:rPr>
                  <w:rFonts w:hint="default" w:ascii="DejaVu Math TeX Gyre" w:hAnsi="DejaVu Math TeX Gyre" w:eastAsia="SimSun"/>
                  <w:sz w:val="24"/>
                </w:rPr>
              </m:ctrlPr>
            </m:e>
          </m:borderBox>
        </m:oMath>
      </m:oMathPara>
    </w:p>
    <w:p w14:paraId="3105F1B0">
      <w:pPr>
        <w:keepNext w:val="0"/>
        <w:keepLines w:val="0"/>
        <w:widowControl/>
        <w:suppressLineNumbers w:val="0"/>
        <w:jc w:val="left"/>
        <w:rPr>
          <w:rFonts w:hAnsi="SimSun" w:eastAsia="SimSun" w:cs="SimSun"/>
          <w:i w:val="0"/>
          <w:color w:val="1E293B"/>
          <w:kern w:val="0"/>
          <w:sz w:val="24"/>
          <w:szCs w:val="24"/>
          <w:lang w:val="en-US" w:eastAsia="zh-CN" w:bidi="ar"/>
        </w:rPr>
      </w:pPr>
    </w:p>
    <w:p w14:paraId="3BBFD8B2">
      <w:pPr>
        <w:pStyle w:val="15"/>
        <w:keepNext w:val="0"/>
        <w:keepLines w:val="0"/>
        <w:widowControl/>
        <w:suppressLineNumbers w:val="0"/>
      </w:pPr>
      <w:r>
        <w:t>is the Intersection over Union between the predicted and ground-truth boxes. The exact localization formulation will be finalized based on the selected detection head.</w:t>
      </w:r>
    </w:p>
    <w:p w14:paraId="5502A3BE">
      <w:pPr>
        <w:pStyle w:val="15"/>
        <w:keepNext w:val="0"/>
        <w:keepLines w:val="0"/>
        <w:widowControl/>
        <w:suppressLineNumbers w:val="0"/>
      </w:pPr>
      <w:r>
        <w:t xml:space="preserve">A proposed </w:t>
      </w:r>
      <w:r>
        <w:rPr>
          <w:rStyle w:val="16"/>
        </w:rPr>
        <w:t>Nodule Feature Diversity (NFD)</w:t>
      </w:r>
      <w:r>
        <w:t xml:space="preserve"> regularization term is added as an auxiliary objective. For learned nodule feature representations </w:t>
      </w:r>
      <m:oMath>
        <m:sSub>
          <m:sSubPr>
            <m:ctrlPr>
              <w:rPr>
                <w:rFonts w:hint="default" w:ascii="Cambria Math"/>
              </w:rPr>
            </m:ctrlPr>
          </m:sSubPr>
          <m:e>
            <m:r>
              <m:rPr/>
              <w:rPr>
                <w:rFonts w:hint="default" w:ascii="Cambria Math"/>
              </w:rPr>
              <m:t>f</m:t>
            </m:r>
          </m:e>
          <m:sub>
            <m:r>
              <m:rPr/>
              <w:rPr>
                <w:rFonts w:hint="default" w:ascii="Cambria Math"/>
              </w:rPr>
              <m:t>i</m:t>
            </m:r>
          </m:sub>
        </m:sSub>
      </m:oMath>
      <w:r>
        <w:t xml:space="preserve"> and </w:t>
      </w:r>
      <m:oMath>
        <m:sSub>
          <m:sSubPr>
            <m:ctrlPr>
              <w:rPr>
                <w:rFonts w:hint="default" w:ascii="Cambria Math"/>
              </w:rPr>
            </m:ctrlPr>
          </m:sSubPr>
          <m:e>
            <m:r>
              <m:rPr/>
              <w:rPr>
                <w:rFonts w:hint="default" w:ascii="Cambria Math"/>
              </w:rPr>
              <m:t>f</m:t>
            </m:r>
          </m:e>
          <m:sub>
            <m:r>
              <m:rPr/>
              <w:rPr>
                <w:rFonts w:hint="default" w:ascii="Cambria Math"/>
              </w:rPr>
              <m:t>j</m:t>
            </m:r>
          </m:sub>
        </m:sSub>
      </m:oMath>
      <w:r>
        <w:t>, their cosine similarity is defined as:</w:t>
      </w:r>
    </w:p>
    <w:p w14:paraId="07A40E74">
      <w:pPr>
        <w:keepNext w:val="0"/>
        <w:keepLines w:val="0"/>
        <w:widowControl/>
        <w:suppressLineNumbers w:val="0"/>
        <w:jc w:val="left"/>
        <w:rPr>
          <w:rFonts w:hAnsi="SimSun" w:eastAsia="SimSun" w:cs="SimSun"/>
          <w:i w:val="0"/>
          <w:color w:val="1E293B"/>
          <w:kern w:val="0"/>
          <w:sz w:val="24"/>
          <w:szCs w:val="24"/>
          <w:lang w:val="en-US" w:eastAsia="zh-CN" w:bidi="ar"/>
        </w:rPr>
      </w:pPr>
      <m:oMathPara>
        <m:oMath>
          <m:borderBox>
            <m:borderBoxPr>
              <m:ctrlPr>
                <w:rPr>
                  <w:rFonts w:hint="default" w:ascii="DejaVu Math TeX Gyre" w:hAnsi="DejaVu Math TeX Gyre" w:eastAsia="SimSun"/>
                  <w:sz w:val="24"/>
                </w:rPr>
              </m:ctrlPr>
            </m:borderBoxPr>
            <m:e>
              <m:r>
                <m:rPr/>
                <w:rPr>
                  <w:rFonts w:hint="default" w:ascii="DejaVu Math TeX Gyre" w:hAnsi="DejaVu Math TeX Gyre" w:eastAsia="SimSun"/>
                  <w:sz w:val="24"/>
                </w:rPr>
                <m:t>sim(</m:t>
              </m:r>
              <m:sSub>
                <m:sSubPr>
                  <m:ctrlPr>
                    <w:rPr>
                      <w:rFonts w:hint="default" w:ascii="DejaVu Math TeX Gyre" w:hAnsi="DejaVu Math TeX Gyre" w:eastAsia="SimSun"/>
                      <w:sz w:val="24"/>
                    </w:rPr>
                  </m:ctrlPr>
                </m:sSubPr>
                <m:e>
                  <m:r>
                    <m:rPr/>
                    <w:rPr>
                      <w:rFonts w:hint="default" w:ascii="DejaVu Math TeX Gyre" w:hAnsi="DejaVu Math TeX Gyre" w:eastAsia="SimSun"/>
                      <w:sz w:val="24"/>
                    </w:rPr>
                    <m:t>f</m:t>
                  </m:r>
                  <m:ctrlPr>
                    <w:rPr>
                      <w:rFonts w:ascii="DejaVu Math TeX Gyre" w:hAnsi="DejaVu Math TeX Gyre" w:eastAsia="SimSun"/>
                      <w:sz w:val="24"/>
                    </w:rPr>
                  </m:ctrlPr>
                </m:e>
                <m:sub>
                  <m:r>
                    <m:rPr/>
                    <w:rPr>
                      <w:rFonts w:hint="default" w:ascii="DejaVu Math TeX Gyre" w:hAnsi="DejaVu Math TeX Gyre" w:eastAsia="SimSun"/>
                      <w:sz w:val="24"/>
                    </w:rPr>
                    <m:t>i</m:t>
                  </m:r>
                  <m:ctrlPr>
                    <w:rPr>
                      <w:rFonts w:ascii="DejaVu Math TeX Gyre" w:hAnsi="DejaVu Math TeX Gyre" w:eastAsia="SimSun"/>
                      <w:sz w:val="24"/>
                    </w:rPr>
                  </m:ctrlPr>
                </m:sub>
              </m:sSub>
              <m:r>
                <m:rPr/>
                <w:rPr>
                  <w:rFonts w:hint="default" w:ascii="DejaVu Math TeX Gyre" w:hAnsi="DejaVu Math TeX Gyre" w:eastAsia="SimSun"/>
                  <w:sz w:val="24"/>
                </w:rPr>
                <m:t>,</m:t>
              </m:r>
              <m:sSub>
                <m:sSubPr>
                  <m:ctrlPr>
                    <w:rPr>
                      <w:rFonts w:hint="default" w:ascii="DejaVu Math TeX Gyre" w:hAnsi="DejaVu Math TeX Gyre" w:eastAsia="SimSun"/>
                      <w:sz w:val="24"/>
                    </w:rPr>
                  </m:ctrlPr>
                </m:sSubPr>
                <m:e>
                  <m:r>
                    <m:rPr/>
                    <w:rPr>
                      <w:rFonts w:hint="default" w:ascii="DejaVu Math TeX Gyre" w:hAnsi="DejaVu Math TeX Gyre" w:eastAsia="SimSun"/>
                      <w:sz w:val="24"/>
                    </w:rPr>
                    <m:t>f</m:t>
                  </m:r>
                  <m:ctrlPr>
                    <w:rPr>
                      <w:rFonts w:ascii="DejaVu Math TeX Gyre" w:hAnsi="DejaVu Math TeX Gyre" w:eastAsia="SimSun"/>
                      <w:sz w:val="24"/>
                    </w:rPr>
                  </m:ctrlPr>
                </m:e>
                <m:sub>
                  <m:r>
                    <m:rPr/>
                    <w:rPr>
                      <w:rFonts w:hint="default" w:ascii="DejaVu Math TeX Gyre" w:hAnsi="DejaVu Math TeX Gyre" w:eastAsia="SimSun"/>
                      <w:sz w:val="24"/>
                    </w:rPr>
                    <m:t>j</m:t>
                  </m:r>
                  <m:ctrlPr>
                    <w:rPr>
                      <w:rFonts w:ascii="DejaVu Math TeX Gyre" w:hAnsi="DejaVu Math TeX Gyre" w:eastAsia="SimSun"/>
                      <w:sz w:val="24"/>
                    </w:rPr>
                  </m:ctrlPr>
                </m:sub>
              </m:sSub>
              <m:r>
                <m:rPr/>
                <w:rPr>
                  <w:rFonts w:hint="default" w:ascii="DejaVu Math TeX Gyre" w:hAnsi="DejaVu Math TeX Gyre" w:eastAsia="SimSun"/>
                  <w:sz w:val="24"/>
                </w:rPr>
                <m:t>)=</m:t>
              </m:r>
              <m:f>
                <m:fPr>
                  <m:ctrlPr>
                    <w:rPr>
                      <w:rFonts w:hint="default" w:ascii="DejaVu Math TeX Gyre" w:hAnsi="DejaVu Math TeX Gyre" w:eastAsia="SimSun"/>
                      <w:sz w:val="24"/>
                    </w:rPr>
                  </m:ctrlPr>
                </m:fPr>
                <m:num>
                  <m:sSubSup>
                    <m:sSubSupPr>
                      <m:ctrlPr>
                        <w:rPr>
                          <w:rFonts w:hint="default" w:ascii="DejaVu Math TeX Gyre" w:hAnsi="DejaVu Math TeX Gyre" w:eastAsia="SimSun"/>
                          <w:sz w:val="24"/>
                        </w:rPr>
                      </m:ctrlPr>
                    </m:sSubSupPr>
                    <m:e>
                      <m:r>
                        <m:rPr/>
                        <w:rPr>
                          <w:rFonts w:hint="default" w:ascii="DejaVu Math TeX Gyre" w:hAnsi="DejaVu Math TeX Gyre" w:eastAsia="SimSun"/>
                          <w:sz w:val="24"/>
                        </w:rPr>
                        <m:t>f</m:t>
                      </m:r>
                      <m:ctrlPr>
                        <w:rPr>
                          <w:rFonts w:ascii="DejaVu Math TeX Gyre" w:hAnsi="DejaVu Math TeX Gyre" w:eastAsia="SimSun"/>
                          <w:sz w:val="24"/>
                        </w:rPr>
                      </m:ctrlPr>
                    </m:e>
                    <m:sub>
                      <m:r>
                        <m:rPr/>
                        <w:rPr>
                          <w:rFonts w:hint="default" w:ascii="DejaVu Math TeX Gyre" w:hAnsi="DejaVu Math TeX Gyre" w:eastAsia="SimSun"/>
                          <w:sz w:val="24"/>
                        </w:rPr>
                        <m:t>i</m:t>
                      </m:r>
                      <m:ctrlPr>
                        <w:rPr>
                          <w:rFonts w:ascii="DejaVu Math TeX Gyre" w:hAnsi="DejaVu Math TeX Gyre" w:eastAsia="SimSun"/>
                          <w:sz w:val="24"/>
                        </w:rPr>
                      </m:ctrlPr>
                    </m:sub>
                    <m:sup>
                      <m:r>
                        <m:rPr/>
                        <w:rPr>
                          <w:rFonts w:hint="default" w:ascii="DejaVu Math TeX Gyre" w:hAnsi="DejaVu Math TeX Gyre" w:eastAsia="SimSun"/>
                          <w:sz w:val="24"/>
                        </w:rPr>
                        <m:t>T</m:t>
                      </m:r>
                      <m:ctrlPr>
                        <w:rPr>
                          <w:rFonts w:ascii="DejaVu Math TeX Gyre" w:hAnsi="DejaVu Math TeX Gyre" w:eastAsia="SimSun"/>
                          <w:sz w:val="24"/>
                        </w:rPr>
                      </m:ctrlPr>
                    </m:sup>
                  </m:sSubSup>
                  <m:sSub>
                    <m:sSubPr>
                      <m:ctrlPr>
                        <w:rPr>
                          <w:rFonts w:hint="default" w:ascii="DejaVu Math TeX Gyre" w:hAnsi="DejaVu Math TeX Gyre" w:eastAsia="SimSun"/>
                          <w:sz w:val="24"/>
                        </w:rPr>
                      </m:ctrlPr>
                    </m:sSubPr>
                    <m:e>
                      <m:r>
                        <m:rPr/>
                        <w:rPr>
                          <w:rFonts w:hint="default" w:ascii="DejaVu Math TeX Gyre" w:hAnsi="DejaVu Math TeX Gyre" w:eastAsia="SimSun"/>
                          <w:sz w:val="24"/>
                        </w:rPr>
                        <m:t>f</m:t>
                      </m:r>
                      <m:ctrlPr>
                        <w:rPr>
                          <w:rFonts w:ascii="DejaVu Math TeX Gyre" w:hAnsi="DejaVu Math TeX Gyre" w:eastAsia="SimSun"/>
                          <w:sz w:val="24"/>
                        </w:rPr>
                      </m:ctrlPr>
                    </m:e>
                    <m:sub>
                      <m:r>
                        <m:rPr/>
                        <w:rPr>
                          <w:rFonts w:hint="default" w:ascii="DejaVu Math TeX Gyre" w:hAnsi="DejaVu Math TeX Gyre" w:eastAsia="SimSun"/>
                          <w:sz w:val="24"/>
                        </w:rPr>
                        <m:t>j</m:t>
                      </m:r>
                      <m:ctrlPr>
                        <w:rPr>
                          <w:rFonts w:ascii="DejaVu Math TeX Gyre" w:hAnsi="DejaVu Math TeX Gyre" w:eastAsia="SimSun"/>
                          <w:sz w:val="24"/>
                        </w:rPr>
                      </m:ctrlPr>
                    </m:sub>
                  </m:sSub>
                  <m:ctrlPr>
                    <w:rPr>
                      <w:rFonts w:hint="default" w:ascii="DejaVu Math TeX Gyre" w:hAnsi="DejaVu Math TeX Gyre" w:eastAsia="SimSun"/>
                      <w:sz w:val="24"/>
                    </w:rPr>
                  </m:ctrlPr>
                </m:num>
                <m:den>
                  <m:r>
                    <m:rPr/>
                    <w:rPr>
                      <w:rFonts w:hint="default" w:ascii="DejaVu Math TeX Gyre" w:hAnsi="DejaVu Math TeX Gyre" w:eastAsia="SimSun"/>
                      <w:sz w:val="24"/>
                    </w:rPr>
                    <m:t>‖</m:t>
                  </m:r>
                  <m:sSub>
                    <m:sSubPr>
                      <m:ctrlPr>
                        <w:rPr>
                          <w:rFonts w:hint="default" w:ascii="DejaVu Math TeX Gyre" w:hAnsi="DejaVu Math TeX Gyre" w:eastAsia="SimSun"/>
                          <w:sz w:val="24"/>
                        </w:rPr>
                      </m:ctrlPr>
                    </m:sSubPr>
                    <m:e>
                      <m:r>
                        <m:rPr/>
                        <w:rPr>
                          <w:rFonts w:hint="default" w:ascii="DejaVu Math TeX Gyre" w:hAnsi="DejaVu Math TeX Gyre" w:eastAsia="SimSun"/>
                          <w:sz w:val="24"/>
                        </w:rPr>
                        <m:t>f</m:t>
                      </m:r>
                      <m:ctrlPr>
                        <w:rPr>
                          <w:rFonts w:ascii="DejaVu Math TeX Gyre" w:hAnsi="DejaVu Math TeX Gyre" w:eastAsia="SimSun"/>
                          <w:sz w:val="24"/>
                        </w:rPr>
                      </m:ctrlPr>
                    </m:e>
                    <m:sub>
                      <m:r>
                        <m:rPr/>
                        <w:rPr>
                          <w:rFonts w:hint="default" w:ascii="DejaVu Math TeX Gyre" w:hAnsi="DejaVu Math TeX Gyre" w:eastAsia="SimSun"/>
                          <w:sz w:val="24"/>
                        </w:rPr>
                        <m:t>i</m:t>
                      </m:r>
                      <m:ctrlPr>
                        <w:rPr>
                          <w:rFonts w:ascii="DejaVu Math TeX Gyre" w:hAnsi="DejaVu Math TeX Gyre" w:eastAsia="SimSun"/>
                          <w:sz w:val="24"/>
                        </w:rPr>
                      </m:ctrlPr>
                    </m:sub>
                  </m:sSub>
                  <m:sSub>
                    <m:sSubPr>
                      <m:ctrlPr>
                        <w:rPr>
                          <w:rFonts w:hint="default" w:ascii="DejaVu Math TeX Gyre" w:hAnsi="DejaVu Math TeX Gyre" w:eastAsia="SimSun"/>
                          <w:sz w:val="24"/>
                        </w:rPr>
                      </m:ctrlPr>
                    </m:sSubPr>
                    <m:e>
                      <m:r>
                        <m:rPr/>
                        <w:rPr>
                          <w:rFonts w:hint="default" w:ascii="DejaVu Math TeX Gyre" w:hAnsi="DejaVu Math TeX Gyre" w:eastAsia="SimSun"/>
                          <w:sz w:val="24"/>
                        </w:rPr>
                        <m:t>‖</m:t>
                      </m:r>
                      <m:ctrlPr>
                        <w:rPr>
                          <w:rFonts w:ascii="DejaVu Math TeX Gyre" w:hAnsi="DejaVu Math TeX Gyre" w:eastAsia="SimSun"/>
                          <w:sz w:val="24"/>
                        </w:rPr>
                      </m:ctrlPr>
                    </m:e>
                    <m:sub>
                      <m:r>
                        <m:rPr/>
                        <w:rPr>
                          <w:rFonts w:hint="default" w:ascii="DejaVu Math TeX Gyre" w:hAnsi="DejaVu Math TeX Gyre" w:eastAsia="SimSun"/>
                          <w:sz w:val="24"/>
                        </w:rPr>
                        <m:t>2</m:t>
                      </m:r>
                      <m:ctrlPr>
                        <w:rPr>
                          <w:rFonts w:ascii="DejaVu Math TeX Gyre" w:hAnsi="DejaVu Math TeX Gyre" w:eastAsia="SimSun"/>
                          <w:sz w:val="24"/>
                        </w:rPr>
                      </m:ctrlPr>
                    </m:sub>
                  </m:sSub>
                  <m:r>
                    <m:rPr/>
                    <w:rPr>
                      <w:rFonts w:hint="default" w:ascii="DejaVu Math TeX Gyre" w:hAnsi="DejaVu Math TeX Gyre" w:eastAsia="SimSun"/>
                      <w:sz w:val="24"/>
                    </w:rPr>
                    <m:t>‖</m:t>
                  </m:r>
                  <m:sSub>
                    <m:sSubPr>
                      <m:ctrlPr>
                        <w:rPr>
                          <w:rFonts w:hint="default" w:ascii="DejaVu Math TeX Gyre" w:hAnsi="DejaVu Math TeX Gyre" w:eastAsia="SimSun"/>
                          <w:sz w:val="24"/>
                        </w:rPr>
                      </m:ctrlPr>
                    </m:sSubPr>
                    <m:e>
                      <m:r>
                        <m:rPr/>
                        <w:rPr>
                          <w:rFonts w:hint="default" w:ascii="DejaVu Math TeX Gyre" w:hAnsi="DejaVu Math TeX Gyre" w:eastAsia="SimSun"/>
                          <w:sz w:val="24"/>
                        </w:rPr>
                        <m:t>f</m:t>
                      </m:r>
                      <m:ctrlPr>
                        <w:rPr>
                          <w:rFonts w:ascii="DejaVu Math TeX Gyre" w:hAnsi="DejaVu Math TeX Gyre" w:eastAsia="SimSun"/>
                          <w:sz w:val="24"/>
                        </w:rPr>
                      </m:ctrlPr>
                    </m:e>
                    <m:sub>
                      <m:r>
                        <m:rPr/>
                        <w:rPr>
                          <w:rFonts w:hint="default" w:ascii="DejaVu Math TeX Gyre" w:hAnsi="DejaVu Math TeX Gyre" w:eastAsia="SimSun"/>
                          <w:sz w:val="24"/>
                        </w:rPr>
                        <m:t>j</m:t>
                      </m:r>
                      <m:ctrlPr>
                        <w:rPr>
                          <w:rFonts w:ascii="DejaVu Math TeX Gyre" w:hAnsi="DejaVu Math TeX Gyre" w:eastAsia="SimSun"/>
                          <w:sz w:val="24"/>
                        </w:rPr>
                      </m:ctrlPr>
                    </m:sub>
                  </m:sSub>
                  <m:sSub>
                    <m:sSubPr>
                      <m:ctrlPr>
                        <w:rPr>
                          <w:rFonts w:hint="default" w:ascii="DejaVu Math TeX Gyre" w:hAnsi="DejaVu Math TeX Gyre" w:eastAsia="SimSun"/>
                          <w:sz w:val="24"/>
                        </w:rPr>
                      </m:ctrlPr>
                    </m:sSubPr>
                    <m:e>
                      <m:r>
                        <m:rPr/>
                        <w:rPr>
                          <w:rFonts w:hint="default" w:ascii="DejaVu Math TeX Gyre" w:hAnsi="DejaVu Math TeX Gyre" w:eastAsia="SimSun"/>
                          <w:sz w:val="24"/>
                        </w:rPr>
                        <m:t>‖</m:t>
                      </m:r>
                      <m:ctrlPr>
                        <w:rPr>
                          <w:rFonts w:ascii="DejaVu Math TeX Gyre" w:hAnsi="DejaVu Math TeX Gyre" w:eastAsia="SimSun"/>
                          <w:sz w:val="24"/>
                        </w:rPr>
                      </m:ctrlPr>
                    </m:e>
                    <m:sub>
                      <m:r>
                        <m:rPr/>
                        <w:rPr>
                          <w:rFonts w:hint="default" w:ascii="DejaVu Math TeX Gyre" w:hAnsi="DejaVu Math TeX Gyre" w:eastAsia="SimSun"/>
                          <w:sz w:val="24"/>
                        </w:rPr>
                        <m:t>2</m:t>
                      </m:r>
                      <m:ctrlPr>
                        <w:rPr>
                          <w:rFonts w:ascii="DejaVu Math TeX Gyre" w:hAnsi="DejaVu Math TeX Gyre" w:eastAsia="SimSun"/>
                          <w:sz w:val="24"/>
                        </w:rPr>
                      </m:ctrlPr>
                    </m:sub>
                  </m:sSub>
                  <m:ctrlPr>
                    <w:rPr>
                      <w:rFonts w:hint="default" w:ascii="DejaVu Math TeX Gyre" w:hAnsi="DejaVu Math TeX Gyre" w:eastAsia="SimSun"/>
                      <w:sz w:val="24"/>
                    </w:rPr>
                  </m:ctrlPr>
                </m:den>
              </m:f>
              <m:ctrlPr>
                <w:rPr>
                  <w:rFonts w:hint="default" w:ascii="DejaVu Math TeX Gyre" w:hAnsi="DejaVu Math TeX Gyre" w:eastAsia="SimSun"/>
                  <w:sz w:val="24"/>
                </w:rPr>
              </m:ctrlPr>
            </m:e>
          </m:borderBox>
        </m:oMath>
      </m:oMathPara>
    </w:p>
    <w:p w14:paraId="5C1C7C04">
      <w:pPr>
        <w:pStyle w:val="15"/>
        <w:keepNext w:val="0"/>
        <w:keepLines w:val="0"/>
        <w:widowControl/>
        <w:suppressLineNumbers w:val="0"/>
      </w:pPr>
      <w:r>
        <w:t>A candidate formulation for the NFD regularization is:</w:t>
      </w:r>
    </w:p>
    <w:p w14:paraId="14337687">
      <w:pPr>
        <w:keepNext w:val="0"/>
        <w:keepLines w:val="0"/>
        <w:widowControl/>
        <w:suppressLineNumbers w:val="0"/>
        <w:jc w:val="left"/>
        <w:rPr>
          <w:i w:val="0"/>
        </w:rPr>
      </w:pPr>
      <m:oMathPara>
        <m:oMath>
          <m:borderBox>
            <m:borderBoxPr>
              <m:ctrlPr>
                <w:rPr>
                  <w:rFonts w:hint="default" w:ascii="DejaVu Math TeX Gyre" w:hAnsi="DejaVu Math TeX Gyre" w:eastAsia="SimSun"/>
                  <w:sz w:val="24"/>
                </w:rPr>
              </m:ctrlPr>
            </m:borderBoxPr>
            <m:e>
              <m:sSub>
                <m:sSubPr>
                  <m:ctrlPr>
                    <w:rPr>
                      <w:rFonts w:hint="default" w:ascii="DejaVu Math TeX Gyre" w:hAnsi="DejaVu Math TeX Gyre" w:eastAsia="SimSun"/>
                      <w:sz w:val="24"/>
                    </w:rPr>
                  </m:ctrlPr>
                </m:sSubPr>
                <m:e>
                  <m:r>
                    <m:rPr/>
                    <w:rPr>
                      <w:rFonts w:hint="default" w:ascii="DejaVu Math TeX Gyre" w:hAnsi="DejaVu Math TeX Gyre" w:eastAsia="SimSun"/>
                      <w:sz w:val="24"/>
                    </w:rPr>
                    <m:t>L</m:t>
                  </m:r>
                  <m:ctrlPr>
                    <w:rPr>
                      <w:rFonts w:ascii="DejaVu Math TeX Gyre" w:hAnsi="DejaVu Math TeX Gyre" w:eastAsia="SimSun"/>
                      <w:sz w:val="24"/>
                    </w:rPr>
                  </m:ctrlPr>
                </m:e>
                <m:sub>
                  <m:r>
                    <m:rPr>
                      <m:sty m:val="p"/>
                    </m:rPr>
                    <w:rPr>
                      <w:rFonts w:hint="default" w:ascii="DejaVu Math TeX Gyre" w:hAnsi="DejaVu Math TeX Gyre" w:eastAsia="SimSun"/>
                      <w:sz w:val="24"/>
                    </w:rPr>
                    <m:t>NFD</m:t>
                  </m:r>
                  <m:ctrlPr>
                    <w:rPr>
                      <w:rFonts w:ascii="DejaVu Math TeX Gyre" w:hAnsi="DejaVu Math TeX Gyre" w:eastAsia="SimSun"/>
                      <w:sz w:val="24"/>
                    </w:rPr>
                  </m:ctrlPr>
                </m:sub>
              </m:sSub>
              <m:r>
                <m:rPr/>
                <w:rPr>
                  <w:rFonts w:hint="default" w:ascii="DejaVu Math TeX Gyre" w:hAnsi="DejaVu Math TeX Gyre" w:eastAsia="SimSun"/>
                  <w:sz w:val="24"/>
                </w:rPr>
                <m:t>=</m:t>
              </m:r>
              <m:f>
                <m:fPr>
                  <m:ctrlPr>
                    <w:rPr>
                      <w:rFonts w:hint="default" w:ascii="DejaVu Math TeX Gyre" w:hAnsi="DejaVu Math TeX Gyre" w:eastAsia="SimSun"/>
                      <w:sz w:val="24"/>
                    </w:rPr>
                  </m:ctrlPr>
                </m:fPr>
                <m:num>
                  <m:r>
                    <m:rPr/>
                    <w:rPr>
                      <w:rFonts w:hint="default" w:ascii="DejaVu Math TeX Gyre" w:hAnsi="DejaVu Math TeX Gyre" w:eastAsia="SimSun"/>
                      <w:sz w:val="24"/>
                    </w:rPr>
                    <m:t>1</m:t>
                  </m:r>
                  <m:ctrlPr>
                    <w:rPr>
                      <w:rFonts w:ascii="DejaVu Math TeX Gyre" w:hAnsi="DejaVu Math TeX Gyre" w:eastAsia="SimSun"/>
                      <w:sz w:val="24"/>
                    </w:rPr>
                  </m:ctrlPr>
                </m:num>
                <m:den>
                  <m:r>
                    <m:rPr/>
                    <w:rPr>
                      <w:rFonts w:hint="default" w:ascii="DejaVu Math TeX Gyre" w:hAnsi="DejaVu Math TeX Gyre" w:eastAsia="SimSun"/>
                      <w:sz w:val="24"/>
                    </w:rPr>
                    <m:t>N(N−1)</m:t>
                  </m:r>
                  <m:ctrlPr>
                    <w:rPr>
                      <w:rFonts w:ascii="DejaVu Math TeX Gyre" w:hAnsi="DejaVu Math TeX Gyre" w:eastAsia="SimSun"/>
                      <w:sz w:val="24"/>
                    </w:rPr>
                  </m:ctrlPr>
                </m:den>
              </m:f>
              <m:nary>
                <m:naryPr>
                  <m:chr m:val="∑"/>
                  <m:limLoc m:val="subSup"/>
                  <m:supHide m:val="1"/>
                  <m:ctrlPr>
                    <w:rPr>
                      <w:rFonts w:hint="default" w:ascii="DejaVu Math TeX Gyre" w:hAnsi="DejaVu Math TeX Gyre" w:eastAsia="SimSun"/>
                      <w:sz w:val="24"/>
                    </w:rPr>
                  </m:ctrlPr>
                </m:naryPr>
                <m:sub>
                  <m:r>
                    <m:rPr>
                      <m:sty m:val="p"/>
                    </m:rPr>
                    <w:rPr>
                      <w:rFonts w:ascii="SimSun" w:hAnsi="SimSun" w:eastAsia="SimSun" w:cs="SimSun"/>
                      <w:color w:val="auto"/>
                      <w:kern w:val="0"/>
                      <w:sz w:val="24"/>
                      <w:szCs w:val="24"/>
                      <w:lang w:val="en-US" w:eastAsia="zh-CN" w:bidi="ar"/>
                    </w:rPr>
                    <m:t>i,ji≠j</m:t>
                  </m:r>
                  <m:ctrlPr>
                    <w:rPr>
                      <w:rFonts w:ascii="DejaVu Math TeX Gyre" w:hAnsi="DejaVu Math TeX Gyre" w:eastAsia="SimSun"/>
                      <w:sz w:val="24"/>
                    </w:rPr>
                  </m:ctrlPr>
                </m:sub>
                <m:sup>
                  <m:ctrlPr>
                    <w:rPr>
                      <w:rFonts w:ascii="DejaVu Math TeX Gyre" w:hAnsi="DejaVu Math TeX Gyre" w:eastAsia="SimSun"/>
                      <w:sz w:val="24"/>
                    </w:rPr>
                  </m:ctrlPr>
                </m:sup>
                <m:e>
                  <m:sSup>
                    <m:sSupPr>
                      <m:ctrlPr>
                        <w:rPr>
                          <w:rFonts w:hint="default" w:ascii="DejaVu Math TeX Gyre" w:hAnsi="DejaVu Math TeX Gyre" w:eastAsia="SimSun"/>
                          <w:sz w:val="24"/>
                        </w:rPr>
                      </m:ctrlPr>
                    </m:sSupPr>
                    <m:e>
                      <m:d>
                        <m:dPr>
                          <m:begChr m:val="["/>
                          <m:endChr m:val="]"/>
                          <m:ctrlPr>
                            <w:rPr>
                              <w:rFonts w:hint="default" w:ascii="DejaVu Math TeX Gyre" w:hAnsi="DejaVu Math TeX Gyre" w:eastAsia="SimSun"/>
                              <w:sz w:val="24"/>
                            </w:rPr>
                          </m:ctrlPr>
                        </m:dPr>
                        <m:e>
                          <m:func>
                            <m:funcPr>
                              <m:ctrlPr>
                                <w:rPr>
                                  <w:rFonts w:hint="default" w:ascii="DejaVu Math TeX Gyre" w:hAnsi="DejaVu Math TeX Gyre" w:eastAsia="SimSun"/>
                                  <w:sz w:val="24"/>
                                </w:rPr>
                              </m:ctrlPr>
                            </m:funcPr>
                            <m:fName>
                              <m:limLow>
                                <m:limLowPr>
                                  <m:ctrlPr>
                                    <w:rPr>
                                      <w:rFonts w:hint="default" w:ascii="DejaVu Math TeX Gyre" w:hAnsi="DejaVu Math TeX Gyre" w:eastAsia="SimSun"/>
                                      <w:sz w:val="24"/>
                                    </w:rPr>
                                  </m:ctrlPr>
                                </m:limLowPr>
                                <m:e>
                                  <m:r>
                                    <m:rPr>
                                      <m:sty m:val="p"/>
                                    </m:rPr>
                                    <w:rPr>
                                      <w:rFonts w:hint="default" w:ascii="DejaVu Math TeX Gyre" w:hAnsi="DejaVu Math TeX Gyre" w:eastAsia="SimSun"/>
                                      <w:sz w:val="24"/>
                                    </w:rPr>
                                    <m:t>max</m:t>
                                  </m:r>
                                  <m:ctrlPr>
                                    <w:rPr>
                                      <w:rFonts w:ascii="DejaVu Math TeX Gyre" w:hAnsi="DejaVu Math TeX Gyre" w:eastAsia="SimSun"/>
                                      <w:sz w:val="24"/>
                                    </w:rPr>
                                  </m:ctrlPr>
                                </m:e>
                                <m:lim>
                                  <m:ctrlPr>
                                    <w:rPr>
                                      <w:rFonts w:ascii="DejaVu Math TeX Gyre" w:hAnsi="DejaVu Math TeX Gyre" w:eastAsia="SimSun"/>
                                      <w:sz w:val="24"/>
                                    </w:rPr>
                                  </m:ctrlPr>
                                </m:lim>
                              </m:limLow>
                              <m:ctrlPr>
                                <w:rPr>
                                  <w:rFonts w:hint="default" w:ascii="DejaVu Math TeX Gyre" w:hAnsi="DejaVu Math TeX Gyre" w:eastAsia="SimSun"/>
                                  <w:sz w:val="24"/>
                                </w:rPr>
                              </m:ctrlPr>
                            </m:fName>
                            <m:e>
                              <m:d>
                                <m:dPr>
                                  <m:ctrlPr>
                                    <w:rPr>
                                      <w:rFonts w:hint="default" w:ascii="DejaVu Math TeX Gyre" w:hAnsi="DejaVu Math TeX Gyre" w:eastAsia="SimSun"/>
                                      <w:sz w:val="24"/>
                                    </w:rPr>
                                  </m:ctrlPr>
                                </m:dPr>
                                <m:e>
                                  <m:r>
                                    <m:rPr/>
                                    <w:rPr>
                                      <w:rFonts w:hint="default" w:ascii="DejaVu Math TeX Gyre" w:hAnsi="DejaVu Math TeX Gyre" w:eastAsia="SimSun"/>
                                      <w:sz w:val="24"/>
                                    </w:rPr>
                                    <m:t>0, sim(</m:t>
                                  </m:r>
                                  <m:sSub>
                                    <m:sSubPr>
                                      <m:ctrlPr>
                                        <w:rPr>
                                          <w:rFonts w:hint="default" w:ascii="DejaVu Math TeX Gyre" w:hAnsi="DejaVu Math TeX Gyre" w:eastAsia="SimSun"/>
                                          <w:sz w:val="24"/>
                                        </w:rPr>
                                      </m:ctrlPr>
                                    </m:sSubPr>
                                    <m:e>
                                      <m:r>
                                        <m:rPr/>
                                        <w:rPr>
                                          <w:rFonts w:hint="default" w:ascii="DejaVu Math TeX Gyre" w:hAnsi="DejaVu Math TeX Gyre" w:eastAsia="SimSun"/>
                                          <w:sz w:val="24"/>
                                        </w:rPr>
                                        <m:t>f</m:t>
                                      </m:r>
                                      <m:ctrlPr>
                                        <w:rPr>
                                          <w:rFonts w:ascii="DejaVu Math TeX Gyre" w:hAnsi="DejaVu Math TeX Gyre" w:eastAsia="SimSun"/>
                                          <w:sz w:val="24"/>
                                        </w:rPr>
                                      </m:ctrlPr>
                                    </m:e>
                                    <m:sub>
                                      <m:r>
                                        <m:rPr/>
                                        <w:rPr>
                                          <w:rFonts w:hint="default" w:ascii="DejaVu Math TeX Gyre" w:hAnsi="DejaVu Math TeX Gyre" w:eastAsia="SimSun"/>
                                          <w:sz w:val="24"/>
                                        </w:rPr>
                                        <m:t>i</m:t>
                                      </m:r>
                                      <m:ctrlPr>
                                        <w:rPr>
                                          <w:rFonts w:ascii="DejaVu Math TeX Gyre" w:hAnsi="DejaVu Math TeX Gyre" w:eastAsia="SimSun"/>
                                          <w:sz w:val="24"/>
                                        </w:rPr>
                                      </m:ctrlPr>
                                    </m:sub>
                                  </m:sSub>
                                  <m:r>
                                    <m:rPr/>
                                    <w:rPr>
                                      <w:rFonts w:hint="default" w:ascii="DejaVu Math TeX Gyre" w:hAnsi="DejaVu Math TeX Gyre" w:eastAsia="SimSun"/>
                                      <w:sz w:val="24"/>
                                    </w:rPr>
                                    <m:t>,</m:t>
                                  </m:r>
                                  <m:sSub>
                                    <m:sSubPr>
                                      <m:ctrlPr>
                                        <w:rPr>
                                          <w:rFonts w:hint="default" w:ascii="DejaVu Math TeX Gyre" w:hAnsi="DejaVu Math TeX Gyre" w:eastAsia="SimSun"/>
                                          <w:sz w:val="24"/>
                                        </w:rPr>
                                      </m:ctrlPr>
                                    </m:sSubPr>
                                    <m:e>
                                      <m:r>
                                        <m:rPr/>
                                        <w:rPr>
                                          <w:rFonts w:hint="default" w:ascii="DejaVu Math TeX Gyre" w:hAnsi="DejaVu Math TeX Gyre" w:eastAsia="SimSun"/>
                                          <w:sz w:val="24"/>
                                        </w:rPr>
                                        <m:t>f</m:t>
                                      </m:r>
                                      <m:ctrlPr>
                                        <w:rPr>
                                          <w:rFonts w:ascii="DejaVu Math TeX Gyre" w:hAnsi="DejaVu Math TeX Gyre" w:eastAsia="SimSun"/>
                                          <w:sz w:val="24"/>
                                        </w:rPr>
                                      </m:ctrlPr>
                                    </m:e>
                                    <m:sub>
                                      <m:r>
                                        <m:rPr/>
                                        <w:rPr>
                                          <w:rFonts w:hint="default" w:ascii="DejaVu Math TeX Gyre" w:hAnsi="DejaVu Math TeX Gyre" w:eastAsia="SimSun"/>
                                          <w:sz w:val="24"/>
                                        </w:rPr>
                                        <m:t>j</m:t>
                                      </m:r>
                                      <m:ctrlPr>
                                        <w:rPr>
                                          <w:rFonts w:ascii="DejaVu Math TeX Gyre" w:hAnsi="DejaVu Math TeX Gyre" w:eastAsia="SimSun"/>
                                          <w:sz w:val="24"/>
                                        </w:rPr>
                                      </m:ctrlPr>
                                    </m:sub>
                                  </m:sSub>
                                  <m:r>
                                    <m:rPr/>
                                    <w:rPr>
                                      <w:rFonts w:hint="default" w:ascii="DejaVu Math TeX Gyre" w:hAnsi="DejaVu Math TeX Gyre" w:eastAsia="SimSun"/>
                                      <w:sz w:val="24"/>
                                    </w:rPr>
                                    <m:t>)−m</m:t>
                                  </m:r>
                                  <m:ctrlPr>
                                    <w:rPr>
                                      <w:rFonts w:hint="default" w:ascii="DejaVu Math TeX Gyre" w:hAnsi="DejaVu Math TeX Gyre" w:eastAsia="SimSun"/>
                                      <w:sz w:val="24"/>
                                    </w:rPr>
                                  </m:ctrlPr>
                                </m:e>
                              </m:d>
                              <m:ctrlPr>
                                <w:rPr>
                                  <w:rFonts w:hint="default" w:ascii="DejaVu Math TeX Gyre" w:hAnsi="DejaVu Math TeX Gyre" w:eastAsia="SimSun"/>
                                  <w:sz w:val="24"/>
                                </w:rPr>
                              </m:ctrlPr>
                            </m:e>
                          </m:func>
                          <m:ctrlPr>
                            <w:rPr>
                              <w:rFonts w:hint="default" w:ascii="DejaVu Math TeX Gyre" w:hAnsi="DejaVu Math TeX Gyre" w:eastAsia="SimSun"/>
                              <w:sz w:val="24"/>
                            </w:rPr>
                          </m:ctrlPr>
                        </m:e>
                      </m:d>
                      <m:ctrlPr>
                        <w:rPr>
                          <w:rFonts w:hint="default" w:ascii="DejaVu Math TeX Gyre" w:hAnsi="DejaVu Math TeX Gyre" w:eastAsia="SimSun"/>
                          <w:sz w:val="24"/>
                        </w:rPr>
                      </m:ctrlPr>
                    </m:e>
                    <m:sup>
                      <m:r>
                        <m:rPr/>
                        <w:rPr>
                          <w:rFonts w:hint="default" w:ascii="DejaVu Math TeX Gyre" w:hAnsi="DejaVu Math TeX Gyre" w:eastAsia="SimSun"/>
                          <w:sz w:val="24"/>
                        </w:rPr>
                        <m:t>2</m:t>
                      </m:r>
                      <m:ctrlPr>
                        <w:rPr>
                          <w:rFonts w:hint="default" w:ascii="DejaVu Math TeX Gyre" w:hAnsi="DejaVu Math TeX Gyre" w:eastAsia="SimSun"/>
                          <w:sz w:val="24"/>
                        </w:rPr>
                      </m:ctrlPr>
                    </m:sup>
                  </m:sSup>
                  <m:ctrlPr>
                    <w:rPr>
                      <w:rFonts w:hint="default" w:ascii="DejaVu Math TeX Gyre" w:hAnsi="DejaVu Math TeX Gyre" w:eastAsia="SimSun"/>
                      <w:sz w:val="24"/>
                    </w:rPr>
                  </m:ctrlPr>
                </m:e>
              </m:nary>
              <m:ctrlPr>
                <w:rPr>
                  <w:rFonts w:hint="default" w:ascii="DejaVu Math TeX Gyre" w:hAnsi="DejaVu Math TeX Gyre" w:eastAsia="SimSun"/>
                  <w:sz w:val="24"/>
                </w:rPr>
              </m:ctrlPr>
            </m:e>
          </m:borderBox>
        </m:oMath>
      </m:oMathPara>
    </w:p>
    <w:p w14:paraId="191BAC3D">
      <w:pPr>
        <w:keepNext w:val="0"/>
        <w:keepLines w:val="0"/>
        <w:widowControl/>
        <w:suppressLineNumbers w:val="0"/>
        <w:jc w:val="left"/>
        <w:rPr>
          <w:i w:val="0"/>
        </w:rPr>
      </w:pPr>
    </w:p>
    <w:p w14:paraId="463443A3">
      <w:pPr>
        <w:pStyle w:val="15"/>
        <w:keepNext w:val="0"/>
        <w:keepLines w:val="0"/>
        <w:widowControl/>
        <w:suppressLineNumbers w:val="0"/>
      </w:pPr>
      <w:r>
        <w:t>where m is a similarity margin and N is the number of feature representations considered.</w:t>
      </w:r>
    </w:p>
    <w:p w14:paraId="21EBD88A">
      <w:pPr>
        <w:keepNext w:val="0"/>
        <w:keepLines w:val="0"/>
        <w:widowControl/>
        <w:suppressLineNumbers w:val="0"/>
        <w:jc w:val="left"/>
      </w:pPr>
      <w:r>
        <w:t>The overall training objective is:</w:t>
      </w:r>
    </w:p>
    <w:p w14:paraId="734288DB">
      <w:pPr>
        <w:keepNext w:val="0"/>
        <w:keepLines w:val="0"/>
        <w:widowControl/>
        <w:suppressLineNumbers w:val="0"/>
        <w:jc w:val="left"/>
        <w:rPr>
          <w:rFonts w:hAnsi="SimSun" w:eastAsia="SimSun" w:cs="SimSun"/>
          <w:i w:val="0"/>
          <w:color w:val="1E293B"/>
          <w:kern w:val="0"/>
          <w:sz w:val="24"/>
          <w:szCs w:val="24"/>
          <w:lang w:val="en-US" w:eastAsia="zh-CN" w:bidi="ar"/>
        </w:rPr>
      </w:pPr>
      <m:oMathPara>
        <m:oMath>
          <m:borderBox>
            <m:borderBoxPr>
              <m:ctrlPr>
                <w:rPr>
                  <w:rFonts w:hint="default" w:ascii="DejaVu Math TeX Gyre" w:hAnsi="DejaVu Math TeX Gyre" w:eastAsia="SimSun"/>
                  <w:sz w:val="24"/>
                </w:rPr>
              </m:ctrlPr>
            </m:borderBoxPr>
            <m:e>
              <m:sSub>
                <m:sSubPr>
                  <m:ctrlPr>
                    <w:rPr>
                      <w:rFonts w:hint="default" w:ascii="DejaVu Math TeX Gyre" w:hAnsi="DejaVu Math TeX Gyre" w:eastAsia="SimSun"/>
                      <w:sz w:val="24"/>
                    </w:rPr>
                  </m:ctrlPr>
                </m:sSubPr>
                <m:e>
                  <m:r>
                    <m:rPr/>
                    <w:rPr>
                      <w:rFonts w:hint="default" w:ascii="DejaVu Math TeX Gyre" w:hAnsi="DejaVu Math TeX Gyre" w:eastAsia="SimSun"/>
                      <w:sz w:val="24"/>
                    </w:rPr>
                    <m:t>L</m:t>
                  </m:r>
                  <m:ctrlPr>
                    <w:rPr>
                      <w:rFonts w:ascii="DejaVu Math TeX Gyre" w:hAnsi="DejaVu Math TeX Gyre" w:eastAsia="SimSun"/>
                      <w:sz w:val="24"/>
                    </w:rPr>
                  </m:ctrlPr>
                </m:e>
                <m:sub>
                  <m:r>
                    <m:rPr>
                      <m:sty m:val="p"/>
                    </m:rPr>
                    <w:rPr>
                      <w:rFonts w:hint="default" w:ascii="DejaVu Math TeX Gyre" w:hAnsi="DejaVu Math TeX Gyre" w:eastAsia="SimSun"/>
                      <w:sz w:val="24"/>
                    </w:rPr>
                    <m:t>total</m:t>
                  </m:r>
                  <m:ctrlPr>
                    <w:rPr>
                      <w:rFonts w:ascii="DejaVu Math TeX Gyre" w:hAnsi="DejaVu Math TeX Gyre" w:eastAsia="SimSun"/>
                      <w:sz w:val="24"/>
                    </w:rPr>
                  </m:ctrlPr>
                </m:sub>
              </m:sSub>
              <m:r>
                <m:rPr/>
                <w:rPr>
                  <w:rFonts w:hint="default" w:ascii="DejaVu Math TeX Gyre" w:hAnsi="DejaVu Math TeX Gyre" w:eastAsia="SimSun"/>
                  <w:sz w:val="24"/>
                </w:rPr>
                <m:t>=</m:t>
              </m:r>
              <m:sSub>
                <m:sSubPr>
                  <m:ctrlPr>
                    <w:rPr>
                      <w:rFonts w:hint="default" w:ascii="DejaVu Math TeX Gyre" w:hAnsi="DejaVu Math TeX Gyre" w:eastAsia="SimSun"/>
                      <w:sz w:val="24"/>
                    </w:rPr>
                  </m:ctrlPr>
                </m:sSubPr>
                <m:e>
                  <m:r>
                    <m:rPr/>
                    <w:rPr>
                      <w:rFonts w:hint="default" w:ascii="DejaVu Math TeX Gyre" w:hAnsi="DejaVu Math TeX Gyre" w:eastAsia="SimSun"/>
                      <w:sz w:val="24"/>
                    </w:rPr>
                    <m:t>L</m:t>
                  </m:r>
                  <m:ctrlPr>
                    <w:rPr>
                      <w:rFonts w:ascii="DejaVu Math TeX Gyre" w:hAnsi="DejaVu Math TeX Gyre" w:eastAsia="SimSun"/>
                      <w:sz w:val="24"/>
                    </w:rPr>
                  </m:ctrlPr>
                </m:e>
                <m:sub>
                  <m:r>
                    <m:rPr>
                      <m:sty m:val="p"/>
                    </m:rPr>
                    <w:rPr>
                      <w:rFonts w:hint="default" w:ascii="DejaVu Math TeX Gyre" w:hAnsi="DejaVu Math TeX Gyre" w:eastAsia="SimSun"/>
                      <w:sz w:val="24"/>
                    </w:rPr>
                    <m:t>det</m:t>
                  </m:r>
                  <m:ctrlPr>
                    <w:rPr>
                      <w:rFonts w:ascii="DejaVu Math TeX Gyre" w:hAnsi="DejaVu Math TeX Gyre" w:eastAsia="SimSun"/>
                      <w:sz w:val="24"/>
                    </w:rPr>
                  </m:ctrlPr>
                </m:sub>
              </m:sSub>
              <m:r>
                <m:rPr/>
                <w:rPr>
                  <w:rFonts w:hint="default" w:ascii="DejaVu Math TeX Gyre" w:hAnsi="DejaVu Math TeX Gyre" w:eastAsia="SimSun"/>
                  <w:sz w:val="24"/>
                </w:rPr>
                <m:t>+</m:t>
              </m:r>
              <m:sSub>
                <m:sSubPr>
                  <m:ctrlPr>
                    <w:rPr>
                      <w:rFonts w:hint="default" w:ascii="DejaVu Math TeX Gyre" w:hAnsi="DejaVu Math TeX Gyre" w:eastAsia="SimSun"/>
                      <w:sz w:val="24"/>
                    </w:rPr>
                  </m:ctrlPr>
                </m:sSubPr>
                <m:e>
                  <m:r>
                    <m:rPr/>
                    <w:rPr>
                      <w:rFonts w:hint="default" w:ascii="DejaVu Math TeX Gyre" w:hAnsi="DejaVu Math TeX Gyre" w:eastAsia="SimSun"/>
                      <w:sz w:val="24"/>
                    </w:rPr>
                    <m:t>λ</m:t>
                  </m:r>
                  <m:ctrlPr>
                    <w:rPr>
                      <w:rFonts w:ascii="DejaVu Math TeX Gyre" w:hAnsi="DejaVu Math TeX Gyre" w:eastAsia="SimSun"/>
                      <w:sz w:val="24"/>
                    </w:rPr>
                  </m:ctrlPr>
                </m:e>
                <m:sub>
                  <m:r>
                    <m:rPr>
                      <m:sty m:val="p"/>
                    </m:rPr>
                    <w:rPr>
                      <w:rFonts w:hint="default" w:ascii="DejaVu Math TeX Gyre" w:hAnsi="DejaVu Math TeX Gyre" w:eastAsia="SimSun"/>
                      <w:sz w:val="24"/>
                    </w:rPr>
                    <m:t>NFD</m:t>
                  </m:r>
                  <m:ctrlPr>
                    <w:rPr>
                      <w:rFonts w:ascii="DejaVu Math TeX Gyre" w:hAnsi="DejaVu Math TeX Gyre" w:eastAsia="SimSun"/>
                      <w:sz w:val="24"/>
                    </w:rPr>
                  </m:ctrlPr>
                </m:sub>
              </m:sSub>
              <m:sSub>
                <m:sSubPr>
                  <m:ctrlPr>
                    <w:rPr>
                      <w:rFonts w:hint="default" w:ascii="DejaVu Math TeX Gyre" w:hAnsi="DejaVu Math TeX Gyre" w:eastAsia="SimSun"/>
                      <w:sz w:val="24"/>
                    </w:rPr>
                  </m:ctrlPr>
                </m:sSubPr>
                <m:e>
                  <m:r>
                    <m:rPr/>
                    <w:rPr>
                      <w:rFonts w:hint="default" w:ascii="DejaVu Math TeX Gyre" w:hAnsi="DejaVu Math TeX Gyre" w:eastAsia="SimSun"/>
                      <w:sz w:val="24"/>
                    </w:rPr>
                    <m:t>L</m:t>
                  </m:r>
                  <m:ctrlPr>
                    <w:rPr>
                      <w:rFonts w:ascii="DejaVu Math TeX Gyre" w:hAnsi="DejaVu Math TeX Gyre" w:eastAsia="SimSun"/>
                      <w:sz w:val="24"/>
                    </w:rPr>
                  </m:ctrlPr>
                </m:e>
                <m:sub>
                  <m:r>
                    <m:rPr>
                      <m:sty m:val="p"/>
                    </m:rPr>
                    <w:rPr>
                      <w:rFonts w:hint="default" w:ascii="DejaVu Math TeX Gyre" w:hAnsi="DejaVu Math TeX Gyre" w:eastAsia="SimSun"/>
                      <w:sz w:val="24"/>
                    </w:rPr>
                    <m:t>NFD</m:t>
                  </m:r>
                  <m:ctrlPr>
                    <w:rPr>
                      <w:rFonts w:ascii="DejaVu Math TeX Gyre" w:hAnsi="DejaVu Math TeX Gyre" w:eastAsia="SimSun"/>
                      <w:sz w:val="24"/>
                    </w:rPr>
                  </m:ctrlPr>
                </m:sub>
              </m:sSub>
              <m:ctrlPr>
                <w:rPr>
                  <w:rFonts w:hint="default" w:ascii="DejaVu Math TeX Gyre" w:hAnsi="DejaVu Math TeX Gyre" w:eastAsia="SimSun"/>
                  <w:sz w:val="24"/>
                </w:rPr>
              </m:ctrlPr>
            </m:e>
          </m:borderBox>
        </m:oMath>
      </m:oMathPara>
    </w:p>
    <w:p w14:paraId="169561B8">
      <w:pPr>
        <w:keepNext w:val="0"/>
        <w:keepLines w:val="0"/>
        <w:widowControl/>
        <w:suppressLineNumbers w:val="0"/>
        <w:jc w:val="left"/>
        <w:rPr>
          <w:rFonts w:hAnsi="SimSun" w:eastAsia="SimSun" w:cs="SimSun"/>
          <w:i w:val="0"/>
          <w:color w:val="1E293B"/>
          <w:kern w:val="0"/>
          <w:sz w:val="24"/>
          <w:szCs w:val="24"/>
          <w:lang w:val="en-US" w:eastAsia="zh-CN" w:bidi="ar"/>
        </w:rPr>
      </w:pPr>
    </w:p>
    <w:p w14:paraId="676DFDB3">
      <w:pPr>
        <w:keepNext w:val="0"/>
        <w:keepLines w:val="0"/>
        <w:widowControl/>
        <w:suppressLineNumbers w:val="0"/>
        <w:jc w:val="left"/>
      </w:pPr>
      <w:r>
        <w:t>Substituting the detection objective gives:</w:t>
      </w:r>
    </w:p>
    <w:p w14:paraId="044EA21E">
      <w:pPr>
        <w:keepNext w:val="0"/>
        <w:keepLines w:val="0"/>
        <w:widowControl/>
        <w:suppressLineNumbers w:val="0"/>
        <w:jc w:val="left"/>
        <w:rPr>
          <w:rFonts w:hAnsi="SimSun" w:eastAsia="SimSun" w:cs="SimSun"/>
          <w:i w:val="0"/>
          <w:color w:val="1E293B"/>
          <w:kern w:val="0"/>
          <w:sz w:val="24"/>
          <w:szCs w:val="24"/>
          <w:lang w:val="en-US" w:eastAsia="zh-CN" w:bidi="ar"/>
        </w:rPr>
      </w:pPr>
      <m:oMathPara>
        <m:oMath>
          <m:borderBox>
            <m:borderBoxPr>
              <m:ctrlPr>
                <w:rPr>
                  <w:rFonts w:hint="default" w:ascii="DejaVu Math TeX Gyre" w:hAnsi="DejaVu Math TeX Gyre" w:eastAsia="SimSun"/>
                  <w:sz w:val="24"/>
                </w:rPr>
              </m:ctrlPr>
            </m:borderBoxPr>
            <m:e>
              <m:sSub>
                <m:sSubPr>
                  <m:ctrlPr>
                    <w:rPr>
                      <w:rFonts w:hint="default" w:ascii="DejaVu Math TeX Gyre" w:hAnsi="DejaVu Math TeX Gyre" w:eastAsia="SimSun"/>
                      <w:sz w:val="24"/>
                    </w:rPr>
                  </m:ctrlPr>
                </m:sSubPr>
                <m:e>
                  <m:r>
                    <m:rPr/>
                    <w:rPr>
                      <w:rFonts w:hint="default" w:ascii="DejaVu Math TeX Gyre" w:hAnsi="DejaVu Math TeX Gyre" w:eastAsia="SimSun"/>
                      <w:sz w:val="24"/>
                    </w:rPr>
                    <m:t>L</m:t>
                  </m:r>
                  <m:ctrlPr>
                    <w:rPr>
                      <w:rFonts w:ascii="DejaVu Math TeX Gyre" w:hAnsi="DejaVu Math TeX Gyre" w:eastAsia="SimSun"/>
                      <w:sz w:val="24"/>
                    </w:rPr>
                  </m:ctrlPr>
                </m:e>
                <m:sub>
                  <m:r>
                    <m:rPr>
                      <m:sty m:val="p"/>
                    </m:rPr>
                    <w:rPr>
                      <w:rFonts w:hint="default" w:ascii="DejaVu Math TeX Gyre" w:hAnsi="DejaVu Math TeX Gyre" w:eastAsia="SimSun"/>
                      <w:sz w:val="24"/>
                    </w:rPr>
                    <m:t>total</m:t>
                  </m:r>
                  <m:ctrlPr>
                    <w:rPr>
                      <w:rFonts w:ascii="DejaVu Math TeX Gyre" w:hAnsi="DejaVu Math TeX Gyre" w:eastAsia="SimSun"/>
                      <w:sz w:val="24"/>
                    </w:rPr>
                  </m:ctrlPr>
                </m:sub>
              </m:sSub>
              <m:r>
                <m:rPr/>
                <w:rPr>
                  <w:rFonts w:hint="default" w:ascii="DejaVu Math TeX Gyre" w:hAnsi="DejaVu Math TeX Gyre" w:eastAsia="SimSun"/>
                  <w:sz w:val="24"/>
                </w:rPr>
                <m:t>=</m:t>
              </m:r>
              <m:sSub>
                <m:sSubPr>
                  <m:ctrlPr>
                    <w:rPr>
                      <w:rFonts w:hint="default" w:ascii="DejaVu Math TeX Gyre" w:hAnsi="DejaVu Math TeX Gyre" w:eastAsia="SimSun"/>
                      <w:sz w:val="24"/>
                    </w:rPr>
                  </m:ctrlPr>
                </m:sSubPr>
                <m:e>
                  <m:r>
                    <m:rPr/>
                    <w:rPr>
                      <w:rFonts w:hint="default" w:ascii="DejaVu Math TeX Gyre" w:hAnsi="DejaVu Math TeX Gyre" w:eastAsia="SimSun"/>
                      <w:sz w:val="24"/>
                    </w:rPr>
                    <m:t>λ</m:t>
                  </m:r>
                  <m:ctrlPr>
                    <w:rPr>
                      <w:rFonts w:ascii="DejaVu Math TeX Gyre" w:hAnsi="DejaVu Math TeX Gyre" w:eastAsia="SimSun"/>
                      <w:sz w:val="24"/>
                    </w:rPr>
                  </m:ctrlPr>
                </m:e>
                <m:sub>
                  <m:r>
                    <m:rPr>
                      <m:sty m:val="p"/>
                    </m:rPr>
                    <w:rPr>
                      <w:rFonts w:hint="default" w:ascii="DejaVu Math TeX Gyre" w:hAnsi="DejaVu Math TeX Gyre" w:eastAsia="SimSun"/>
                      <w:sz w:val="24"/>
                    </w:rPr>
                    <m:t>cls</m:t>
                  </m:r>
                  <m:ctrlPr>
                    <w:rPr>
                      <w:rFonts w:ascii="DejaVu Math TeX Gyre" w:hAnsi="DejaVu Math TeX Gyre" w:eastAsia="SimSun"/>
                      <w:sz w:val="24"/>
                    </w:rPr>
                  </m:ctrlPr>
                </m:sub>
              </m:sSub>
              <m:sSub>
                <m:sSubPr>
                  <m:ctrlPr>
                    <w:rPr>
                      <w:rFonts w:hint="default" w:ascii="DejaVu Math TeX Gyre" w:hAnsi="DejaVu Math TeX Gyre" w:eastAsia="SimSun"/>
                      <w:sz w:val="24"/>
                    </w:rPr>
                  </m:ctrlPr>
                </m:sSubPr>
                <m:e>
                  <m:r>
                    <m:rPr/>
                    <w:rPr>
                      <w:rFonts w:hint="default" w:ascii="DejaVu Math TeX Gyre" w:hAnsi="DejaVu Math TeX Gyre" w:eastAsia="SimSun"/>
                      <w:sz w:val="24"/>
                    </w:rPr>
                    <m:t>L</m:t>
                  </m:r>
                  <m:ctrlPr>
                    <w:rPr>
                      <w:rFonts w:ascii="DejaVu Math TeX Gyre" w:hAnsi="DejaVu Math TeX Gyre" w:eastAsia="SimSun"/>
                      <w:sz w:val="24"/>
                    </w:rPr>
                  </m:ctrlPr>
                </m:e>
                <m:sub>
                  <m:r>
                    <m:rPr>
                      <m:sty m:val="p"/>
                    </m:rPr>
                    <w:rPr>
                      <w:rFonts w:hint="default" w:ascii="DejaVu Math TeX Gyre" w:hAnsi="DejaVu Math TeX Gyre" w:eastAsia="SimSun"/>
                      <w:sz w:val="24"/>
                    </w:rPr>
                    <m:t>focal</m:t>
                  </m:r>
                  <m:ctrlPr>
                    <w:rPr>
                      <w:rFonts w:ascii="DejaVu Math TeX Gyre" w:hAnsi="DejaVu Math TeX Gyre" w:eastAsia="SimSun"/>
                      <w:sz w:val="24"/>
                    </w:rPr>
                  </m:ctrlPr>
                </m:sub>
              </m:sSub>
              <m:r>
                <m:rPr/>
                <w:rPr>
                  <w:rFonts w:hint="default" w:ascii="DejaVu Math TeX Gyre" w:hAnsi="DejaVu Math TeX Gyre" w:eastAsia="SimSun"/>
                  <w:sz w:val="24"/>
                </w:rPr>
                <m:t>+</m:t>
              </m:r>
              <m:sSub>
                <m:sSubPr>
                  <m:ctrlPr>
                    <w:rPr>
                      <w:rFonts w:hint="default" w:ascii="DejaVu Math TeX Gyre" w:hAnsi="DejaVu Math TeX Gyre" w:eastAsia="SimSun"/>
                      <w:sz w:val="24"/>
                    </w:rPr>
                  </m:ctrlPr>
                </m:sSubPr>
                <m:e>
                  <m:r>
                    <m:rPr/>
                    <w:rPr>
                      <w:rFonts w:hint="default" w:ascii="DejaVu Math TeX Gyre" w:hAnsi="DejaVu Math TeX Gyre" w:eastAsia="SimSun"/>
                      <w:sz w:val="24"/>
                    </w:rPr>
                    <m:t>λ</m:t>
                  </m:r>
                  <m:ctrlPr>
                    <w:rPr>
                      <w:rFonts w:ascii="DejaVu Math TeX Gyre" w:hAnsi="DejaVu Math TeX Gyre" w:eastAsia="SimSun"/>
                      <w:sz w:val="24"/>
                    </w:rPr>
                  </m:ctrlPr>
                </m:e>
                <m:sub>
                  <m:r>
                    <m:rPr>
                      <m:sty m:val="p"/>
                    </m:rPr>
                    <w:rPr>
                      <w:rFonts w:hint="default" w:ascii="DejaVu Math TeX Gyre" w:hAnsi="DejaVu Math TeX Gyre" w:eastAsia="SimSun"/>
                      <w:sz w:val="24"/>
                    </w:rPr>
                    <m:t>loc</m:t>
                  </m:r>
                  <m:ctrlPr>
                    <w:rPr>
                      <w:rFonts w:ascii="DejaVu Math TeX Gyre" w:hAnsi="DejaVu Math TeX Gyre" w:eastAsia="SimSun"/>
                      <w:sz w:val="24"/>
                    </w:rPr>
                  </m:ctrlPr>
                </m:sub>
              </m:sSub>
              <m:sSub>
                <m:sSubPr>
                  <m:ctrlPr>
                    <w:rPr>
                      <w:rFonts w:hint="default" w:ascii="DejaVu Math TeX Gyre" w:hAnsi="DejaVu Math TeX Gyre" w:eastAsia="SimSun"/>
                      <w:sz w:val="24"/>
                    </w:rPr>
                  </m:ctrlPr>
                </m:sSubPr>
                <m:e>
                  <m:r>
                    <m:rPr/>
                    <w:rPr>
                      <w:rFonts w:hint="default" w:ascii="DejaVu Math TeX Gyre" w:hAnsi="DejaVu Math TeX Gyre" w:eastAsia="SimSun"/>
                      <w:sz w:val="24"/>
                    </w:rPr>
                    <m:t>L</m:t>
                  </m:r>
                  <m:ctrlPr>
                    <w:rPr>
                      <w:rFonts w:ascii="DejaVu Math TeX Gyre" w:hAnsi="DejaVu Math TeX Gyre" w:eastAsia="SimSun"/>
                      <w:sz w:val="24"/>
                    </w:rPr>
                  </m:ctrlPr>
                </m:e>
                <m:sub>
                  <m:r>
                    <m:rPr>
                      <m:sty m:val="p"/>
                    </m:rPr>
                    <w:rPr>
                      <w:rFonts w:hint="default" w:ascii="DejaVu Math TeX Gyre" w:hAnsi="DejaVu Math TeX Gyre" w:eastAsia="SimSun"/>
                      <w:sz w:val="24"/>
                    </w:rPr>
                    <m:t>loc</m:t>
                  </m:r>
                  <m:ctrlPr>
                    <w:rPr>
                      <w:rFonts w:ascii="DejaVu Math TeX Gyre" w:hAnsi="DejaVu Math TeX Gyre" w:eastAsia="SimSun"/>
                      <w:sz w:val="24"/>
                    </w:rPr>
                  </m:ctrlPr>
                </m:sub>
              </m:sSub>
              <m:r>
                <m:rPr/>
                <w:rPr>
                  <w:rFonts w:hint="default" w:ascii="DejaVu Math TeX Gyre" w:hAnsi="DejaVu Math TeX Gyre" w:eastAsia="SimSun"/>
                  <w:sz w:val="24"/>
                </w:rPr>
                <m:t>+</m:t>
              </m:r>
              <m:sSub>
                <m:sSubPr>
                  <m:ctrlPr>
                    <w:rPr>
                      <w:rFonts w:hint="default" w:ascii="DejaVu Math TeX Gyre" w:hAnsi="DejaVu Math TeX Gyre" w:eastAsia="SimSun"/>
                      <w:sz w:val="24"/>
                    </w:rPr>
                  </m:ctrlPr>
                </m:sSubPr>
                <m:e>
                  <m:r>
                    <m:rPr/>
                    <w:rPr>
                      <w:rFonts w:hint="default" w:ascii="DejaVu Math TeX Gyre" w:hAnsi="DejaVu Math TeX Gyre" w:eastAsia="SimSun"/>
                      <w:sz w:val="24"/>
                    </w:rPr>
                    <m:t>λ</m:t>
                  </m:r>
                  <m:ctrlPr>
                    <w:rPr>
                      <w:rFonts w:ascii="DejaVu Math TeX Gyre" w:hAnsi="DejaVu Math TeX Gyre" w:eastAsia="SimSun"/>
                      <w:sz w:val="24"/>
                    </w:rPr>
                  </m:ctrlPr>
                </m:e>
                <m:sub>
                  <m:r>
                    <m:rPr>
                      <m:sty m:val="p"/>
                    </m:rPr>
                    <w:rPr>
                      <w:rFonts w:hint="default" w:ascii="DejaVu Math TeX Gyre" w:hAnsi="DejaVu Math TeX Gyre" w:eastAsia="SimSun"/>
                      <w:sz w:val="24"/>
                    </w:rPr>
                    <m:t>NFD</m:t>
                  </m:r>
                  <m:ctrlPr>
                    <w:rPr>
                      <w:rFonts w:ascii="DejaVu Math TeX Gyre" w:hAnsi="DejaVu Math TeX Gyre" w:eastAsia="SimSun"/>
                      <w:sz w:val="24"/>
                    </w:rPr>
                  </m:ctrlPr>
                </m:sub>
              </m:sSub>
              <m:sSub>
                <m:sSubPr>
                  <m:ctrlPr>
                    <w:rPr>
                      <w:rFonts w:hint="default" w:ascii="DejaVu Math TeX Gyre" w:hAnsi="DejaVu Math TeX Gyre" w:eastAsia="SimSun"/>
                      <w:sz w:val="24"/>
                    </w:rPr>
                  </m:ctrlPr>
                </m:sSubPr>
                <m:e>
                  <m:r>
                    <m:rPr/>
                    <w:rPr>
                      <w:rFonts w:hint="default" w:ascii="DejaVu Math TeX Gyre" w:hAnsi="DejaVu Math TeX Gyre" w:eastAsia="SimSun"/>
                      <w:sz w:val="24"/>
                    </w:rPr>
                    <m:t>L</m:t>
                  </m:r>
                  <m:ctrlPr>
                    <w:rPr>
                      <w:rFonts w:ascii="DejaVu Math TeX Gyre" w:hAnsi="DejaVu Math TeX Gyre" w:eastAsia="SimSun"/>
                      <w:sz w:val="24"/>
                    </w:rPr>
                  </m:ctrlPr>
                </m:e>
                <m:sub>
                  <m:r>
                    <m:rPr>
                      <m:sty m:val="p"/>
                    </m:rPr>
                    <w:rPr>
                      <w:rFonts w:hint="default" w:ascii="DejaVu Math TeX Gyre" w:hAnsi="DejaVu Math TeX Gyre" w:eastAsia="SimSun"/>
                      <w:sz w:val="24"/>
                    </w:rPr>
                    <m:t>NFD</m:t>
                  </m:r>
                  <m:ctrlPr>
                    <w:rPr>
                      <w:rFonts w:ascii="DejaVu Math TeX Gyre" w:hAnsi="DejaVu Math TeX Gyre" w:eastAsia="SimSun"/>
                      <w:sz w:val="24"/>
                    </w:rPr>
                  </m:ctrlPr>
                </m:sub>
              </m:sSub>
              <m:ctrlPr>
                <w:rPr>
                  <w:rFonts w:hint="default" w:ascii="DejaVu Math TeX Gyre" w:hAnsi="DejaVu Math TeX Gyre" w:eastAsia="SimSun"/>
                  <w:sz w:val="24"/>
                </w:rPr>
              </m:ctrlPr>
            </m:e>
          </m:borderBox>
        </m:oMath>
      </m:oMathPara>
    </w:p>
    <w:p w14:paraId="734452F5">
      <w:pPr>
        <w:keepNext w:val="0"/>
        <w:keepLines w:val="0"/>
        <w:widowControl/>
        <w:suppressLineNumbers w:val="0"/>
        <w:jc w:val="left"/>
        <w:rPr>
          <w:rFonts w:hAnsi="SimSun" w:eastAsia="SimSun" w:cs="SimSun"/>
          <w:i w:val="0"/>
          <w:color w:val="1E293B"/>
          <w:kern w:val="0"/>
          <w:sz w:val="24"/>
          <w:szCs w:val="24"/>
          <w:lang w:val="en-US" w:eastAsia="zh-CN" w:bidi="ar"/>
        </w:rPr>
      </w:pPr>
    </w:p>
    <w:p w14:paraId="28B02799">
      <w:pPr>
        <w:pStyle w:val="4"/>
        <w:keepNext w:val="0"/>
        <w:keepLines w:val="0"/>
        <w:widowControl/>
        <w:suppressLineNumbers w:val="0"/>
      </w:pPr>
      <w:r>
        <w:rPr>
          <w:rStyle w:val="16"/>
          <w:b/>
          <w:bCs/>
        </w:rPr>
        <w:t>Notation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20"/>
        <w:gridCol w:w="6876"/>
      </w:tblGrid>
      <w:tr w14:paraId="0EB5EF50">
        <w:trPr>
          <w:tblHeader/>
          <w:tblCellSpacing w:w="15" w:type="dxa"/>
        </w:trPr>
        <w:tc>
          <w:tcPr>
            <w:tcW w:w="0" w:type="auto"/>
            <w:shd w:val="clear"/>
            <w:vAlign w:val="center"/>
          </w:tcPr>
          <w:p w14:paraId="5FD9273C">
            <w:pPr>
              <w:keepNext w:val="0"/>
              <w:keepLines w:val="0"/>
              <w:widowControl/>
              <w:suppressLineNumbers w:val="0"/>
              <w:jc w:val="center"/>
              <w:rPr>
                <w:b/>
                <w:bCs/>
              </w:rPr>
            </w:pPr>
            <w:r>
              <w:rPr>
                <w:rFonts w:ascii="SimSun" w:hAnsi="SimSun" w:eastAsia="SimSun" w:cs="SimSun"/>
                <w:b/>
                <w:bCs/>
                <w:color w:val="1E293B"/>
                <w:kern w:val="0"/>
                <w:sz w:val="24"/>
                <w:szCs w:val="24"/>
                <w:lang w:val="en-US" w:eastAsia="zh-CN" w:bidi="ar"/>
              </w:rPr>
              <w:t>Symbol</w:t>
            </w:r>
          </w:p>
        </w:tc>
        <w:tc>
          <w:tcPr>
            <w:tcW w:w="7825" w:type="dxa"/>
            <w:shd w:val="clear"/>
            <w:vAlign w:val="center"/>
          </w:tcPr>
          <w:p w14:paraId="2DEB2E94">
            <w:pPr>
              <w:keepNext w:val="0"/>
              <w:keepLines w:val="0"/>
              <w:widowControl/>
              <w:suppressLineNumbers w:val="0"/>
              <w:jc w:val="center"/>
              <w:rPr>
                <w:b/>
                <w:bCs/>
              </w:rPr>
            </w:pPr>
            <w:r>
              <w:rPr>
                <w:rFonts w:ascii="SimSun" w:hAnsi="SimSun" w:eastAsia="SimSun" w:cs="SimSun"/>
                <w:b/>
                <w:bCs/>
                <w:color w:val="1E293B"/>
                <w:kern w:val="0"/>
                <w:sz w:val="24"/>
                <w:szCs w:val="24"/>
                <w:lang w:val="en-US" w:eastAsia="zh-CN" w:bidi="ar"/>
              </w:rPr>
              <w:t>Meaning</w:t>
            </w:r>
          </w:p>
        </w:tc>
      </w:tr>
      <w:tr w14:paraId="3073A720">
        <w:trPr>
          <w:tblCellSpacing w:w="15" w:type="dxa"/>
        </w:trPr>
        <w:tc>
          <w:tcPr>
            <w:tcW w:w="0" w:type="auto"/>
            <w:shd w:val="clear"/>
            <w:vAlign w:val="center"/>
          </w:tcPr>
          <w:p w14:paraId="1482C749">
            <w:pPr>
              <w:keepNext w:val="0"/>
              <w:keepLines w:val="0"/>
              <w:widowControl/>
              <w:suppressLineNumbers w:val="0"/>
              <w:jc w:val="left"/>
              <m:rPr/>
              <w:rPr>
                <w:rFonts w:hAnsi="SimSun" w:eastAsia="SimSun" w:cs="SimSun"/>
                <w:b w:val="0"/>
                <w:i w:val="0"/>
                <w:color w:val="1E293B"/>
                <w:kern w:val="0"/>
                <w:sz w:val="24"/>
                <w:szCs w:val="24"/>
                <w:lang w:val="en-US" w:eastAsia="zh-CN" w:bidi="ar"/>
              </w:rPr>
            </w:pPr>
            <m:oMathPara>
              <m:oMath>
                <m:sSub>
                  <m:sSubPr>
                    <m:ctrlPr>
                      <w:rPr>
                        <w:rFonts w:hint="default" w:ascii="DejaVu Math TeX Gyre" w:hAnsi="DejaVu Math TeX Gyre" w:eastAsia="SimSun"/>
                        <w:sz w:val="24"/>
                      </w:rPr>
                    </m:ctrlPr>
                  </m:sSubPr>
                  <m:e>
                    <m:r>
                      <m:rPr/>
                      <w:rPr>
                        <w:rFonts w:hint="default" w:ascii="DejaVu Math TeX Gyre" w:hAnsi="DejaVu Math TeX Gyre" w:eastAsia="SimSun"/>
                        <w:sz w:val="24"/>
                      </w:rPr>
                      <m:t>L</m:t>
                    </m:r>
                    <m:ctrlPr>
                      <w:rPr>
                        <w:rFonts w:ascii="DejaVu Math TeX Gyre" w:hAnsi="DejaVu Math TeX Gyre" w:eastAsia="SimSun"/>
                        <w:sz w:val="24"/>
                      </w:rPr>
                    </m:ctrlPr>
                  </m:e>
                  <m:sub>
                    <m:r>
                      <m:rPr>
                        <m:sty m:val="p"/>
                      </m:rPr>
                      <w:rPr>
                        <w:rFonts w:hint="default" w:ascii="DejaVu Math TeX Gyre" w:hAnsi="DejaVu Math TeX Gyre" w:eastAsia="SimSun"/>
                        <w:sz w:val="24"/>
                      </w:rPr>
                      <m:t>total</m:t>
                    </m:r>
                    <m:ctrlPr>
                      <w:rPr>
                        <w:rFonts w:ascii="DejaVu Math TeX Gyre" w:hAnsi="DejaVu Math TeX Gyre" w:eastAsia="SimSun"/>
                        <w:sz w:val="24"/>
                      </w:rPr>
                    </m:ctrlPr>
                  </m:sub>
                </m:sSub>
              </m:oMath>
            </m:oMathPara>
          </w:p>
        </w:tc>
        <w:tc>
          <w:tcPr>
            <w:tcW w:w="7825" w:type="dxa"/>
            <w:shd w:val="clear"/>
            <w:vAlign w:val="center"/>
          </w:tcPr>
          <w:p w14:paraId="00BE0E7D">
            <w:pPr>
              <w:keepNext w:val="0"/>
              <w:keepLines w:val="0"/>
              <w:widowControl/>
              <w:suppressLineNumbers w:val="0"/>
              <w:jc w:val="left"/>
            </w:pPr>
            <w:r>
              <w:rPr>
                <w:rFonts w:ascii="SimSun" w:hAnsi="SimSun" w:eastAsia="SimSun" w:cs="SimSun"/>
                <w:color w:val="1E293B"/>
                <w:kern w:val="0"/>
                <w:sz w:val="24"/>
                <w:szCs w:val="24"/>
                <w:lang w:val="en-US" w:eastAsia="zh-CN" w:bidi="ar"/>
              </w:rPr>
              <w:t>Overall training loss</w:t>
            </w:r>
          </w:p>
        </w:tc>
      </w:tr>
      <w:tr w14:paraId="5DDE8650">
        <w:trPr>
          <w:tblCellSpacing w:w="15" w:type="dxa"/>
        </w:trPr>
        <w:tc>
          <w:tcPr>
            <w:tcW w:w="0" w:type="auto"/>
            <w:shd w:val="clear"/>
            <w:vAlign w:val="center"/>
          </w:tcPr>
          <w:p w14:paraId="1BF065F8">
            <w:pPr>
              <w:keepNext w:val="0"/>
              <w:keepLines w:val="0"/>
              <w:widowControl/>
              <w:suppressLineNumbers w:val="0"/>
              <w:jc w:val="left"/>
              <w:rPr>
                <w:rFonts w:hAnsi="SimSun" w:eastAsia="SimSun" w:cs="SimSun"/>
                <w:i w:val="0"/>
                <w:color w:val="1E293B"/>
                <w:kern w:val="0"/>
                <w:sz w:val="24"/>
                <w:szCs w:val="24"/>
                <w:lang w:val="en-US" w:eastAsia="zh-CN" w:bidi="ar"/>
              </w:rPr>
            </w:pPr>
            <m:oMathPara>
              <m:oMath>
                <m:sSub>
                  <m:sSubPr>
                    <m:ctrlPr>
                      <w:rPr>
                        <w:rFonts w:hint="default" w:ascii="DejaVu Math TeX Gyre" w:hAnsi="DejaVu Math TeX Gyre" w:eastAsia="SimSun"/>
                        <w:sz w:val="24"/>
                      </w:rPr>
                    </m:ctrlPr>
                  </m:sSubPr>
                  <m:e>
                    <m:r>
                      <m:rPr/>
                      <w:rPr>
                        <w:rFonts w:hint="default" w:ascii="DejaVu Math TeX Gyre" w:hAnsi="DejaVu Math TeX Gyre" w:eastAsia="SimSun"/>
                        <w:sz w:val="24"/>
                      </w:rPr>
                      <m:t>L</m:t>
                    </m:r>
                    <m:ctrlPr>
                      <w:rPr>
                        <w:rFonts w:ascii="DejaVu Math TeX Gyre" w:hAnsi="DejaVu Math TeX Gyre" w:eastAsia="SimSun"/>
                        <w:sz w:val="24"/>
                      </w:rPr>
                    </m:ctrlPr>
                  </m:e>
                  <m:sub>
                    <m:r>
                      <m:rPr>
                        <m:sty m:val="p"/>
                      </m:rPr>
                      <w:rPr>
                        <w:rFonts w:hint="default" w:ascii="DejaVu Math TeX Gyre" w:hAnsi="DejaVu Math TeX Gyre" w:eastAsia="SimSun"/>
                        <w:sz w:val="24"/>
                      </w:rPr>
                      <m:t>det</m:t>
                    </m:r>
                    <m:ctrlPr>
                      <w:rPr>
                        <w:rFonts w:ascii="DejaVu Math TeX Gyre" w:hAnsi="DejaVu Math TeX Gyre" w:eastAsia="SimSun"/>
                        <w:sz w:val="24"/>
                      </w:rPr>
                    </m:ctrlPr>
                  </m:sub>
                </m:sSub>
              </m:oMath>
            </m:oMathPara>
          </w:p>
        </w:tc>
        <w:tc>
          <w:tcPr>
            <w:tcW w:w="7825" w:type="dxa"/>
            <w:shd w:val="clear"/>
            <w:vAlign w:val="center"/>
          </w:tcPr>
          <w:p w14:paraId="0DD0541A">
            <w:pPr>
              <w:keepNext w:val="0"/>
              <w:keepLines w:val="0"/>
              <w:widowControl/>
              <w:suppressLineNumbers w:val="0"/>
              <w:jc w:val="left"/>
            </w:pPr>
            <w:r>
              <w:rPr>
                <w:rFonts w:ascii="SimSun" w:hAnsi="SimSun" w:eastAsia="SimSun" w:cs="SimSun"/>
                <w:color w:val="1E293B"/>
                <w:kern w:val="0"/>
                <w:sz w:val="24"/>
                <w:szCs w:val="24"/>
                <w:lang w:val="en-US" w:eastAsia="zh-CN" w:bidi="ar"/>
              </w:rPr>
              <w:t>Primary detection loss</w:t>
            </w:r>
          </w:p>
        </w:tc>
      </w:tr>
      <w:tr w14:paraId="4374441A">
        <w:trPr>
          <w:tblCellSpacing w:w="15" w:type="dxa"/>
        </w:trPr>
        <w:tc>
          <w:tcPr>
            <w:tcW w:w="2865" w:type="dxa"/>
            <w:shd w:val="clear"/>
            <w:vAlign w:val="center"/>
          </w:tcPr>
          <w:p w14:paraId="56839B19">
            <w:pPr>
              <w:keepNext w:val="0"/>
              <w:keepLines w:val="0"/>
              <w:widowControl/>
              <w:suppressLineNumbers w:val="0"/>
              <w:jc w:val="left"/>
              <w:rPr>
                <w:rFonts w:hAnsi="SimSun" w:eastAsia="SimSun" w:cs="SimSun"/>
                <w:i w:val="0"/>
                <w:color w:val="1E293B"/>
                <w:kern w:val="0"/>
                <w:sz w:val="24"/>
                <w:szCs w:val="24"/>
                <w:lang w:val="en-US" w:eastAsia="zh-CN" w:bidi="ar"/>
              </w:rPr>
            </w:pPr>
            <m:oMathPara>
              <m:oMath>
                <m:sSub>
                  <m:sSubPr>
                    <m:ctrlPr>
                      <w:rPr>
                        <w:rFonts w:hint="default" w:ascii="DejaVu Math TeX Gyre" w:hAnsi="DejaVu Math TeX Gyre" w:eastAsia="SimSun"/>
                        <w:sz w:val="24"/>
                      </w:rPr>
                    </m:ctrlPr>
                  </m:sSubPr>
                  <m:e>
                    <m:r>
                      <m:rPr/>
                      <w:rPr>
                        <w:rFonts w:hint="default" w:ascii="DejaVu Math TeX Gyre" w:hAnsi="DejaVu Math TeX Gyre" w:eastAsia="SimSun"/>
                        <w:sz w:val="24"/>
                      </w:rPr>
                      <m:t>L</m:t>
                    </m:r>
                    <m:ctrlPr>
                      <w:rPr>
                        <w:rFonts w:ascii="DejaVu Math TeX Gyre" w:hAnsi="DejaVu Math TeX Gyre" w:eastAsia="SimSun"/>
                        <w:sz w:val="24"/>
                      </w:rPr>
                    </m:ctrlPr>
                  </m:e>
                  <m:sub>
                    <m:r>
                      <m:rPr>
                        <m:sty m:val="p"/>
                      </m:rPr>
                      <w:rPr>
                        <w:rFonts w:hint="default" w:ascii="DejaVu Math TeX Gyre" w:hAnsi="DejaVu Math TeX Gyre" w:eastAsia="SimSun"/>
                        <w:sz w:val="24"/>
                      </w:rPr>
                      <m:t>focal</m:t>
                    </m:r>
                    <m:ctrlPr>
                      <w:rPr>
                        <w:rFonts w:ascii="DejaVu Math TeX Gyre" w:hAnsi="DejaVu Math TeX Gyre" w:eastAsia="SimSun"/>
                        <w:sz w:val="24"/>
                      </w:rPr>
                    </m:ctrlPr>
                  </m:sub>
                </m:sSub>
              </m:oMath>
            </m:oMathPara>
          </w:p>
        </w:tc>
        <w:tc>
          <w:tcPr>
            <w:tcW w:w="6258" w:type="dxa"/>
            <w:shd w:val="clear"/>
            <w:vAlign w:val="center"/>
          </w:tcPr>
          <w:p w14:paraId="1757F5C3">
            <w:pPr>
              <w:keepNext w:val="0"/>
              <w:keepLines w:val="0"/>
              <w:widowControl/>
              <w:suppressLineNumbers w:val="0"/>
              <w:jc w:val="left"/>
            </w:pPr>
            <w:r>
              <w:rPr>
                <w:rFonts w:ascii="SimSun" w:hAnsi="SimSun" w:eastAsia="SimSun" w:cs="SimSun"/>
                <w:color w:val="1E293B"/>
                <w:kern w:val="0"/>
                <w:sz w:val="24"/>
                <w:szCs w:val="24"/>
                <w:lang w:val="en-US" w:eastAsia="zh-CN" w:bidi="ar"/>
              </w:rPr>
              <w:t>Focal classification/objectness loss</w:t>
            </w:r>
          </w:p>
        </w:tc>
      </w:tr>
      <w:tr w14:paraId="1586E123">
        <w:trPr>
          <w:tblCellSpacing w:w="15" w:type="dxa"/>
        </w:trPr>
        <w:tc>
          <w:tcPr>
            <w:tcW w:w="0" w:type="auto"/>
            <w:shd w:val="clear"/>
            <w:vAlign w:val="center"/>
          </w:tcPr>
          <w:p w14:paraId="3A529458">
            <w:pPr>
              <w:keepNext w:val="0"/>
              <w:keepLines w:val="0"/>
              <w:widowControl/>
              <w:suppressLineNumbers w:val="0"/>
              <w:jc w:val="left"/>
              <w:rPr>
                <w:rFonts w:hAnsi="SimSun" w:eastAsia="SimSun" w:cs="SimSun"/>
                <w:i w:val="0"/>
                <w:color w:val="1E293B"/>
                <w:kern w:val="0"/>
                <w:sz w:val="24"/>
                <w:szCs w:val="24"/>
                <w:lang w:val="en-US" w:eastAsia="zh-CN" w:bidi="ar"/>
              </w:rPr>
            </w:pPr>
            <m:oMathPara>
              <m:oMath>
                <m:sSub>
                  <m:sSubPr>
                    <m:ctrlPr>
                      <w:rPr>
                        <w:rFonts w:hint="default" w:ascii="DejaVu Math TeX Gyre" w:hAnsi="DejaVu Math TeX Gyre" w:eastAsia="SimSun"/>
                        <w:sz w:val="24"/>
                      </w:rPr>
                    </m:ctrlPr>
                  </m:sSubPr>
                  <m:e>
                    <m:r>
                      <m:rPr/>
                      <w:rPr>
                        <w:rFonts w:hint="default" w:ascii="DejaVu Math TeX Gyre" w:hAnsi="DejaVu Math TeX Gyre" w:eastAsia="SimSun"/>
                        <w:sz w:val="24"/>
                      </w:rPr>
                      <m:t>L</m:t>
                    </m:r>
                    <m:ctrlPr>
                      <w:rPr>
                        <w:rFonts w:ascii="DejaVu Math TeX Gyre" w:hAnsi="DejaVu Math TeX Gyre" w:eastAsia="SimSun"/>
                        <w:sz w:val="24"/>
                      </w:rPr>
                    </m:ctrlPr>
                  </m:e>
                  <m:sub>
                    <m:r>
                      <m:rPr>
                        <m:sty m:val="p"/>
                      </m:rPr>
                      <w:rPr>
                        <w:rFonts w:hint="default" w:ascii="DejaVu Math TeX Gyre" w:hAnsi="DejaVu Math TeX Gyre" w:eastAsia="SimSun"/>
                        <w:sz w:val="24"/>
                      </w:rPr>
                      <m:t>loc</m:t>
                    </m:r>
                    <m:ctrlPr>
                      <w:rPr>
                        <w:rFonts w:ascii="DejaVu Math TeX Gyre" w:hAnsi="DejaVu Math TeX Gyre" w:eastAsia="SimSun"/>
                        <w:sz w:val="24"/>
                      </w:rPr>
                    </m:ctrlPr>
                  </m:sub>
                </m:sSub>
              </m:oMath>
            </m:oMathPara>
          </w:p>
        </w:tc>
        <w:tc>
          <w:tcPr>
            <w:tcW w:w="7825" w:type="dxa"/>
            <w:shd w:val="clear"/>
            <w:vAlign w:val="center"/>
          </w:tcPr>
          <w:p w14:paraId="62EFA34E">
            <w:pPr>
              <w:keepNext w:val="0"/>
              <w:keepLines w:val="0"/>
              <w:widowControl/>
              <w:suppressLineNumbers w:val="0"/>
              <w:jc w:val="left"/>
            </w:pPr>
            <w:r>
              <w:rPr>
                <w:rFonts w:ascii="SimSun" w:hAnsi="SimSun" w:eastAsia="SimSun" w:cs="SimSun"/>
                <w:color w:val="1E293B"/>
                <w:kern w:val="0"/>
                <w:sz w:val="24"/>
                <w:szCs w:val="24"/>
                <w:lang w:val="en-US" w:eastAsia="zh-CN" w:bidi="ar"/>
              </w:rPr>
              <w:t>Localization loss</w:t>
            </w:r>
          </w:p>
        </w:tc>
      </w:tr>
      <w:tr w14:paraId="55CEFF78">
        <w:trPr>
          <w:tblCellSpacing w:w="15" w:type="dxa"/>
        </w:trPr>
        <w:tc>
          <w:tcPr>
            <w:tcW w:w="0" w:type="auto"/>
            <w:shd w:val="clear"/>
            <w:vAlign w:val="center"/>
          </w:tcPr>
          <w:p w14:paraId="40D826E5">
            <w:pPr>
              <w:keepNext w:val="0"/>
              <w:keepLines w:val="0"/>
              <w:widowControl/>
              <w:suppressLineNumbers w:val="0"/>
              <w:jc w:val="left"/>
              <w:rPr>
                <w:rFonts w:hAnsi="SimSun" w:eastAsia="SimSun" w:cs="SimSun"/>
                <w:i w:val="0"/>
                <w:color w:val="1E293B"/>
                <w:kern w:val="0"/>
                <w:sz w:val="24"/>
                <w:szCs w:val="24"/>
                <w:lang w:val="en-US" w:eastAsia="zh-CN" w:bidi="ar"/>
              </w:rPr>
            </w:pPr>
            <m:oMathPara>
              <m:oMath>
                <m:sSub>
                  <m:sSubPr>
                    <m:ctrlPr>
                      <w:rPr>
                        <w:rFonts w:hint="default" w:ascii="DejaVu Math TeX Gyre" w:hAnsi="DejaVu Math TeX Gyre" w:eastAsia="SimSun"/>
                        <w:sz w:val="24"/>
                      </w:rPr>
                    </m:ctrlPr>
                  </m:sSubPr>
                  <m:e>
                    <m:r>
                      <m:rPr/>
                      <w:rPr>
                        <w:rFonts w:hint="default" w:ascii="DejaVu Math TeX Gyre" w:hAnsi="DejaVu Math TeX Gyre" w:eastAsia="SimSun"/>
                        <w:sz w:val="24"/>
                      </w:rPr>
                      <m:t>L</m:t>
                    </m:r>
                    <m:ctrlPr>
                      <w:rPr>
                        <w:rFonts w:ascii="DejaVu Math TeX Gyre" w:hAnsi="DejaVu Math TeX Gyre" w:eastAsia="SimSun"/>
                        <w:sz w:val="24"/>
                      </w:rPr>
                    </m:ctrlPr>
                  </m:e>
                  <m:sub>
                    <m:r>
                      <m:rPr>
                        <m:sty m:val="p"/>
                      </m:rPr>
                      <w:rPr>
                        <w:rFonts w:hint="default" w:ascii="DejaVu Math TeX Gyre" w:hAnsi="DejaVu Math TeX Gyre" w:eastAsia="SimSun"/>
                        <w:sz w:val="24"/>
                      </w:rPr>
                      <m:t>NFD</m:t>
                    </m:r>
                    <m:ctrlPr>
                      <w:rPr>
                        <w:rFonts w:ascii="DejaVu Math TeX Gyre" w:hAnsi="DejaVu Math TeX Gyre" w:eastAsia="SimSun"/>
                        <w:sz w:val="24"/>
                      </w:rPr>
                    </m:ctrlPr>
                  </m:sub>
                </m:sSub>
              </m:oMath>
            </m:oMathPara>
          </w:p>
        </w:tc>
        <w:tc>
          <w:tcPr>
            <w:tcW w:w="7825" w:type="dxa"/>
            <w:shd w:val="clear"/>
            <w:vAlign w:val="center"/>
          </w:tcPr>
          <w:p w14:paraId="6AD48FDB">
            <w:pPr>
              <w:keepNext w:val="0"/>
              <w:keepLines w:val="0"/>
              <w:widowControl/>
              <w:suppressLineNumbers w:val="0"/>
              <w:jc w:val="left"/>
            </w:pPr>
            <w:r>
              <w:rPr>
                <w:rFonts w:ascii="SimSun" w:hAnsi="SimSun" w:eastAsia="SimSun" w:cs="SimSun"/>
                <w:color w:val="1E293B"/>
                <w:kern w:val="0"/>
                <w:sz w:val="24"/>
                <w:szCs w:val="24"/>
                <w:lang w:val="en-US" w:eastAsia="zh-CN" w:bidi="ar"/>
              </w:rPr>
              <w:t>Nodule Feature Diversity regularization loss</w:t>
            </w:r>
          </w:p>
        </w:tc>
      </w:tr>
      <w:tr w14:paraId="0D3BA1EA">
        <w:trPr>
          <w:tblCellSpacing w:w="15" w:type="dxa"/>
        </w:trPr>
        <w:tc>
          <w:tcPr>
            <w:tcW w:w="0" w:type="auto"/>
            <w:shd w:val="clear"/>
            <w:vAlign w:val="center"/>
          </w:tcPr>
          <w:p w14:paraId="4734D13C">
            <w:pPr>
              <w:keepNext w:val="0"/>
              <w:keepLines w:val="0"/>
              <w:widowControl/>
              <w:suppressLineNumbers w:val="0"/>
              <w:jc w:val="left"/>
              <w:rPr>
                <w:rFonts w:hAnsi="SimSun" w:eastAsia="SimSun" w:cs="SimSun"/>
                <w:i w:val="0"/>
                <w:color w:val="1E293B"/>
                <w:kern w:val="0"/>
                <w:sz w:val="24"/>
                <w:szCs w:val="24"/>
                <w:lang w:val="en-US" w:eastAsia="zh-CN" w:bidi="ar"/>
              </w:rPr>
            </w:pPr>
            <m:oMathPara>
              <m:oMath>
                <m:sSub>
                  <m:sSubPr>
                    <m:ctrlPr>
                      <w:rPr>
                        <w:rFonts w:hint="default" w:ascii="DejaVu Math TeX Gyre" w:hAnsi="DejaVu Math TeX Gyre" w:eastAsia="SimSun"/>
                        <w:sz w:val="24"/>
                      </w:rPr>
                    </m:ctrlPr>
                  </m:sSubPr>
                  <m:e>
                    <m:r>
                      <m:rPr/>
                      <w:rPr>
                        <w:rFonts w:hint="default" w:ascii="DejaVu Math TeX Gyre" w:hAnsi="DejaVu Math TeX Gyre" w:eastAsia="SimSun"/>
                        <w:sz w:val="24"/>
                      </w:rPr>
                      <m:t>λ</m:t>
                    </m:r>
                    <m:ctrlPr>
                      <w:rPr>
                        <w:rFonts w:ascii="DejaVu Math TeX Gyre" w:hAnsi="DejaVu Math TeX Gyre" w:eastAsia="SimSun"/>
                        <w:sz w:val="24"/>
                      </w:rPr>
                    </m:ctrlPr>
                  </m:e>
                  <m:sub>
                    <m:r>
                      <m:rPr>
                        <m:sty m:val="p"/>
                      </m:rPr>
                      <w:rPr>
                        <w:rFonts w:hint="default" w:ascii="DejaVu Math TeX Gyre" w:hAnsi="DejaVu Math TeX Gyre" w:eastAsia="SimSun"/>
                        <w:sz w:val="24"/>
                      </w:rPr>
                      <m:t>cls</m:t>
                    </m:r>
                    <m:ctrlPr>
                      <w:rPr>
                        <w:rFonts w:ascii="DejaVu Math TeX Gyre" w:hAnsi="DejaVu Math TeX Gyre" w:eastAsia="SimSun"/>
                        <w:sz w:val="24"/>
                      </w:rPr>
                    </m:ctrlPr>
                  </m:sub>
                </m:sSub>
              </m:oMath>
            </m:oMathPara>
          </w:p>
        </w:tc>
        <w:tc>
          <w:tcPr>
            <w:tcW w:w="7825" w:type="dxa"/>
            <w:shd w:val="clear"/>
            <w:vAlign w:val="center"/>
          </w:tcPr>
          <w:p w14:paraId="60E02547">
            <w:pPr>
              <w:keepNext w:val="0"/>
              <w:keepLines w:val="0"/>
              <w:widowControl/>
              <w:suppressLineNumbers w:val="0"/>
              <w:jc w:val="left"/>
            </w:pPr>
            <w:r>
              <w:rPr>
                <w:rFonts w:ascii="SimSun" w:hAnsi="SimSun" w:eastAsia="SimSun" w:cs="SimSun"/>
                <w:color w:val="1E293B"/>
                <w:kern w:val="0"/>
                <w:sz w:val="24"/>
                <w:szCs w:val="24"/>
                <w:lang w:val="en-US" w:eastAsia="zh-CN" w:bidi="ar"/>
              </w:rPr>
              <w:t>Weight of the classification/objectness loss</w:t>
            </w:r>
          </w:p>
        </w:tc>
      </w:tr>
      <w:tr w14:paraId="34B2F791">
        <w:trPr>
          <w:tblCellSpacing w:w="15" w:type="dxa"/>
        </w:trPr>
        <w:tc>
          <w:tcPr>
            <w:tcW w:w="0" w:type="auto"/>
            <w:shd w:val="clear"/>
            <w:vAlign w:val="center"/>
          </w:tcPr>
          <w:p w14:paraId="06890E4A">
            <w:pPr>
              <w:keepNext w:val="0"/>
              <w:keepLines w:val="0"/>
              <w:widowControl/>
              <w:suppressLineNumbers w:val="0"/>
              <w:jc w:val="left"/>
              <w:rPr>
                <w:rFonts w:hAnsi="SimSun" w:eastAsia="SimSun" w:cs="SimSun"/>
                <w:i w:val="0"/>
                <w:color w:val="1E293B"/>
                <w:kern w:val="0"/>
                <w:sz w:val="24"/>
                <w:szCs w:val="24"/>
                <w:lang w:val="en-US" w:eastAsia="zh-CN" w:bidi="ar"/>
              </w:rPr>
            </w:pPr>
            <m:oMathPara>
              <m:oMath>
                <m:sSub>
                  <m:sSubPr>
                    <m:ctrlPr>
                      <w:rPr>
                        <w:rFonts w:hint="default" w:ascii="DejaVu Math TeX Gyre" w:hAnsi="DejaVu Math TeX Gyre" w:eastAsia="SimSun"/>
                        <w:sz w:val="24"/>
                      </w:rPr>
                    </m:ctrlPr>
                  </m:sSubPr>
                  <m:e>
                    <m:r>
                      <m:rPr/>
                      <w:rPr>
                        <w:rFonts w:hint="default" w:ascii="DejaVu Math TeX Gyre" w:hAnsi="DejaVu Math TeX Gyre" w:eastAsia="SimSun"/>
                        <w:sz w:val="24"/>
                      </w:rPr>
                      <m:t>λ</m:t>
                    </m:r>
                    <m:ctrlPr>
                      <w:rPr>
                        <w:rFonts w:ascii="DejaVu Math TeX Gyre" w:hAnsi="DejaVu Math TeX Gyre" w:eastAsia="SimSun"/>
                        <w:sz w:val="24"/>
                      </w:rPr>
                    </m:ctrlPr>
                  </m:e>
                  <m:sub>
                    <m:r>
                      <m:rPr>
                        <m:sty m:val="p"/>
                      </m:rPr>
                      <w:rPr>
                        <w:rFonts w:hint="default" w:ascii="DejaVu Math TeX Gyre" w:hAnsi="DejaVu Math TeX Gyre" w:eastAsia="SimSun"/>
                        <w:sz w:val="24"/>
                      </w:rPr>
                      <m:t>loc</m:t>
                    </m:r>
                    <m:ctrlPr>
                      <w:rPr>
                        <w:rFonts w:ascii="DejaVu Math TeX Gyre" w:hAnsi="DejaVu Math TeX Gyre" w:eastAsia="SimSun"/>
                        <w:sz w:val="24"/>
                      </w:rPr>
                    </m:ctrlPr>
                  </m:sub>
                </m:sSub>
              </m:oMath>
            </m:oMathPara>
          </w:p>
        </w:tc>
        <w:tc>
          <w:tcPr>
            <w:tcW w:w="7825" w:type="dxa"/>
            <w:shd w:val="clear"/>
            <w:vAlign w:val="center"/>
          </w:tcPr>
          <w:p w14:paraId="4E36CDF0">
            <w:pPr>
              <w:keepNext w:val="0"/>
              <w:keepLines w:val="0"/>
              <w:widowControl/>
              <w:suppressLineNumbers w:val="0"/>
              <w:jc w:val="left"/>
            </w:pPr>
            <w:r>
              <w:rPr>
                <w:rFonts w:ascii="SimSun" w:hAnsi="SimSun" w:eastAsia="SimSun" w:cs="SimSun"/>
                <w:color w:val="1E293B"/>
                <w:kern w:val="0"/>
                <w:sz w:val="24"/>
                <w:szCs w:val="24"/>
                <w:lang w:val="en-US" w:eastAsia="zh-CN" w:bidi="ar"/>
              </w:rPr>
              <w:t>Weight of the localization loss</w:t>
            </w:r>
          </w:p>
        </w:tc>
      </w:tr>
      <w:tr w14:paraId="126BA99B">
        <w:trPr>
          <w:tblCellSpacing w:w="15" w:type="dxa"/>
        </w:trPr>
        <w:tc>
          <w:tcPr>
            <w:tcW w:w="0" w:type="auto"/>
            <w:shd w:val="clear"/>
            <w:vAlign w:val="center"/>
          </w:tcPr>
          <w:p w14:paraId="76B965D0">
            <w:pPr>
              <w:keepNext w:val="0"/>
              <w:keepLines w:val="0"/>
              <w:widowControl/>
              <w:suppressLineNumbers w:val="0"/>
              <w:jc w:val="left"/>
              <w:rPr>
                <w:rFonts w:hAnsi="SimSun" w:eastAsia="SimSun" w:cs="SimSun"/>
                <w:i w:val="0"/>
                <w:color w:val="1E293B"/>
                <w:kern w:val="0"/>
                <w:sz w:val="24"/>
                <w:szCs w:val="24"/>
                <w:lang w:val="en-US" w:eastAsia="zh-CN" w:bidi="ar"/>
              </w:rPr>
            </w:pPr>
            <m:oMathPara>
              <m:oMath>
                <m:sSub>
                  <m:sSubPr>
                    <m:ctrlPr>
                      <w:rPr>
                        <w:rFonts w:hint="default" w:ascii="DejaVu Math TeX Gyre" w:hAnsi="DejaVu Math TeX Gyre" w:eastAsia="SimSun"/>
                        <w:sz w:val="24"/>
                      </w:rPr>
                    </m:ctrlPr>
                  </m:sSubPr>
                  <m:e>
                    <m:r>
                      <m:rPr/>
                      <w:rPr>
                        <w:rFonts w:hint="default" w:ascii="DejaVu Math TeX Gyre" w:hAnsi="DejaVu Math TeX Gyre" w:eastAsia="SimSun"/>
                        <w:sz w:val="24"/>
                      </w:rPr>
                      <m:t>λ</m:t>
                    </m:r>
                    <m:ctrlPr>
                      <w:rPr>
                        <w:rFonts w:ascii="DejaVu Math TeX Gyre" w:hAnsi="DejaVu Math TeX Gyre" w:eastAsia="SimSun"/>
                        <w:sz w:val="24"/>
                      </w:rPr>
                    </m:ctrlPr>
                  </m:e>
                  <m:sub>
                    <m:r>
                      <m:rPr>
                        <m:sty m:val="p"/>
                      </m:rPr>
                      <w:rPr>
                        <w:rFonts w:hint="default" w:ascii="DejaVu Math TeX Gyre" w:hAnsi="DejaVu Math TeX Gyre" w:eastAsia="SimSun"/>
                        <w:sz w:val="24"/>
                      </w:rPr>
                      <m:t>NFD</m:t>
                    </m:r>
                    <m:ctrlPr>
                      <w:rPr>
                        <w:rFonts w:ascii="DejaVu Math TeX Gyre" w:hAnsi="DejaVu Math TeX Gyre" w:eastAsia="SimSun"/>
                        <w:sz w:val="24"/>
                      </w:rPr>
                    </m:ctrlPr>
                  </m:sub>
                </m:sSub>
              </m:oMath>
            </m:oMathPara>
          </w:p>
        </w:tc>
        <w:tc>
          <w:tcPr>
            <w:tcW w:w="7825" w:type="dxa"/>
            <w:shd w:val="clear"/>
            <w:vAlign w:val="center"/>
          </w:tcPr>
          <w:p w14:paraId="42CA648E">
            <w:pPr>
              <w:keepNext w:val="0"/>
              <w:keepLines w:val="0"/>
              <w:widowControl/>
              <w:suppressLineNumbers w:val="0"/>
              <w:jc w:val="left"/>
            </w:pPr>
            <w:r>
              <w:rPr>
                <w:rFonts w:ascii="SimSun" w:hAnsi="SimSun" w:eastAsia="SimSun" w:cs="SimSun"/>
                <w:color w:val="1E293B"/>
                <w:kern w:val="0"/>
                <w:sz w:val="24"/>
                <w:szCs w:val="24"/>
                <w:lang w:val="en-US" w:eastAsia="zh-CN" w:bidi="ar"/>
              </w:rPr>
              <w:t>Weight of the NFD regularization</w:t>
            </w:r>
          </w:p>
        </w:tc>
      </w:tr>
      <w:tr w14:paraId="227579A2">
        <w:trPr>
          <w:tblCellSpacing w:w="15" w:type="dxa"/>
        </w:trPr>
        <w:tc>
          <w:tcPr>
            <w:tcW w:w="0" w:type="auto"/>
            <w:shd w:val="clear"/>
            <w:vAlign w:val="center"/>
          </w:tcPr>
          <w:p w14:paraId="2704CB2B">
            <w:pPr>
              <w:keepNext w:val="0"/>
              <w:keepLines w:val="0"/>
              <w:widowControl/>
              <w:suppressLineNumbers w:val="0"/>
              <w:jc w:val="left"/>
              <w:rPr>
                <w:rFonts w:hAnsi="SimSun" w:eastAsia="SimSun" w:cs="SimSun"/>
                <w:i w:val="0"/>
                <w:color w:val="1E293B"/>
                <w:kern w:val="0"/>
                <w:sz w:val="24"/>
                <w:szCs w:val="24"/>
                <w:lang w:val="en-US" w:eastAsia="zh-CN" w:bidi="ar"/>
              </w:rPr>
            </w:pPr>
            <m:oMathPara>
              <m:oMath>
                <m:r>
                  <m:rPr/>
                  <w:rPr>
                    <w:rFonts w:hint="default" w:ascii="DejaVu Math TeX Gyre" w:hAnsi="DejaVu Math TeX Gyre" w:eastAsia="SimSun"/>
                    <w:sz w:val="24"/>
                  </w:rPr>
                  <m:t>p</m:t>
                </m:r>
              </m:oMath>
            </m:oMathPara>
          </w:p>
        </w:tc>
        <w:tc>
          <w:tcPr>
            <w:tcW w:w="7825" w:type="dxa"/>
            <w:shd w:val="clear"/>
            <w:vAlign w:val="center"/>
          </w:tcPr>
          <w:p w14:paraId="67F4266E">
            <w:pPr>
              <w:keepNext w:val="0"/>
              <w:keepLines w:val="0"/>
              <w:widowControl/>
              <w:suppressLineNumbers w:val="0"/>
              <w:jc w:val="left"/>
            </w:pPr>
            <w:r>
              <w:rPr>
                <w:rFonts w:ascii="SimSun" w:hAnsi="SimSun" w:eastAsia="SimSun" w:cs="SimSun"/>
                <w:color w:val="1E293B"/>
                <w:kern w:val="0"/>
                <w:sz w:val="24"/>
                <w:szCs w:val="24"/>
                <w:lang w:val="en-US" w:eastAsia="zh-CN" w:bidi="ar"/>
              </w:rPr>
              <w:t>Predicted probability of the positive/nodule class</w:t>
            </w:r>
          </w:p>
        </w:tc>
      </w:tr>
      <w:tr w14:paraId="58FA134D">
        <w:trPr>
          <w:tblCellSpacing w:w="15" w:type="dxa"/>
        </w:trPr>
        <w:tc>
          <w:tcPr>
            <w:tcW w:w="0" w:type="auto"/>
            <w:shd w:val="clear"/>
            <w:vAlign w:val="center"/>
          </w:tcPr>
          <w:p w14:paraId="31BA5D4B">
            <w:pPr>
              <w:keepNext w:val="0"/>
              <w:keepLines w:val="0"/>
              <w:widowControl/>
              <w:suppressLineNumbers w:val="0"/>
              <w:jc w:val="left"/>
              <w:rPr>
                <w:rFonts w:hAnsi="SimSun" w:eastAsia="SimSun" w:cs="SimSun"/>
                <w:i w:val="0"/>
                <w:color w:val="1E293B"/>
                <w:kern w:val="0"/>
                <w:sz w:val="24"/>
                <w:szCs w:val="24"/>
                <w:lang w:val="en-US" w:eastAsia="zh-CN" w:bidi="ar"/>
              </w:rPr>
            </w:pPr>
            <m:oMathPara>
              <m:oMath>
                <m:r>
                  <m:rPr/>
                  <w:rPr>
                    <w:rFonts w:hint="default" w:ascii="DejaVu Math TeX Gyre" w:hAnsi="DejaVu Math TeX Gyre" w:eastAsia="SimSun"/>
                    <w:sz w:val="24"/>
                  </w:rPr>
                  <m:t>y</m:t>
                </m:r>
              </m:oMath>
            </m:oMathPara>
          </w:p>
        </w:tc>
        <w:tc>
          <w:tcPr>
            <w:tcW w:w="7825" w:type="dxa"/>
            <w:shd w:val="clear"/>
            <w:vAlign w:val="center"/>
          </w:tcPr>
          <w:p w14:paraId="2E61F422">
            <w:pPr>
              <w:keepNext w:val="0"/>
              <w:keepLines w:val="0"/>
              <w:widowControl/>
              <w:suppressLineNumbers w:val="0"/>
              <w:jc w:val="left"/>
              <w:rPr>
                <w:rFonts w:hAnsi="SimSun" w:eastAsia="SimSun" w:cs="SimSun"/>
                <w:i w:val="0"/>
                <w:color w:val="1E293B"/>
                <w:kern w:val="0"/>
                <w:sz w:val="24"/>
                <w:szCs w:val="24"/>
                <w:lang w:val="en-US" w:eastAsia="zh-CN" w:bidi="ar"/>
              </w:rPr>
            </w:pPr>
            <w:r>
              <w:rPr>
                <w:rFonts w:ascii="SimSun" w:hAnsi="SimSun" w:eastAsia="SimSun" w:cs="SimSun"/>
                <w:color w:val="1E293B"/>
                <w:kern w:val="0"/>
                <w:sz w:val="24"/>
                <w:szCs w:val="24"/>
                <w:lang w:val="en-US" w:eastAsia="zh-CN" w:bidi="ar"/>
              </w:rPr>
              <w:t xml:space="preserve">Ground-truth class label, </w:t>
            </w:r>
            <m:oMath>
              <m:r>
                <m:rPr/>
                <w:rPr>
                  <w:rFonts w:hint="default" w:ascii="DejaVu Math TeX Gyre" w:hAnsi="DejaVu Math TeX Gyre" w:eastAsia="SimSun"/>
                  <w:sz w:val="24"/>
                </w:rPr>
                <m:t>y∈{0,1}</m:t>
              </m:r>
            </m:oMath>
          </w:p>
        </w:tc>
      </w:tr>
      <w:tr w14:paraId="2EFE92D4">
        <w:trPr>
          <w:tblCellSpacing w:w="15" w:type="dxa"/>
        </w:trPr>
        <w:tc>
          <w:tcPr>
            <w:tcW w:w="0" w:type="auto"/>
            <w:shd w:val="clear"/>
            <w:vAlign w:val="center"/>
          </w:tcPr>
          <w:p w14:paraId="53826F47">
            <w:pPr>
              <w:keepNext w:val="0"/>
              <w:keepLines w:val="0"/>
              <w:widowControl/>
              <w:suppressLineNumbers w:val="0"/>
              <w:jc w:val="left"/>
              <w:rPr>
                <w:rFonts w:hAnsi="SimSun" w:eastAsia="SimSun" w:cs="SimSun"/>
                <w:i w:val="0"/>
                <w:color w:val="1E293B"/>
                <w:kern w:val="0"/>
                <w:sz w:val="24"/>
                <w:szCs w:val="24"/>
                <w:lang w:val="en-US" w:eastAsia="zh-CN" w:bidi="ar"/>
              </w:rPr>
            </w:pPr>
            <m:oMathPara>
              <m:oMath>
                <m:sSub>
                  <m:sSubPr>
                    <m:ctrlPr>
                      <w:rPr>
                        <w:rFonts w:hint="default" w:ascii="DejaVu Math TeX Gyre" w:hAnsi="DejaVu Math TeX Gyre" w:eastAsia="SimSun"/>
                        <w:sz w:val="24"/>
                      </w:rPr>
                    </m:ctrlPr>
                  </m:sSubPr>
                  <m:e>
                    <m:r>
                      <m:rPr/>
                      <w:rPr>
                        <w:rFonts w:hint="default" w:ascii="DejaVu Math TeX Gyre" w:hAnsi="DejaVu Math TeX Gyre" w:eastAsia="SimSun"/>
                        <w:sz w:val="24"/>
                      </w:rPr>
                      <m:t>p</m:t>
                    </m:r>
                    <m:ctrlPr>
                      <w:rPr>
                        <w:rFonts w:ascii="DejaVu Math TeX Gyre" w:hAnsi="DejaVu Math TeX Gyre" w:eastAsia="SimSun"/>
                        <w:sz w:val="24"/>
                      </w:rPr>
                    </m:ctrlPr>
                  </m:e>
                  <m:sub>
                    <m:r>
                      <m:rPr/>
                      <w:rPr>
                        <w:rFonts w:hint="default" w:ascii="DejaVu Math TeX Gyre" w:hAnsi="DejaVu Math TeX Gyre" w:eastAsia="SimSun"/>
                        <w:sz w:val="24"/>
                      </w:rPr>
                      <m:t>t</m:t>
                    </m:r>
                    <m:ctrlPr>
                      <w:rPr>
                        <w:rFonts w:ascii="DejaVu Math TeX Gyre" w:hAnsi="DejaVu Math TeX Gyre" w:eastAsia="SimSun"/>
                        <w:sz w:val="24"/>
                      </w:rPr>
                    </m:ctrlPr>
                  </m:sub>
                </m:sSub>
              </m:oMath>
            </m:oMathPara>
          </w:p>
        </w:tc>
        <w:tc>
          <w:tcPr>
            <w:tcW w:w="7825" w:type="dxa"/>
            <w:shd w:val="clear"/>
            <w:vAlign w:val="center"/>
          </w:tcPr>
          <w:p w14:paraId="33AF7A61">
            <w:pPr>
              <w:keepNext w:val="0"/>
              <w:keepLines w:val="0"/>
              <w:widowControl/>
              <w:suppressLineNumbers w:val="0"/>
              <w:jc w:val="left"/>
            </w:pPr>
            <w:r>
              <w:rPr>
                <w:rFonts w:ascii="SimSun" w:hAnsi="SimSun" w:eastAsia="SimSun" w:cs="SimSun"/>
                <w:color w:val="1E293B"/>
                <w:kern w:val="0"/>
                <w:sz w:val="24"/>
                <w:szCs w:val="24"/>
                <w:lang w:val="en-US" w:eastAsia="zh-CN" w:bidi="ar"/>
              </w:rPr>
              <w:t>Probability assigned to the ground-truth class</w:t>
            </w:r>
          </w:p>
        </w:tc>
      </w:tr>
      <w:tr w14:paraId="6E3AAD69">
        <w:trPr>
          <w:tblCellSpacing w:w="15" w:type="dxa"/>
        </w:trPr>
        <w:tc>
          <w:tcPr>
            <w:tcW w:w="0" w:type="auto"/>
            <w:shd w:val="clear"/>
            <w:vAlign w:val="center"/>
          </w:tcPr>
          <w:p w14:paraId="0C598AC3">
            <w:pPr>
              <w:keepNext w:val="0"/>
              <w:keepLines w:val="0"/>
              <w:widowControl/>
              <w:suppressLineNumbers w:val="0"/>
              <w:jc w:val="left"/>
              <w:rPr>
                <w:rFonts w:hAnsi="SimSun" w:eastAsia="SimSun" w:cs="SimSun"/>
                <w:i w:val="0"/>
                <w:color w:val="1E293B"/>
                <w:kern w:val="0"/>
                <w:sz w:val="24"/>
                <w:szCs w:val="24"/>
                <w:lang w:val="en-US" w:eastAsia="zh-CN" w:bidi="ar"/>
              </w:rPr>
            </w:pPr>
            <m:oMathPara>
              <m:oMath>
                <m:sSub>
                  <m:sSubPr>
                    <m:ctrlPr>
                      <w:rPr>
                        <w:rFonts w:hint="default" w:ascii="DejaVu Math TeX Gyre" w:hAnsi="DejaVu Math TeX Gyre" w:eastAsia="SimSun"/>
                        <w:sz w:val="24"/>
                      </w:rPr>
                    </m:ctrlPr>
                  </m:sSubPr>
                  <m:e>
                    <m:r>
                      <m:rPr/>
                      <w:rPr>
                        <w:rFonts w:hint="default" w:ascii="DejaVu Math TeX Gyre" w:hAnsi="DejaVu Math TeX Gyre" w:eastAsia="SimSun"/>
                        <w:sz w:val="24"/>
                      </w:rPr>
                      <m:t>α</m:t>
                    </m:r>
                    <m:ctrlPr>
                      <w:rPr>
                        <w:rFonts w:ascii="DejaVu Math TeX Gyre" w:hAnsi="DejaVu Math TeX Gyre" w:eastAsia="SimSun"/>
                        <w:sz w:val="24"/>
                      </w:rPr>
                    </m:ctrlPr>
                  </m:e>
                  <m:sub>
                    <m:r>
                      <m:rPr/>
                      <w:rPr>
                        <w:rFonts w:hint="default" w:ascii="DejaVu Math TeX Gyre" w:hAnsi="DejaVu Math TeX Gyre" w:eastAsia="SimSun"/>
                        <w:sz w:val="24"/>
                      </w:rPr>
                      <m:t>t</m:t>
                    </m:r>
                    <m:ctrlPr>
                      <w:rPr>
                        <w:rFonts w:ascii="DejaVu Math TeX Gyre" w:hAnsi="DejaVu Math TeX Gyre" w:eastAsia="SimSun"/>
                        <w:sz w:val="24"/>
                      </w:rPr>
                    </m:ctrlPr>
                  </m:sub>
                </m:sSub>
              </m:oMath>
            </m:oMathPara>
          </w:p>
        </w:tc>
        <w:tc>
          <w:tcPr>
            <w:tcW w:w="7825" w:type="dxa"/>
            <w:shd w:val="clear"/>
            <w:vAlign w:val="center"/>
          </w:tcPr>
          <w:p w14:paraId="52A05732">
            <w:pPr>
              <w:keepNext w:val="0"/>
              <w:keepLines w:val="0"/>
              <w:widowControl/>
              <w:suppressLineNumbers w:val="0"/>
              <w:jc w:val="left"/>
            </w:pPr>
            <w:r>
              <w:rPr>
                <w:rFonts w:ascii="SimSun" w:hAnsi="SimSun" w:eastAsia="SimSun" w:cs="SimSun"/>
                <w:color w:val="1E293B"/>
                <w:kern w:val="0"/>
                <w:sz w:val="24"/>
                <w:szCs w:val="24"/>
                <w:lang w:val="en-US" w:eastAsia="zh-CN" w:bidi="ar"/>
              </w:rPr>
              <w:t>Class-balancing factor</w:t>
            </w:r>
          </w:p>
        </w:tc>
      </w:tr>
      <w:tr w14:paraId="197392B2">
        <w:trPr>
          <w:tblCellSpacing w:w="15" w:type="dxa"/>
        </w:trPr>
        <w:tc>
          <w:tcPr>
            <w:tcW w:w="0" w:type="auto"/>
            <w:shd w:val="clear"/>
            <w:vAlign w:val="center"/>
          </w:tcPr>
          <w:p w14:paraId="0E9C8A68">
            <w:pPr>
              <w:keepNext w:val="0"/>
              <w:keepLines w:val="0"/>
              <w:widowControl/>
              <w:suppressLineNumbers w:val="0"/>
              <w:jc w:val="left"/>
              <w:rPr>
                <w:rFonts w:hAnsi="SimSun" w:eastAsia="SimSun" w:cs="SimSun"/>
                <w:i w:val="0"/>
                <w:color w:val="1E293B"/>
                <w:kern w:val="0"/>
                <w:sz w:val="24"/>
                <w:szCs w:val="24"/>
                <w:lang w:val="en-US" w:eastAsia="zh-CN" w:bidi="ar"/>
              </w:rPr>
            </w:pPr>
            <m:oMathPara>
              <m:oMath>
                <m:r>
                  <m:rPr/>
                  <w:rPr>
                    <w:rFonts w:hint="default" w:ascii="DejaVu Math TeX Gyre" w:hAnsi="DejaVu Math TeX Gyre" w:eastAsia="SimSun"/>
                    <w:sz w:val="24"/>
                  </w:rPr>
                  <m:t>γ</m:t>
                </m:r>
              </m:oMath>
            </m:oMathPara>
          </w:p>
        </w:tc>
        <w:tc>
          <w:tcPr>
            <w:tcW w:w="7825" w:type="dxa"/>
            <w:shd w:val="clear"/>
            <w:vAlign w:val="center"/>
          </w:tcPr>
          <w:p w14:paraId="516902A4">
            <w:pPr>
              <w:keepNext w:val="0"/>
              <w:keepLines w:val="0"/>
              <w:widowControl/>
              <w:suppressLineNumbers w:val="0"/>
              <w:jc w:val="left"/>
            </w:pPr>
            <w:r>
              <w:rPr>
                <w:rFonts w:ascii="SimSun" w:hAnsi="SimSun" w:eastAsia="SimSun" w:cs="SimSun"/>
                <w:color w:val="1E293B"/>
                <w:kern w:val="0"/>
                <w:sz w:val="24"/>
                <w:szCs w:val="24"/>
                <w:lang w:val="en-US" w:eastAsia="zh-CN" w:bidi="ar"/>
              </w:rPr>
              <w:t>Focal-loss focusing parameter</w:t>
            </w:r>
          </w:p>
        </w:tc>
      </w:tr>
      <w:tr w14:paraId="24AD6914">
        <w:trPr>
          <w:tblCellSpacing w:w="15" w:type="dxa"/>
        </w:trPr>
        <w:tc>
          <w:tcPr>
            <w:tcW w:w="0" w:type="auto"/>
            <w:shd w:val="clear"/>
            <w:vAlign w:val="center"/>
          </w:tcPr>
          <w:p w14:paraId="4AFA4F55">
            <w:pPr>
              <w:keepNext w:val="0"/>
              <w:keepLines w:val="0"/>
              <w:widowControl/>
              <w:suppressLineNumbers w:val="0"/>
              <w:jc w:val="left"/>
              <w:rPr>
                <w:rFonts w:hAnsi="SimSun" w:eastAsia="SimSun" w:cs="SimSun"/>
                <w:i w:val="0"/>
                <w:color w:val="1E293B"/>
                <w:kern w:val="0"/>
                <w:sz w:val="24"/>
                <w:szCs w:val="24"/>
                <w:lang w:val="en-US" w:eastAsia="zh-CN" w:bidi="ar"/>
              </w:rPr>
            </w:pPr>
            <m:oMathPara>
              <m:oMath>
                <m:r>
                  <m:rPr/>
                  <w:rPr>
                    <w:rFonts w:hint="default" w:ascii="DejaVu Math TeX Gyre" w:hAnsi="DejaVu Math TeX Gyre" w:eastAsia="SimSun"/>
                    <w:sz w:val="24"/>
                  </w:rPr>
                  <m:t>B</m:t>
                </m:r>
              </m:oMath>
            </m:oMathPara>
          </w:p>
        </w:tc>
        <w:tc>
          <w:tcPr>
            <w:tcW w:w="7825" w:type="dxa"/>
            <w:shd w:val="clear"/>
            <w:vAlign w:val="center"/>
          </w:tcPr>
          <w:p w14:paraId="2111BBBC">
            <w:pPr>
              <w:keepNext w:val="0"/>
              <w:keepLines w:val="0"/>
              <w:widowControl/>
              <w:suppressLineNumbers w:val="0"/>
              <w:jc w:val="left"/>
            </w:pPr>
            <w:r>
              <w:rPr>
                <w:rFonts w:ascii="SimSun" w:hAnsi="SimSun" w:eastAsia="SimSun" w:cs="SimSun"/>
                <w:color w:val="1E293B"/>
                <w:kern w:val="0"/>
                <w:sz w:val="24"/>
                <w:szCs w:val="24"/>
                <w:lang w:val="en-US" w:eastAsia="zh-CN" w:bidi="ar"/>
              </w:rPr>
              <w:t>Predicted bounding box</w:t>
            </w:r>
          </w:p>
        </w:tc>
      </w:tr>
      <w:tr w14:paraId="20877D96">
        <w:trPr>
          <w:tblCellSpacing w:w="15" w:type="dxa"/>
        </w:trPr>
        <w:tc>
          <w:tcPr>
            <w:tcW w:w="0" w:type="auto"/>
            <w:shd w:val="clear"/>
            <w:vAlign w:val="center"/>
          </w:tcPr>
          <w:p w14:paraId="4562941F">
            <w:pPr>
              <w:keepNext w:val="0"/>
              <w:keepLines w:val="0"/>
              <w:widowControl/>
              <w:suppressLineNumbers w:val="0"/>
              <w:jc w:val="left"/>
              <w:rPr>
                <w:rFonts w:hAnsi="SimSun" w:eastAsia="SimSun" w:cs="SimSun"/>
                <w:i w:val="0"/>
                <w:color w:val="1E293B"/>
                <w:kern w:val="0"/>
                <w:sz w:val="24"/>
                <w:szCs w:val="24"/>
                <w:lang w:val="en-US" w:eastAsia="zh-CN" w:bidi="ar"/>
              </w:rPr>
            </w:pPr>
            <m:oMathPara>
              <m:oMath>
                <m:sSup>
                  <m:sSupPr>
                    <m:ctrlPr>
                      <w:rPr>
                        <w:rFonts w:hint="default" w:ascii="DejaVu Math TeX Gyre" w:hAnsi="DejaVu Math TeX Gyre" w:eastAsia="SimSun"/>
                        <w:sz w:val="24"/>
                      </w:rPr>
                    </m:ctrlPr>
                  </m:sSupPr>
                  <m:e>
                    <m:r>
                      <m:rPr/>
                      <w:rPr>
                        <w:rFonts w:hint="default" w:ascii="DejaVu Math TeX Gyre" w:hAnsi="DejaVu Math TeX Gyre" w:eastAsia="SimSun"/>
                        <w:sz w:val="24"/>
                      </w:rPr>
                      <m:t>B</m:t>
                    </m:r>
                    <m:ctrlPr>
                      <w:rPr>
                        <w:rFonts w:ascii="DejaVu Math TeX Gyre" w:hAnsi="DejaVu Math TeX Gyre" w:eastAsia="SimSun"/>
                        <w:sz w:val="24"/>
                      </w:rPr>
                    </m:ctrlPr>
                  </m:e>
                  <m:sup>
                    <m:r>
                      <m:rPr/>
                      <w:rPr>
                        <w:rFonts w:hint="default" w:ascii="DejaVu Math TeX Gyre" w:hAnsi="DejaVu Math TeX Gyre" w:eastAsia="SimSun"/>
                        <w:sz w:val="24"/>
                      </w:rPr>
                      <m:t>∗</m:t>
                    </m:r>
                    <m:ctrlPr>
                      <w:rPr>
                        <w:rFonts w:ascii="DejaVu Math TeX Gyre" w:hAnsi="DejaVu Math TeX Gyre" w:eastAsia="SimSun"/>
                        <w:sz w:val="24"/>
                      </w:rPr>
                    </m:ctrlPr>
                  </m:sup>
                </m:sSup>
              </m:oMath>
            </m:oMathPara>
          </w:p>
        </w:tc>
        <w:tc>
          <w:tcPr>
            <w:tcW w:w="7825" w:type="dxa"/>
            <w:shd w:val="clear"/>
            <w:vAlign w:val="center"/>
          </w:tcPr>
          <w:p w14:paraId="2E2B6747">
            <w:pPr>
              <w:keepNext w:val="0"/>
              <w:keepLines w:val="0"/>
              <w:widowControl/>
              <w:suppressLineNumbers w:val="0"/>
              <w:jc w:val="left"/>
            </w:pPr>
            <w:r>
              <w:rPr>
                <w:rFonts w:ascii="SimSun" w:hAnsi="SimSun" w:eastAsia="SimSun" w:cs="SimSun"/>
                <w:color w:val="1E293B"/>
                <w:kern w:val="0"/>
                <w:sz w:val="24"/>
                <w:szCs w:val="24"/>
                <w:lang w:val="en-US" w:eastAsia="zh-CN" w:bidi="ar"/>
              </w:rPr>
              <w:t>Ground-truth bounding box</w:t>
            </w:r>
          </w:p>
        </w:tc>
      </w:tr>
      <w:tr w14:paraId="6D715E61">
        <w:trPr>
          <w:tblCellSpacing w:w="15" w:type="dxa"/>
        </w:trPr>
        <w:tc>
          <w:tcPr>
            <w:tcW w:w="0" w:type="auto"/>
            <w:shd w:val="clear"/>
            <w:vAlign w:val="center"/>
          </w:tcPr>
          <w:p w14:paraId="10C41F16">
            <w:pPr>
              <w:keepNext w:val="0"/>
              <w:keepLines w:val="0"/>
              <w:widowControl/>
              <w:suppressLineNumbers w:val="0"/>
              <w:jc w:val="left"/>
              <w:rPr>
                <w:rFonts w:hAnsi="SimSun" w:eastAsia="SimSun" w:cs="SimSun"/>
                <w:i w:val="0"/>
                <w:color w:val="1E293B"/>
                <w:kern w:val="0"/>
                <w:sz w:val="24"/>
                <w:szCs w:val="24"/>
                <w:lang w:val="en-US" w:eastAsia="zh-CN" w:bidi="ar"/>
              </w:rPr>
            </w:pPr>
            <m:oMathPara>
              <m:oMath>
                <m:r>
                  <m:rPr/>
                  <w:rPr>
                    <w:rFonts w:hint="default" w:ascii="DejaVu Math TeX Gyre" w:hAnsi="DejaVu Math TeX Gyre" w:eastAsia="SimSun"/>
                    <w:sz w:val="24"/>
                  </w:rPr>
                  <m:t>IoU</m:t>
                </m:r>
              </m:oMath>
            </m:oMathPara>
          </w:p>
        </w:tc>
        <w:tc>
          <w:tcPr>
            <w:tcW w:w="7825" w:type="dxa"/>
            <w:shd w:val="clear"/>
            <w:vAlign w:val="center"/>
          </w:tcPr>
          <w:p w14:paraId="64C3C890">
            <w:pPr>
              <w:keepNext w:val="0"/>
              <w:keepLines w:val="0"/>
              <w:widowControl/>
              <w:suppressLineNumbers w:val="0"/>
              <w:jc w:val="left"/>
            </w:pPr>
            <w:r>
              <w:rPr>
                <w:rFonts w:ascii="SimSun" w:hAnsi="SimSun" w:eastAsia="SimSun" w:cs="SimSun"/>
                <w:color w:val="1E293B"/>
                <w:kern w:val="0"/>
                <w:sz w:val="24"/>
                <w:szCs w:val="24"/>
                <w:lang w:val="en-US" w:eastAsia="zh-CN" w:bidi="ar"/>
              </w:rPr>
              <w:t>Intersection over Union</w:t>
            </w:r>
          </w:p>
        </w:tc>
      </w:tr>
      <w:tr w14:paraId="6B5FEDDD">
        <w:trPr>
          <w:tblCellSpacing w:w="15" w:type="dxa"/>
        </w:trPr>
        <w:tc>
          <w:tcPr>
            <w:tcW w:w="0" w:type="auto"/>
            <w:shd w:val="clear"/>
            <w:vAlign w:val="center"/>
          </w:tcPr>
          <w:p w14:paraId="3908A073">
            <w:pPr>
              <w:keepNext w:val="0"/>
              <w:keepLines w:val="0"/>
              <w:widowControl/>
              <w:suppressLineNumbers w:val="0"/>
              <w:jc w:val="left"/>
              <w:rPr>
                <w:rFonts w:hAnsi="SimSun" w:eastAsia="SimSun" w:cs="SimSun"/>
                <w:i w:val="0"/>
                <w:color w:val="1E293B"/>
                <w:kern w:val="0"/>
                <w:sz w:val="24"/>
                <w:szCs w:val="24"/>
                <w:lang w:val="en-US" w:eastAsia="zh-CN" w:bidi="ar"/>
              </w:rPr>
            </w:pPr>
            <m:oMathPara>
              <m:oMath>
                <m:sSub>
                  <m:sSubPr>
                    <m:ctrlPr>
                      <w:rPr>
                        <w:rFonts w:hint="default" w:ascii="DejaVu Math TeX Gyre" w:hAnsi="DejaVu Math TeX Gyre" w:eastAsia="SimSun"/>
                        <w:sz w:val="24"/>
                      </w:rPr>
                    </m:ctrlPr>
                  </m:sSubPr>
                  <m:e>
                    <m:r>
                      <m:rPr/>
                      <w:rPr>
                        <w:rFonts w:hint="default" w:ascii="DejaVu Math TeX Gyre" w:hAnsi="DejaVu Math TeX Gyre" w:eastAsia="SimSun"/>
                        <w:sz w:val="24"/>
                      </w:rPr>
                      <m:t>f</m:t>
                    </m:r>
                    <m:ctrlPr>
                      <w:rPr>
                        <w:rFonts w:ascii="DejaVu Math TeX Gyre" w:hAnsi="DejaVu Math TeX Gyre" w:eastAsia="SimSun"/>
                        <w:sz w:val="24"/>
                      </w:rPr>
                    </m:ctrlPr>
                  </m:e>
                  <m:sub>
                    <m:r>
                      <m:rPr/>
                      <w:rPr>
                        <w:rFonts w:hint="default" w:ascii="DejaVu Math TeX Gyre" w:hAnsi="DejaVu Math TeX Gyre" w:eastAsia="SimSun"/>
                        <w:sz w:val="24"/>
                      </w:rPr>
                      <m:t>i</m:t>
                    </m:r>
                    <m:ctrlPr>
                      <w:rPr>
                        <w:rFonts w:ascii="DejaVu Math TeX Gyre" w:hAnsi="DejaVu Math TeX Gyre" w:eastAsia="SimSun"/>
                        <w:sz w:val="24"/>
                      </w:rPr>
                    </m:ctrlPr>
                  </m:sub>
                </m:sSub>
                <m:r>
                  <m:rPr/>
                  <w:rPr>
                    <w:rFonts w:hint="default" w:ascii="DejaVu Math TeX Gyre" w:hAnsi="DejaVu Math TeX Gyre" w:eastAsia="SimSun"/>
                    <w:sz w:val="24"/>
                  </w:rPr>
                  <m:t>,</m:t>
                </m:r>
                <m:sSub>
                  <m:sSubPr>
                    <m:ctrlPr>
                      <w:rPr>
                        <w:rFonts w:hint="default" w:ascii="DejaVu Math TeX Gyre" w:hAnsi="DejaVu Math TeX Gyre" w:eastAsia="SimSun"/>
                        <w:sz w:val="24"/>
                      </w:rPr>
                    </m:ctrlPr>
                  </m:sSubPr>
                  <m:e>
                    <m:r>
                      <m:rPr/>
                      <w:rPr>
                        <w:rFonts w:hint="default" w:ascii="DejaVu Math TeX Gyre" w:hAnsi="DejaVu Math TeX Gyre" w:eastAsia="SimSun"/>
                        <w:sz w:val="24"/>
                      </w:rPr>
                      <m:t>f</m:t>
                    </m:r>
                    <m:ctrlPr>
                      <w:rPr>
                        <w:rFonts w:ascii="DejaVu Math TeX Gyre" w:hAnsi="DejaVu Math TeX Gyre" w:eastAsia="SimSun"/>
                        <w:sz w:val="24"/>
                      </w:rPr>
                    </m:ctrlPr>
                  </m:e>
                  <m:sub>
                    <m:r>
                      <m:rPr/>
                      <w:rPr>
                        <w:rFonts w:hint="default" w:ascii="DejaVu Math TeX Gyre" w:hAnsi="DejaVu Math TeX Gyre" w:eastAsia="SimSun"/>
                        <w:sz w:val="24"/>
                      </w:rPr>
                      <m:t>j</m:t>
                    </m:r>
                    <m:ctrlPr>
                      <w:rPr>
                        <w:rFonts w:ascii="DejaVu Math TeX Gyre" w:hAnsi="DejaVu Math TeX Gyre" w:eastAsia="SimSun"/>
                        <w:sz w:val="24"/>
                      </w:rPr>
                    </m:ctrlPr>
                  </m:sub>
                </m:sSub>
              </m:oMath>
            </m:oMathPara>
          </w:p>
        </w:tc>
        <w:tc>
          <w:tcPr>
            <w:tcW w:w="7825" w:type="dxa"/>
            <w:shd w:val="clear"/>
            <w:vAlign w:val="center"/>
          </w:tcPr>
          <w:p w14:paraId="32E97C68">
            <w:pPr>
              <w:keepNext w:val="0"/>
              <w:keepLines w:val="0"/>
              <w:widowControl/>
              <w:suppressLineNumbers w:val="0"/>
              <w:jc w:val="left"/>
            </w:pPr>
            <w:r>
              <w:rPr>
                <w:rFonts w:ascii="SimSun" w:hAnsi="SimSun" w:eastAsia="SimSun" w:cs="SimSun"/>
                <w:color w:val="1E293B"/>
                <w:kern w:val="0"/>
                <w:sz w:val="24"/>
                <w:szCs w:val="24"/>
                <w:lang w:val="en-US" w:eastAsia="zh-CN" w:bidi="ar"/>
              </w:rPr>
              <w:t>Learned feature representations</w:t>
            </w:r>
          </w:p>
        </w:tc>
      </w:tr>
      <w:tr w14:paraId="5CB2D891">
        <w:trPr>
          <w:tblCellSpacing w:w="15" w:type="dxa"/>
        </w:trPr>
        <w:tc>
          <w:tcPr>
            <w:tcW w:w="0" w:type="auto"/>
            <w:shd w:val="clear"/>
            <w:vAlign w:val="center"/>
          </w:tcPr>
          <w:p w14:paraId="337B8212">
            <w:pPr>
              <w:keepNext w:val="0"/>
              <w:keepLines w:val="0"/>
              <w:widowControl/>
              <w:suppressLineNumbers w:val="0"/>
              <w:jc w:val="left"/>
              <w:rPr>
                <w:rFonts w:hAnsi="SimSun" w:eastAsia="SimSun" w:cs="SimSun"/>
                <w:i w:val="0"/>
                <w:color w:val="1E293B"/>
                <w:kern w:val="0"/>
                <w:sz w:val="24"/>
                <w:szCs w:val="24"/>
                <w:lang w:val="en-US" w:eastAsia="zh-CN" w:bidi="ar"/>
              </w:rPr>
            </w:pPr>
            <m:oMathPara>
              <m:oMath>
                <m:r>
                  <m:rPr/>
                  <w:rPr>
                    <w:rFonts w:hint="default" w:ascii="DejaVu Math TeX Gyre" w:hAnsi="DejaVu Math TeX Gyre" w:eastAsia="SimSun"/>
                    <w:sz w:val="24"/>
                  </w:rPr>
                  <m:t>sim(</m:t>
                </m:r>
                <m:sSub>
                  <m:sSubPr>
                    <m:ctrlPr>
                      <w:rPr>
                        <w:rFonts w:hint="default" w:ascii="DejaVu Math TeX Gyre" w:hAnsi="DejaVu Math TeX Gyre" w:eastAsia="SimSun"/>
                        <w:sz w:val="24"/>
                      </w:rPr>
                    </m:ctrlPr>
                  </m:sSubPr>
                  <m:e>
                    <m:r>
                      <m:rPr/>
                      <w:rPr>
                        <w:rFonts w:hint="default" w:ascii="DejaVu Math TeX Gyre" w:hAnsi="DejaVu Math TeX Gyre" w:eastAsia="SimSun"/>
                        <w:sz w:val="24"/>
                      </w:rPr>
                      <m:t>f</m:t>
                    </m:r>
                    <m:ctrlPr>
                      <w:rPr>
                        <w:rFonts w:ascii="DejaVu Math TeX Gyre" w:hAnsi="DejaVu Math TeX Gyre" w:eastAsia="SimSun"/>
                        <w:sz w:val="24"/>
                      </w:rPr>
                    </m:ctrlPr>
                  </m:e>
                  <m:sub>
                    <m:r>
                      <m:rPr/>
                      <w:rPr>
                        <w:rFonts w:hint="default" w:ascii="DejaVu Math TeX Gyre" w:hAnsi="DejaVu Math TeX Gyre" w:eastAsia="SimSun"/>
                        <w:sz w:val="24"/>
                      </w:rPr>
                      <m:t>i</m:t>
                    </m:r>
                    <m:ctrlPr>
                      <w:rPr>
                        <w:rFonts w:ascii="DejaVu Math TeX Gyre" w:hAnsi="DejaVu Math TeX Gyre" w:eastAsia="SimSun"/>
                        <w:sz w:val="24"/>
                      </w:rPr>
                    </m:ctrlPr>
                  </m:sub>
                </m:sSub>
                <m:r>
                  <m:rPr/>
                  <w:rPr>
                    <w:rFonts w:hint="default" w:ascii="DejaVu Math TeX Gyre" w:hAnsi="DejaVu Math TeX Gyre" w:eastAsia="SimSun"/>
                    <w:sz w:val="24"/>
                  </w:rPr>
                  <m:t>,</m:t>
                </m:r>
                <m:sSub>
                  <m:sSubPr>
                    <m:ctrlPr>
                      <w:rPr>
                        <w:rFonts w:hint="default" w:ascii="DejaVu Math TeX Gyre" w:hAnsi="DejaVu Math TeX Gyre" w:eastAsia="SimSun"/>
                        <w:sz w:val="24"/>
                      </w:rPr>
                    </m:ctrlPr>
                  </m:sSubPr>
                  <m:e>
                    <m:r>
                      <m:rPr/>
                      <w:rPr>
                        <w:rFonts w:hint="default" w:ascii="DejaVu Math TeX Gyre" w:hAnsi="DejaVu Math TeX Gyre" w:eastAsia="SimSun"/>
                        <w:sz w:val="24"/>
                      </w:rPr>
                      <m:t>f</m:t>
                    </m:r>
                    <m:ctrlPr>
                      <w:rPr>
                        <w:rFonts w:ascii="DejaVu Math TeX Gyre" w:hAnsi="DejaVu Math TeX Gyre" w:eastAsia="SimSun"/>
                        <w:sz w:val="24"/>
                      </w:rPr>
                    </m:ctrlPr>
                  </m:e>
                  <m:sub>
                    <m:r>
                      <m:rPr/>
                      <w:rPr>
                        <w:rFonts w:hint="default" w:ascii="DejaVu Math TeX Gyre" w:hAnsi="DejaVu Math TeX Gyre" w:eastAsia="SimSun"/>
                        <w:sz w:val="24"/>
                      </w:rPr>
                      <m:t>j</m:t>
                    </m:r>
                    <m:ctrlPr>
                      <w:rPr>
                        <w:rFonts w:ascii="DejaVu Math TeX Gyre" w:hAnsi="DejaVu Math TeX Gyre" w:eastAsia="SimSun"/>
                        <w:sz w:val="24"/>
                      </w:rPr>
                    </m:ctrlPr>
                  </m:sub>
                </m:sSub>
                <m:r>
                  <m:rPr/>
                  <w:rPr>
                    <w:rFonts w:hint="default" w:ascii="DejaVu Math TeX Gyre" w:hAnsi="DejaVu Math TeX Gyre" w:eastAsia="SimSun"/>
                    <w:sz w:val="24"/>
                  </w:rPr>
                  <m:t>)</m:t>
                </m:r>
              </m:oMath>
            </m:oMathPara>
          </w:p>
        </w:tc>
        <w:tc>
          <w:tcPr>
            <w:tcW w:w="7825" w:type="dxa"/>
            <w:shd w:val="clear"/>
            <w:vAlign w:val="center"/>
          </w:tcPr>
          <w:p w14:paraId="15E9C537">
            <w:pPr>
              <w:keepNext w:val="0"/>
              <w:keepLines w:val="0"/>
              <w:widowControl/>
              <w:suppressLineNumbers w:val="0"/>
              <w:jc w:val="left"/>
            </w:pPr>
            <w:r>
              <w:rPr>
                <w:rFonts w:ascii="SimSun" w:hAnsi="SimSun" w:eastAsia="SimSun" w:cs="SimSun"/>
                <w:color w:val="1E293B"/>
                <w:kern w:val="0"/>
                <w:sz w:val="24"/>
                <w:szCs w:val="24"/>
                <w:lang w:val="en-US" w:eastAsia="zh-CN" w:bidi="ar"/>
              </w:rPr>
              <w:t>Cosine similarity between two feature representations</w:t>
            </w:r>
          </w:p>
        </w:tc>
      </w:tr>
      <w:tr w14:paraId="492EB2FF">
        <w:trPr>
          <w:tblCellSpacing w:w="15" w:type="dxa"/>
        </w:trPr>
        <w:tc>
          <w:tcPr>
            <w:tcW w:w="0" w:type="auto"/>
            <w:shd w:val="clear"/>
            <w:vAlign w:val="center"/>
          </w:tcPr>
          <w:p w14:paraId="0528BD36">
            <w:pPr>
              <w:keepNext w:val="0"/>
              <w:keepLines w:val="0"/>
              <w:widowControl/>
              <w:suppressLineNumbers w:val="0"/>
              <w:jc w:val="left"/>
              <w:rPr>
                <w:rFonts w:hAnsi="SimSun" w:eastAsia="SimSun" w:cs="SimSun"/>
                <w:i w:val="0"/>
                <w:color w:val="1E293B"/>
                <w:kern w:val="0"/>
                <w:sz w:val="24"/>
                <w:szCs w:val="24"/>
                <w:lang w:val="en-US" w:eastAsia="zh-CN" w:bidi="ar"/>
              </w:rPr>
            </w:pPr>
            <m:oMathPara>
              <m:oMath>
                <m:r>
                  <m:rPr/>
                  <w:rPr>
                    <w:rFonts w:hint="default" w:ascii="DejaVu Math TeX Gyre" w:hAnsi="DejaVu Math TeX Gyre" w:eastAsia="SimSun"/>
                    <w:sz w:val="24"/>
                  </w:rPr>
                  <m:t>m</m:t>
                </m:r>
              </m:oMath>
            </m:oMathPara>
          </w:p>
        </w:tc>
        <w:tc>
          <w:tcPr>
            <w:tcW w:w="7825" w:type="dxa"/>
            <w:shd w:val="clear"/>
            <w:vAlign w:val="center"/>
          </w:tcPr>
          <w:p w14:paraId="6906E059">
            <w:pPr>
              <w:keepNext w:val="0"/>
              <w:keepLines w:val="0"/>
              <w:widowControl/>
              <w:suppressLineNumbers w:val="0"/>
              <w:jc w:val="left"/>
            </w:pPr>
            <w:r>
              <w:rPr>
                <w:rFonts w:ascii="SimSun" w:hAnsi="SimSun" w:eastAsia="SimSun" w:cs="SimSun"/>
                <w:color w:val="1E293B"/>
                <w:kern w:val="0"/>
                <w:sz w:val="24"/>
                <w:szCs w:val="24"/>
                <w:lang w:val="en-US" w:eastAsia="zh-CN" w:bidi="ar"/>
              </w:rPr>
              <w:t>NFD similarity margin</w:t>
            </w:r>
          </w:p>
        </w:tc>
      </w:tr>
      <w:tr w14:paraId="33C2C658">
        <w:trPr>
          <w:tblCellSpacing w:w="15" w:type="dxa"/>
        </w:trPr>
        <w:tc>
          <w:tcPr>
            <w:tcW w:w="0" w:type="auto"/>
            <w:shd w:val="clear"/>
            <w:vAlign w:val="center"/>
          </w:tcPr>
          <w:p w14:paraId="0F6DC51D">
            <w:pPr>
              <w:keepNext w:val="0"/>
              <w:keepLines w:val="0"/>
              <w:widowControl/>
              <w:suppressLineNumbers w:val="0"/>
              <w:jc w:val="left"/>
              <w:rPr>
                <w:rFonts w:hAnsi="SimSun" w:eastAsia="SimSun" w:cs="SimSun"/>
                <w:i w:val="0"/>
                <w:color w:val="1E293B"/>
                <w:kern w:val="0"/>
                <w:sz w:val="24"/>
                <w:szCs w:val="24"/>
                <w:lang w:val="en-US" w:eastAsia="zh-CN" w:bidi="ar"/>
              </w:rPr>
            </w:pPr>
            <m:oMathPara>
              <m:oMath>
                <m:r>
                  <m:rPr/>
                  <w:rPr>
                    <w:rFonts w:hint="default" w:ascii="DejaVu Math TeX Gyre" w:hAnsi="DejaVu Math TeX Gyre" w:eastAsia="SimSun"/>
                    <w:sz w:val="24"/>
                  </w:rPr>
                  <m:t>N</m:t>
                </m:r>
              </m:oMath>
            </m:oMathPara>
          </w:p>
        </w:tc>
        <w:tc>
          <w:tcPr>
            <w:tcW w:w="7825" w:type="dxa"/>
            <w:shd w:val="clear"/>
            <w:vAlign w:val="center"/>
          </w:tcPr>
          <w:p w14:paraId="074BC8F5">
            <w:pPr>
              <w:keepNext w:val="0"/>
              <w:keepLines w:val="0"/>
              <w:widowControl/>
              <w:suppressLineNumbers w:val="0"/>
              <w:jc w:val="left"/>
            </w:pPr>
            <w:r>
              <w:rPr>
                <w:rFonts w:ascii="SimSun" w:hAnsi="SimSun" w:eastAsia="SimSun" w:cs="SimSun"/>
                <w:color w:val="1E293B"/>
                <w:kern w:val="0"/>
                <w:sz w:val="24"/>
                <w:szCs w:val="24"/>
                <w:lang w:val="en-US" w:eastAsia="zh-CN" w:bidi="ar"/>
              </w:rPr>
              <w:t>Number of feature representations considered</w:t>
            </w:r>
          </w:p>
        </w:tc>
      </w:tr>
    </w:tbl>
    <w:p w14:paraId="2E77C5BF">
      <w:pPr>
        <w:spacing w:after="160" w:line="300" w:lineRule="auto"/>
        <w:jc w:val="both"/>
        <w:rPr>
          <w:color w:val="auto"/>
        </w:rPr>
      </w:pPr>
    </w:p>
    <w:p w14:paraId="33E5175E">
      <w:pPr>
        <w:pStyle w:val="3"/>
        <w:spacing w:before="260" w:after="140"/>
        <w:rPr>
          <w:color w:val="auto"/>
        </w:rPr>
      </w:pPr>
      <w:r>
        <w:rPr>
          <w:rFonts w:ascii="Arial" w:hAnsi="Arial" w:eastAsia="Arial" w:cs="Arial"/>
          <w:b/>
          <w:bCs/>
          <w:color w:val="auto"/>
          <w:sz w:val="25"/>
          <w:szCs w:val="25"/>
        </w:rPr>
        <w:t>5.4 Progressive Pruning</w:t>
      </w:r>
    </w:p>
    <w:p w14:paraId="10A20ACC">
      <w:pPr>
        <w:spacing w:after="160" w:line="300" w:lineRule="auto"/>
        <w:jc w:val="both"/>
        <w:rPr>
          <w:color w:val="auto"/>
        </w:rPr>
      </w:pPr>
      <w:r>
        <w:rPr>
          <w:rFonts w:ascii="Arial" w:hAnsi="Arial" w:eastAsia="Arial" w:cs="Arial"/>
          <w:color w:val="auto"/>
          <w:sz w:val="22"/>
          <w:szCs w:val="22"/>
        </w:rPr>
        <w:t>Rather than a single, one-shot pruning operation, the framework investigates progressive pruning, in which the model is iteratively trained, evaluated, pruned, and recovered through fine-tuning:</w:t>
      </w:r>
    </w:p>
    <w:tbl>
      <w:tblPr>
        <w:tblStyle w:val="9"/>
        <w:tblW w:w="9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000"/>
      </w:tblGrid>
      <w:tr w14:paraId="7475B74C">
        <w:tc>
          <w:tcPr>
            <w:tcW w:w="9000" w:type="dxa"/>
            <w:shd w:val="clear" w:color="auto" w:fill="F1F5F9"/>
            <w:tcMar>
              <w:top w:w="80" w:type="dxa"/>
              <w:left w:w="100" w:type="dxa"/>
              <w:bottom w:w="80" w:type="dxa"/>
              <w:right w:w="100" w:type="dxa"/>
            </w:tcMar>
            <w:vAlign w:val="center"/>
          </w:tcPr>
          <w:p w14:paraId="7B306B55">
            <w:pPr>
              <w:jc w:val="center"/>
              <w:rPr>
                <w:color w:val="auto"/>
              </w:rPr>
            </w:pPr>
            <w:r>
              <w:rPr>
                <w:rFonts w:ascii="Arial" w:hAnsi="Arial" w:eastAsia="Arial" w:cs="Arial"/>
                <w:b/>
                <w:bCs/>
                <w:color w:val="auto"/>
                <w:sz w:val="20"/>
                <w:szCs w:val="20"/>
              </w:rPr>
              <w:t>Train</w:t>
            </w:r>
          </w:p>
        </w:tc>
      </w:tr>
      <w:tr w14:paraId="506494CD">
        <w:tc>
          <w:tcPr>
            <w:tcW w:w="9000" w:type="dxa"/>
            <w:tcBorders>
              <w:top w:val="nil"/>
              <w:left w:val="nil"/>
              <w:bottom w:val="nil"/>
              <w:right w:val="nil"/>
            </w:tcBorders>
          </w:tcPr>
          <w:p w14:paraId="0A7EE3CF">
            <w:pPr>
              <w:spacing w:before="20" w:after="20"/>
              <w:jc w:val="center"/>
              <w:rPr>
                <w:color w:val="auto"/>
              </w:rPr>
            </w:pPr>
            <w:r>
              <w:rPr>
                <w:rFonts w:ascii="Arial" w:hAnsi="Arial" w:eastAsia="Arial" w:cs="Arial"/>
                <w:b/>
                <w:bCs/>
                <w:color w:val="auto"/>
                <w:sz w:val="24"/>
                <w:szCs w:val="24"/>
              </w:rPr>
              <w:t>↓</w:t>
            </w:r>
          </w:p>
        </w:tc>
      </w:tr>
      <w:tr w14:paraId="3ACDD5C8">
        <w:tc>
          <w:tcPr>
            <w:tcW w:w="9000" w:type="dxa"/>
            <w:shd w:val="clear" w:color="auto" w:fill="F1F5F9"/>
            <w:tcMar>
              <w:top w:w="80" w:type="dxa"/>
              <w:left w:w="100" w:type="dxa"/>
              <w:bottom w:w="80" w:type="dxa"/>
              <w:right w:w="100" w:type="dxa"/>
            </w:tcMar>
            <w:vAlign w:val="center"/>
          </w:tcPr>
          <w:p w14:paraId="48C8B360">
            <w:pPr>
              <w:jc w:val="center"/>
              <w:rPr>
                <w:color w:val="auto"/>
              </w:rPr>
            </w:pPr>
            <w:r>
              <w:rPr>
                <w:rFonts w:ascii="Arial" w:hAnsi="Arial" w:eastAsia="Arial" w:cs="Arial"/>
                <w:b/>
                <w:bCs/>
                <w:color w:val="auto"/>
                <w:sz w:val="20"/>
                <w:szCs w:val="20"/>
              </w:rPr>
              <w:t>Evaluate</w:t>
            </w:r>
          </w:p>
        </w:tc>
      </w:tr>
      <w:tr w14:paraId="1DB66477">
        <w:tc>
          <w:tcPr>
            <w:tcW w:w="9000" w:type="dxa"/>
            <w:tcBorders>
              <w:top w:val="nil"/>
              <w:left w:val="nil"/>
              <w:bottom w:val="nil"/>
              <w:right w:val="nil"/>
            </w:tcBorders>
          </w:tcPr>
          <w:p w14:paraId="33EB9A26">
            <w:pPr>
              <w:spacing w:before="20" w:after="20"/>
              <w:jc w:val="center"/>
              <w:rPr>
                <w:color w:val="auto"/>
              </w:rPr>
            </w:pPr>
            <w:r>
              <w:rPr>
                <w:rFonts w:ascii="Arial" w:hAnsi="Arial" w:eastAsia="Arial" w:cs="Arial"/>
                <w:b/>
                <w:bCs/>
                <w:color w:val="auto"/>
                <w:sz w:val="24"/>
                <w:szCs w:val="24"/>
              </w:rPr>
              <w:t>↓</w:t>
            </w:r>
          </w:p>
        </w:tc>
      </w:tr>
      <w:tr w14:paraId="0177922F">
        <w:tc>
          <w:tcPr>
            <w:tcW w:w="9000" w:type="dxa"/>
            <w:shd w:val="clear" w:color="auto" w:fill="E9D5FF"/>
            <w:tcMar>
              <w:top w:w="80" w:type="dxa"/>
              <w:left w:w="100" w:type="dxa"/>
              <w:bottom w:w="80" w:type="dxa"/>
              <w:right w:w="100" w:type="dxa"/>
            </w:tcMar>
            <w:vAlign w:val="center"/>
          </w:tcPr>
          <w:p w14:paraId="4DF76DB5">
            <w:pPr>
              <w:jc w:val="center"/>
              <w:rPr>
                <w:color w:val="auto"/>
              </w:rPr>
            </w:pPr>
            <w:r>
              <w:rPr>
                <w:rFonts w:ascii="Arial" w:hAnsi="Arial" w:eastAsia="Arial" w:cs="Arial"/>
                <w:b/>
                <w:bCs/>
                <w:color w:val="auto"/>
                <w:sz w:val="20"/>
                <w:szCs w:val="20"/>
              </w:rPr>
              <w:t>Prune</w:t>
            </w:r>
          </w:p>
        </w:tc>
      </w:tr>
      <w:tr w14:paraId="61E1131E">
        <w:tc>
          <w:tcPr>
            <w:tcW w:w="9000" w:type="dxa"/>
            <w:tcBorders>
              <w:top w:val="nil"/>
              <w:left w:val="nil"/>
              <w:bottom w:val="nil"/>
              <w:right w:val="nil"/>
            </w:tcBorders>
          </w:tcPr>
          <w:p w14:paraId="041DC805">
            <w:pPr>
              <w:spacing w:before="20" w:after="20"/>
              <w:jc w:val="center"/>
              <w:rPr>
                <w:color w:val="auto"/>
              </w:rPr>
            </w:pPr>
            <w:r>
              <w:rPr>
                <w:rFonts w:ascii="Arial" w:hAnsi="Arial" w:eastAsia="Arial" w:cs="Arial"/>
                <w:b/>
                <w:bCs/>
                <w:color w:val="auto"/>
                <w:sz w:val="24"/>
                <w:szCs w:val="24"/>
              </w:rPr>
              <w:t>↓</w:t>
            </w:r>
          </w:p>
        </w:tc>
      </w:tr>
      <w:tr w14:paraId="20FF670B">
        <w:tc>
          <w:tcPr>
            <w:tcW w:w="9000" w:type="dxa"/>
            <w:shd w:val="clear" w:color="auto" w:fill="E9D5FF"/>
            <w:tcMar>
              <w:top w:w="80" w:type="dxa"/>
              <w:left w:w="100" w:type="dxa"/>
              <w:bottom w:w="80" w:type="dxa"/>
              <w:right w:w="100" w:type="dxa"/>
            </w:tcMar>
            <w:vAlign w:val="center"/>
          </w:tcPr>
          <w:p w14:paraId="119B99EC">
            <w:pPr>
              <w:jc w:val="center"/>
              <w:rPr>
                <w:color w:val="auto"/>
              </w:rPr>
            </w:pPr>
            <w:r>
              <w:rPr>
                <w:rFonts w:ascii="Arial" w:hAnsi="Arial" w:eastAsia="Arial" w:cs="Arial"/>
                <w:b/>
                <w:bCs/>
                <w:color w:val="auto"/>
                <w:sz w:val="20"/>
                <w:szCs w:val="20"/>
              </w:rPr>
              <w:t>Recover / Fine-tune</w:t>
            </w:r>
          </w:p>
        </w:tc>
      </w:tr>
      <w:tr w14:paraId="1370499E">
        <w:tc>
          <w:tcPr>
            <w:tcW w:w="9000" w:type="dxa"/>
            <w:tcBorders>
              <w:top w:val="nil"/>
              <w:left w:val="nil"/>
              <w:bottom w:val="nil"/>
              <w:right w:val="nil"/>
            </w:tcBorders>
          </w:tcPr>
          <w:p w14:paraId="13ACB2F5">
            <w:pPr>
              <w:spacing w:before="20" w:after="20"/>
              <w:jc w:val="center"/>
              <w:rPr>
                <w:color w:val="auto"/>
              </w:rPr>
            </w:pPr>
            <w:r>
              <w:rPr>
                <w:rFonts w:ascii="Arial" w:hAnsi="Arial" w:eastAsia="Arial" w:cs="Arial"/>
                <w:b/>
                <w:bCs/>
                <w:color w:val="auto"/>
                <w:sz w:val="24"/>
                <w:szCs w:val="24"/>
              </w:rPr>
              <w:t>↓</w:t>
            </w:r>
          </w:p>
        </w:tc>
      </w:tr>
      <w:tr w14:paraId="0B49CBDA">
        <w:tc>
          <w:tcPr>
            <w:tcW w:w="9000" w:type="dxa"/>
            <w:shd w:val="clear" w:color="auto" w:fill="F1F5F9"/>
            <w:tcMar>
              <w:top w:w="80" w:type="dxa"/>
              <w:left w:w="100" w:type="dxa"/>
              <w:bottom w:w="80" w:type="dxa"/>
              <w:right w:w="100" w:type="dxa"/>
            </w:tcMar>
            <w:vAlign w:val="center"/>
          </w:tcPr>
          <w:p w14:paraId="748ECD83">
            <w:pPr>
              <w:jc w:val="center"/>
              <w:rPr>
                <w:color w:val="auto"/>
              </w:rPr>
            </w:pPr>
            <w:r>
              <w:rPr>
                <w:rFonts w:ascii="Arial" w:hAnsi="Arial" w:eastAsia="Arial" w:cs="Arial"/>
                <w:b/>
                <w:bCs/>
                <w:color w:val="auto"/>
                <w:sz w:val="20"/>
                <w:szCs w:val="20"/>
              </w:rPr>
              <w:t>Evaluate — repeat for additional pruning levels</w:t>
            </w:r>
          </w:p>
        </w:tc>
      </w:tr>
      <w:tr w14:paraId="54FAD246">
        <w:tc>
          <w:tcPr>
            <w:tcW w:w="9000" w:type="dxa"/>
            <w:tcBorders>
              <w:top w:val="nil"/>
              <w:left w:val="nil"/>
              <w:bottom w:val="nil"/>
              <w:right w:val="nil"/>
            </w:tcBorders>
          </w:tcPr>
          <w:p w14:paraId="45686DD0">
            <w:pPr>
              <w:spacing w:before="20" w:after="20"/>
              <w:jc w:val="center"/>
              <w:rPr>
                <w:color w:val="auto"/>
              </w:rPr>
            </w:pPr>
            <w:r>
              <w:rPr>
                <w:rFonts w:ascii="Arial" w:hAnsi="Arial" w:eastAsia="Arial" w:cs="Arial"/>
                <w:b/>
                <w:bCs/>
                <w:color w:val="auto"/>
                <w:sz w:val="24"/>
                <w:szCs w:val="24"/>
              </w:rPr>
              <w:t>↓</w:t>
            </w:r>
          </w:p>
        </w:tc>
      </w:tr>
      <w:tr w14:paraId="7D4B63ED">
        <w:tc>
          <w:tcPr>
            <w:tcW w:w="9000" w:type="dxa"/>
            <w:shd w:val="clear" w:color="auto" w:fill="DCFCE7"/>
            <w:tcMar>
              <w:top w:w="80" w:type="dxa"/>
              <w:left w:w="100" w:type="dxa"/>
              <w:bottom w:w="80" w:type="dxa"/>
              <w:right w:w="100" w:type="dxa"/>
            </w:tcMar>
            <w:vAlign w:val="center"/>
          </w:tcPr>
          <w:p w14:paraId="7772B43A">
            <w:pPr>
              <w:jc w:val="center"/>
              <w:rPr>
                <w:color w:val="auto"/>
              </w:rPr>
            </w:pPr>
            <w:r>
              <w:rPr>
                <w:rFonts w:ascii="Arial" w:hAnsi="Arial" w:eastAsia="Arial" w:cs="Arial"/>
                <w:b/>
                <w:bCs/>
                <w:color w:val="auto"/>
                <w:sz w:val="20"/>
                <w:szCs w:val="20"/>
              </w:rPr>
              <w:t>Final (pruned) model</w:t>
            </w:r>
          </w:p>
        </w:tc>
      </w:tr>
    </w:tbl>
    <w:p w14:paraId="681A20AE">
      <w:pPr>
        <w:spacing w:before="80" w:after="240"/>
        <w:jc w:val="center"/>
        <w:rPr>
          <w:color w:val="auto"/>
        </w:rPr>
      </w:pPr>
      <w:r>
        <w:rPr>
          <w:rFonts w:ascii="Arial" w:hAnsi="Arial" w:eastAsia="Arial" w:cs="Arial"/>
          <w:i/>
          <w:iCs/>
          <w:color w:val="auto"/>
          <w:sz w:val="19"/>
          <w:szCs w:val="19"/>
        </w:rPr>
        <w:t>Figure 5.2: Progressive pruning and recovery cycle.</w:t>
      </w:r>
    </w:p>
    <w:p w14:paraId="01E8EF6F">
      <w:pPr>
        <w:pStyle w:val="3"/>
        <w:spacing w:before="260" w:after="140"/>
        <w:rPr>
          <w:color w:val="auto"/>
        </w:rPr>
      </w:pPr>
      <w:r>
        <w:rPr>
          <w:rFonts w:ascii="Arial" w:hAnsi="Arial" w:eastAsia="Arial" w:cs="Arial"/>
          <w:b/>
          <w:bCs/>
          <w:color w:val="auto"/>
          <w:sz w:val="25"/>
          <w:szCs w:val="25"/>
        </w:rPr>
        <w:t>5.</w:t>
      </w:r>
      <w:r>
        <w:rPr>
          <w:rFonts w:hint="default" w:cs="Arial"/>
          <w:b/>
          <w:bCs/>
          <w:color w:val="auto"/>
          <w:sz w:val="25"/>
          <w:szCs w:val="25"/>
          <w:lang w:val="en-US"/>
        </w:rPr>
        <w:t>5</w:t>
      </w:r>
      <w:r>
        <w:rPr>
          <w:rFonts w:ascii="Arial" w:hAnsi="Arial" w:eastAsia="Arial" w:cs="Arial"/>
          <w:b/>
          <w:bCs/>
          <w:color w:val="auto"/>
          <w:sz w:val="25"/>
          <w:szCs w:val="25"/>
        </w:rPr>
        <w:t xml:space="preserve"> Evaluation Metrics</w:t>
      </w:r>
    </w:p>
    <w:p w14:paraId="2FBD6C05">
      <w:pPr>
        <w:spacing w:after="160" w:line="300" w:lineRule="auto"/>
        <w:jc w:val="both"/>
        <w:rPr>
          <w:color w:val="auto"/>
        </w:rPr>
      </w:pPr>
      <w:r>
        <w:rPr>
          <w:rFonts w:ascii="Arial" w:hAnsi="Arial" w:eastAsia="Arial" w:cs="Arial"/>
          <w:color w:val="auto"/>
          <w:sz w:val="22"/>
          <w:szCs w:val="22"/>
        </w:rPr>
        <w:t>Because this is a detection (not classification) task, evaluation will prioritize detection-appropriate metrics rather than classification accuracy alone:</w:t>
      </w:r>
    </w:p>
    <w:p w14:paraId="106C65DB">
      <w:pPr>
        <w:pStyle w:val="18"/>
        <w:numPr>
          <w:ilvl w:val="0"/>
          <w:numId w:val="1"/>
        </w:numPr>
        <w:spacing w:after="100" w:line="280" w:lineRule="auto"/>
        <w:rPr>
          <w:color w:val="auto"/>
        </w:rPr>
      </w:pPr>
      <w:r>
        <w:rPr>
          <w:rFonts w:ascii="Arial" w:hAnsi="Arial" w:eastAsia="Arial" w:cs="Arial"/>
          <w:color w:val="auto"/>
          <w:sz w:val="22"/>
          <w:szCs w:val="22"/>
        </w:rPr>
        <w:t>FROC (Free-response Receiver Operating Characteristic) curve, plotting sensitivity against false positives per scan.</w:t>
      </w:r>
    </w:p>
    <w:p w14:paraId="5BEEEBEF">
      <w:pPr>
        <w:pStyle w:val="18"/>
        <w:numPr>
          <w:ilvl w:val="0"/>
          <w:numId w:val="1"/>
        </w:numPr>
        <w:spacing w:after="100" w:line="280" w:lineRule="auto"/>
        <w:rPr>
          <w:color w:val="auto"/>
        </w:rPr>
      </w:pPr>
      <w:r>
        <w:rPr>
          <w:rFonts w:ascii="Arial" w:hAnsi="Arial" w:eastAsia="Arial" w:cs="Arial"/>
          <w:color w:val="auto"/>
          <w:sz w:val="22"/>
          <w:szCs w:val="22"/>
        </w:rPr>
        <w:t>CPM (Competition Performance Metric), the LUNA16 official summary metric averaged over specified false-positive-rate operating points.</w:t>
      </w:r>
    </w:p>
    <w:p w14:paraId="59F8A263">
      <w:pPr>
        <w:pStyle w:val="18"/>
        <w:numPr>
          <w:ilvl w:val="0"/>
          <w:numId w:val="1"/>
        </w:numPr>
        <w:spacing w:after="100" w:line="280" w:lineRule="auto"/>
        <w:rPr>
          <w:color w:val="auto"/>
        </w:rPr>
      </w:pPr>
      <w:r>
        <w:rPr>
          <w:rFonts w:ascii="Arial" w:hAnsi="Arial" w:eastAsia="Arial" w:cs="Arial"/>
          <w:color w:val="auto"/>
          <w:sz w:val="22"/>
          <w:szCs w:val="22"/>
        </w:rPr>
        <w:t>Efficiency metrics: parameter count, FLOPs/MACs, model size, peak memory, inference latency, throughput, and sparsity (for pruned models).</w:t>
      </w:r>
    </w:p>
    <w:p w14:paraId="1E4756B4">
      <w:pPr>
        <w:spacing w:after="160" w:line="300" w:lineRule="auto"/>
        <w:jc w:val="both"/>
        <w:rPr>
          <w:color w:val="auto"/>
        </w:rPr>
      </w:pPr>
      <w:r>
        <w:rPr>
          <w:rFonts w:ascii="Arial" w:hAnsi="Arial" w:eastAsia="Arial" w:cs="Arial"/>
          <w:color w:val="auto"/>
          <w:sz w:val="22"/>
          <w:szCs w:val="22"/>
        </w:rPr>
        <w:t>No component will be described as beneficial, and no result will be presented as final, until it is supported by these measurements; negative or inconclusive results will be reported alongside positive ones.</w:t>
      </w:r>
    </w:p>
    <w:p w14:paraId="785E0ABD">
      <w:pPr>
        <w:pStyle w:val="2"/>
        <w:pBdr>
          <w:bottom w:val="single" w:color="2563EB" w:sz="8" w:space="4"/>
        </w:pBdr>
        <w:spacing w:before="360" w:after="200"/>
        <w:rPr>
          <w:color w:val="auto"/>
        </w:rPr>
      </w:pPr>
      <w:r>
        <w:rPr>
          <w:rFonts w:ascii="Arial" w:hAnsi="Arial" w:eastAsia="Arial" w:cs="Arial"/>
          <w:b/>
          <w:bCs/>
          <w:color w:val="auto"/>
          <w:sz w:val="30"/>
          <w:szCs w:val="30"/>
        </w:rPr>
        <w:t>6. Simulation Platform and Requirements</w:t>
      </w:r>
    </w:p>
    <w:p w14:paraId="0D23F021">
      <w:pPr>
        <w:spacing w:after="160" w:line="300" w:lineRule="auto"/>
        <w:jc w:val="both"/>
        <w:rPr>
          <w:color w:val="auto"/>
        </w:rPr>
      </w:pPr>
      <w:r>
        <w:rPr>
          <w:rFonts w:ascii="Arial" w:hAnsi="Arial" w:eastAsia="Arial" w:cs="Arial"/>
          <w:color w:val="auto"/>
          <w:sz w:val="22"/>
          <w:szCs w:val="22"/>
        </w:rPr>
        <w:t>This section documents the dataset, hardware, and software environment used for implementation and experimentation.</w:t>
      </w:r>
    </w:p>
    <w:p w14:paraId="2645D9FF">
      <w:pPr>
        <w:pStyle w:val="3"/>
        <w:spacing w:before="260" w:after="140"/>
        <w:rPr>
          <w:color w:val="auto"/>
        </w:rPr>
      </w:pPr>
      <w:r>
        <w:rPr>
          <w:rFonts w:ascii="Arial" w:hAnsi="Arial" w:eastAsia="Arial" w:cs="Arial"/>
          <w:b/>
          <w:bCs/>
          <w:color w:val="auto"/>
          <w:sz w:val="25"/>
          <w:szCs w:val="25"/>
        </w:rPr>
        <w:t>6.1 Dataset</w:t>
      </w:r>
    </w:p>
    <w:p w14:paraId="3D9AE7F0">
      <w:pPr>
        <w:spacing w:after="160" w:line="300" w:lineRule="auto"/>
        <w:jc w:val="both"/>
        <w:rPr>
          <w:color w:val="auto"/>
        </w:rPr>
      </w:pPr>
      <w:r>
        <w:rPr>
          <w:rFonts w:ascii="Arial" w:hAnsi="Arial" w:eastAsia="Arial" w:cs="Arial"/>
          <w:color w:val="auto"/>
          <w:sz w:val="22"/>
          <w:szCs w:val="22"/>
        </w:rPr>
        <w:t>The project uses the LUNA16 (LUng Nodule Analysis 2016) dataset [11], comprising 888 low-dose chest CT scans derived from the LIDC-IDRI collection, together with the associated nodule annotation and candidate files. Dataset splitting is performed at the scan level to avoid information leakage between training, validation, and test partitions, and preprocessing parameters (Hounsfield-unit conversion, normalization, resampling, lung-region ROI extraction) are recorded and applied consistently across partitions.</w:t>
      </w:r>
    </w:p>
    <w:p w14:paraId="0B0985DC">
      <w:pPr>
        <w:pStyle w:val="3"/>
        <w:spacing w:before="260" w:after="140"/>
        <w:rPr>
          <w:color w:val="auto"/>
        </w:rPr>
      </w:pPr>
      <w:r>
        <w:rPr>
          <w:rFonts w:ascii="Arial" w:hAnsi="Arial" w:eastAsia="Arial" w:cs="Arial"/>
          <w:b/>
          <w:bCs/>
          <w:color w:val="auto"/>
          <w:sz w:val="25"/>
          <w:szCs w:val="25"/>
        </w:rPr>
        <w:t>6.2 Hardware Environment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52289892">
        <w:trPr>
          <w:tblHeader/>
        </w:trPr>
        <w:tc>
          <w:tcPr>
            <w:tcW w:w="3000" w:type="dxa"/>
            <w:shd w:val="clear" w:color="auto" w:fill="2563EB"/>
            <w:tcMar>
              <w:top w:w="80" w:type="dxa"/>
              <w:left w:w="100" w:type="dxa"/>
              <w:bottom w:w="80" w:type="dxa"/>
              <w:right w:w="100" w:type="dxa"/>
            </w:tcMar>
            <w:vAlign w:val="center"/>
          </w:tcPr>
          <w:p w14:paraId="5DD51432">
            <w:pPr>
              <w:jc w:val="center"/>
              <w:rPr>
                <w:color w:val="auto"/>
              </w:rPr>
            </w:pPr>
            <w:r>
              <w:rPr>
                <w:rFonts w:ascii="Arial" w:hAnsi="Arial" w:eastAsia="Arial" w:cs="Arial"/>
                <w:b/>
                <w:bCs/>
                <w:color w:val="auto"/>
                <w:sz w:val="19"/>
                <w:szCs w:val="19"/>
              </w:rPr>
              <w:t>Component</w:t>
            </w:r>
          </w:p>
        </w:tc>
        <w:tc>
          <w:tcPr>
            <w:tcW w:w="6000" w:type="dxa"/>
            <w:shd w:val="clear" w:color="auto" w:fill="2563EB"/>
            <w:tcMar>
              <w:top w:w="80" w:type="dxa"/>
              <w:left w:w="100" w:type="dxa"/>
              <w:bottom w:w="80" w:type="dxa"/>
              <w:right w:w="100" w:type="dxa"/>
            </w:tcMar>
            <w:vAlign w:val="center"/>
          </w:tcPr>
          <w:p w14:paraId="31BECAD4">
            <w:pPr>
              <w:jc w:val="center"/>
              <w:rPr>
                <w:color w:val="auto"/>
              </w:rPr>
            </w:pPr>
            <w:r>
              <w:rPr>
                <w:rFonts w:ascii="Arial" w:hAnsi="Arial" w:eastAsia="Arial" w:cs="Arial"/>
                <w:b/>
                <w:bCs/>
                <w:color w:val="auto"/>
                <w:sz w:val="19"/>
                <w:szCs w:val="19"/>
              </w:rPr>
              <w:t>Specification</w:t>
            </w:r>
          </w:p>
        </w:tc>
      </w:tr>
      <w:tr w14:paraId="13556534">
        <w:tc>
          <w:tcPr>
            <w:tcW w:w="3000" w:type="dxa"/>
            <w:tcMar>
              <w:top w:w="80" w:type="dxa"/>
              <w:left w:w="100" w:type="dxa"/>
              <w:bottom w:w="80" w:type="dxa"/>
              <w:right w:w="100" w:type="dxa"/>
            </w:tcMar>
            <w:vAlign w:val="center"/>
          </w:tcPr>
          <w:p w14:paraId="1311C8AF">
            <w:pPr>
              <w:jc w:val="left"/>
              <w:rPr>
                <w:color w:val="auto"/>
              </w:rPr>
            </w:pPr>
            <w:r>
              <w:rPr>
                <w:rFonts w:ascii="Arial" w:hAnsi="Arial" w:eastAsia="Arial" w:cs="Arial"/>
                <w:b w:val="0"/>
                <w:bCs w:val="0"/>
                <w:color w:val="auto"/>
                <w:sz w:val="19"/>
                <w:szCs w:val="19"/>
              </w:rPr>
              <w:t>Machine</w:t>
            </w:r>
          </w:p>
        </w:tc>
        <w:tc>
          <w:tcPr>
            <w:tcW w:w="6000" w:type="dxa"/>
            <w:tcMar>
              <w:top w:w="80" w:type="dxa"/>
              <w:left w:w="100" w:type="dxa"/>
              <w:bottom w:w="80" w:type="dxa"/>
              <w:right w:w="100" w:type="dxa"/>
            </w:tcMar>
            <w:vAlign w:val="center"/>
          </w:tcPr>
          <w:p w14:paraId="6F903DC9">
            <w:pPr>
              <w:jc w:val="left"/>
              <w:rPr>
                <w:color w:val="auto"/>
              </w:rPr>
            </w:pPr>
            <w:r>
              <w:rPr>
                <w:rFonts w:ascii="Arial" w:hAnsi="Arial" w:eastAsia="Arial" w:cs="Arial"/>
                <w:b w:val="0"/>
                <w:bCs w:val="0"/>
                <w:color w:val="auto"/>
                <w:sz w:val="19"/>
                <w:szCs w:val="19"/>
              </w:rPr>
              <w:t>MacBook Pro (Apple M3)</w:t>
            </w:r>
          </w:p>
        </w:tc>
      </w:tr>
      <w:tr w14:paraId="1DF6C7EE">
        <w:tc>
          <w:tcPr>
            <w:tcW w:w="3000" w:type="dxa"/>
            <w:shd w:val="clear" w:color="auto" w:fill="F8FAFC"/>
            <w:tcMar>
              <w:top w:w="80" w:type="dxa"/>
              <w:left w:w="100" w:type="dxa"/>
              <w:bottom w:w="80" w:type="dxa"/>
              <w:right w:w="100" w:type="dxa"/>
            </w:tcMar>
            <w:vAlign w:val="center"/>
          </w:tcPr>
          <w:p w14:paraId="01B4FB2B">
            <w:pPr>
              <w:jc w:val="left"/>
              <w:rPr>
                <w:color w:val="auto"/>
              </w:rPr>
            </w:pPr>
            <w:r>
              <w:rPr>
                <w:rFonts w:ascii="Arial" w:hAnsi="Arial" w:eastAsia="Arial" w:cs="Arial"/>
                <w:b w:val="0"/>
                <w:bCs w:val="0"/>
                <w:color w:val="auto"/>
                <w:sz w:val="19"/>
                <w:szCs w:val="19"/>
              </w:rPr>
              <w:t>Memory</w:t>
            </w:r>
          </w:p>
        </w:tc>
        <w:tc>
          <w:tcPr>
            <w:tcW w:w="6000" w:type="dxa"/>
            <w:shd w:val="clear" w:color="auto" w:fill="F8FAFC"/>
            <w:tcMar>
              <w:top w:w="80" w:type="dxa"/>
              <w:left w:w="100" w:type="dxa"/>
              <w:bottom w:w="80" w:type="dxa"/>
              <w:right w:w="100" w:type="dxa"/>
            </w:tcMar>
            <w:vAlign w:val="center"/>
          </w:tcPr>
          <w:p w14:paraId="5B5740BC">
            <w:pPr>
              <w:jc w:val="left"/>
              <w:rPr>
                <w:color w:val="auto"/>
              </w:rPr>
            </w:pPr>
            <w:r>
              <w:rPr>
                <w:rFonts w:ascii="Arial" w:hAnsi="Arial" w:eastAsia="Arial" w:cs="Arial"/>
                <w:b w:val="0"/>
                <w:bCs w:val="0"/>
                <w:color w:val="auto"/>
                <w:sz w:val="19"/>
                <w:szCs w:val="19"/>
              </w:rPr>
              <w:t>8 GB RAM</w:t>
            </w:r>
          </w:p>
        </w:tc>
      </w:tr>
      <w:tr w14:paraId="03266565">
        <w:tc>
          <w:tcPr>
            <w:tcW w:w="3000" w:type="dxa"/>
            <w:tcMar>
              <w:top w:w="80" w:type="dxa"/>
              <w:left w:w="100" w:type="dxa"/>
              <w:bottom w:w="80" w:type="dxa"/>
              <w:right w:w="100" w:type="dxa"/>
            </w:tcMar>
            <w:vAlign w:val="center"/>
          </w:tcPr>
          <w:p w14:paraId="18F9DED1">
            <w:pPr>
              <w:jc w:val="left"/>
              <w:rPr>
                <w:color w:val="auto"/>
              </w:rPr>
            </w:pPr>
            <w:r>
              <w:rPr>
                <w:rFonts w:ascii="Arial" w:hAnsi="Arial" w:eastAsia="Arial" w:cs="Arial"/>
                <w:b w:val="0"/>
                <w:bCs w:val="0"/>
                <w:color w:val="auto"/>
                <w:sz w:val="19"/>
                <w:szCs w:val="19"/>
              </w:rPr>
              <w:t>Operating System</w:t>
            </w:r>
          </w:p>
        </w:tc>
        <w:tc>
          <w:tcPr>
            <w:tcW w:w="6000" w:type="dxa"/>
            <w:tcMar>
              <w:top w:w="80" w:type="dxa"/>
              <w:left w:w="100" w:type="dxa"/>
              <w:bottom w:w="80" w:type="dxa"/>
              <w:right w:w="100" w:type="dxa"/>
            </w:tcMar>
            <w:vAlign w:val="center"/>
          </w:tcPr>
          <w:p w14:paraId="5787A8A6">
            <w:pPr>
              <w:jc w:val="left"/>
              <w:rPr>
                <w:color w:val="auto"/>
              </w:rPr>
            </w:pPr>
            <w:r>
              <w:rPr>
                <w:rFonts w:ascii="Arial" w:hAnsi="Arial" w:eastAsia="Arial" w:cs="Arial"/>
                <w:b w:val="0"/>
                <w:bCs w:val="0"/>
                <w:color w:val="auto"/>
                <w:sz w:val="19"/>
                <w:szCs w:val="19"/>
              </w:rPr>
              <w:t>macOS</w:t>
            </w:r>
          </w:p>
        </w:tc>
      </w:tr>
      <w:tr w14:paraId="37669F26">
        <w:tc>
          <w:tcPr>
            <w:tcW w:w="3000" w:type="dxa"/>
            <w:shd w:val="clear" w:color="auto" w:fill="F8FAFC"/>
            <w:tcMar>
              <w:top w:w="80" w:type="dxa"/>
              <w:left w:w="100" w:type="dxa"/>
              <w:bottom w:w="80" w:type="dxa"/>
              <w:right w:w="100" w:type="dxa"/>
            </w:tcMar>
            <w:vAlign w:val="center"/>
          </w:tcPr>
          <w:p w14:paraId="1131B4C5">
            <w:pPr>
              <w:jc w:val="left"/>
              <w:rPr>
                <w:color w:val="auto"/>
              </w:rPr>
            </w:pPr>
            <w:r>
              <w:rPr>
                <w:rFonts w:ascii="Arial" w:hAnsi="Arial" w:eastAsia="Arial" w:cs="Arial"/>
                <w:b w:val="0"/>
                <w:bCs w:val="0"/>
                <w:color w:val="auto"/>
                <w:sz w:val="19"/>
                <w:szCs w:val="19"/>
              </w:rPr>
              <w:t>Acceleration</w:t>
            </w:r>
          </w:p>
        </w:tc>
        <w:tc>
          <w:tcPr>
            <w:tcW w:w="6000" w:type="dxa"/>
            <w:shd w:val="clear" w:color="auto" w:fill="F8FAFC"/>
            <w:tcMar>
              <w:top w:w="80" w:type="dxa"/>
              <w:left w:w="100" w:type="dxa"/>
              <w:bottom w:w="80" w:type="dxa"/>
              <w:right w:w="100" w:type="dxa"/>
            </w:tcMar>
            <w:vAlign w:val="center"/>
          </w:tcPr>
          <w:p w14:paraId="57C6D751">
            <w:pPr>
              <w:jc w:val="left"/>
              <w:rPr>
                <w:color w:val="auto"/>
              </w:rPr>
            </w:pPr>
            <w:r>
              <w:rPr>
                <w:rFonts w:ascii="Arial" w:hAnsi="Arial" w:eastAsia="Arial" w:cs="Arial"/>
                <w:b w:val="0"/>
                <w:bCs w:val="0"/>
                <w:color w:val="auto"/>
                <w:sz w:val="19"/>
                <w:szCs w:val="19"/>
              </w:rPr>
              <w:t>Apple MPS backend where supported and stable; CPU execution retained as a fallback for debugging and validation</w:t>
            </w:r>
          </w:p>
        </w:tc>
      </w:tr>
    </w:tbl>
    <w:p w14:paraId="13A82D31">
      <w:pPr>
        <w:spacing w:before="80" w:after="240"/>
        <w:jc w:val="center"/>
        <w:rPr>
          <w:color w:val="auto"/>
        </w:rPr>
      </w:pPr>
      <w:r>
        <w:rPr>
          <w:rFonts w:ascii="Arial" w:hAnsi="Arial" w:eastAsia="Arial" w:cs="Arial"/>
          <w:i/>
          <w:iCs/>
          <w:color w:val="auto"/>
          <w:sz w:val="19"/>
          <w:szCs w:val="19"/>
        </w:rPr>
        <w:t>Table 6.1: Primary development hardware environment.</w:t>
      </w:r>
    </w:p>
    <w:p w14:paraId="3A672C14">
      <w:pPr>
        <w:spacing w:after="160" w:line="300" w:lineRule="auto"/>
        <w:jc w:val="both"/>
        <w:rPr>
          <w:color w:val="auto"/>
        </w:rPr>
      </w:pPr>
      <w:r>
        <w:rPr>
          <w:rFonts w:ascii="Arial" w:hAnsi="Arial" w:eastAsia="Arial" w:cs="Arial"/>
          <w:color w:val="auto"/>
          <w:sz w:val="22"/>
          <w:szCs w:val="22"/>
        </w:rPr>
        <w:t>Because of the 8 GB memory constraint, the implementation is designed to avoid loading the complete LUNA16 dataset into memory, favouring on-demand/lazy loading and memory-conscious batch sizes; this is treated strictly as an implementation constraint and not as a research contribution in itself.</w:t>
      </w:r>
    </w:p>
    <w:p w14:paraId="290E3B1B">
      <w:pPr>
        <w:pStyle w:val="3"/>
        <w:spacing w:before="260" w:after="140"/>
        <w:rPr>
          <w:color w:val="auto"/>
        </w:rPr>
      </w:pPr>
      <w:r>
        <w:rPr>
          <w:rFonts w:ascii="Arial" w:hAnsi="Arial" w:eastAsia="Arial" w:cs="Arial"/>
          <w:b/>
          <w:bCs/>
          <w:color w:val="auto"/>
          <w:sz w:val="25"/>
          <w:szCs w:val="25"/>
        </w:rPr>
        <w:t>6.3 Software Environment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7C2F832B">
        <w:trPr>
          <w:tblHeader/>
        </w:trPr>
        <w:tc>
          <w:tcPr>
            <w:tcW w:w="3000" w:type="dxa"/>
            <w:shd w:val="clear" w:color="auto" w:fill="2563EB"/>
            <w:tcMar>
              <w:top w:w="80" w:type="dxa"/>
              <w:left w:w="100" w:type="dxa"/>
              <w:bottom w:w="80" w:type="dxa"/>
              <w:right w:w="100" w:type="dxa"/>
            </w:tcMar>
            <w:vAlign w:val="center"/>
          </w:tcPr>
          <w:p w14:paraId="5F2DE83A">
            <w:pPr>
              <w:jc w:val="center"/>
              <w:rPr>
                <w:color w:val="auto"/>
              </w:rPr>
            </w:pPr>
            <w:r>
              <w:rPr>
                <w:rFonts w:ascii="Arial" w:hAnsi="Arial" w:eastAsia="Arial" w:cs="Arial"/>
                <w:b/>
                <w:bCs/>
                <w:color w:val="auto"/>
                <w:sz w:val="19"/>
                <w:szCs w:val="19"/>
              </w:rPr>
              <w:t>Category</w:t>
            </w:r>
          </w:p>
        </w:tc>
        <w:tc>
          <w:tcPr>
            <w:tcW w:w="6000" w:type="dxa"/>
            <w:shd w:val="clear" w:color="auto" w:fill="2563EB"/>
            <w:tcMar>
              <w:top w:w="80" w:type="dxa"/>
              <w:left w:w="100" w:type="dxa"/>
              <w:bottom w:w="80" w:type="dxa"/>
              <w:right w:w="100" w:type="dxa"/>
            </w:tcMar>
            <w:vAlign w:val="center"/>
          </w:tcPr>
          <w:p w14:paraId="133D094F">
            <w:pPr>
              <w:jc w:val="center"/>
              <w:rPr>
                <w:color w:val="auto"/>
              </w:rPr>
            </w:pPr>
            <w:r>
              <w:rPr>
                <w:rFonts w:ascii="Arial" w:hAnsi="Arial" w:eastAsia="Arial" w:cs="Arial"/>
                <w:b/>
                <w:bCs/>
                <w:color w:val="auto"/>
                <w:sz w:val="19"/>
                <w:szCs w:val="19"/>
              </w:rPr>
              <w:t>Tools / Libraries</w:t>
            </w:r>
          </w:p>
        </w:tc>
      </w:tr>
      <w:tr w14:paraId="19F687D3">
        <w:tc>
          <w:tcPr>
            <w:tcW w:w="3000" w:type="dxa"/>
            <w:tcMar>
              <w:top w:w="80" w:type="dxa"/>
              <w:left w:w="100" w:type="dxa"/>
              <w:bottom w:w="80" w:type="dxa"/>
              <w:right w:w="100" w:type="dxa"/>
            </w:tcMar>
            <w:vAlign w:val="center"/>
          </w:tcPr>
          <w:p w14:paraId="03680B3E">
            <w:pPr>
              <w:jc w:val="left"/>
              <w:rPr>
                <w:color w:val="auto"/>
              </w:rPr>
            </w:pPr>
            <w:r>
              <w:rPr>
                <w:rFonts w:ascii="Arial" w:hAnsi="Arial" w:eastAsia="Arial" w:cs="Arial"/>
                <w:b w:val="0"/>
                <w:bCs w:val="0"/>
                <w:color w:val="auto"/>
                <w:sz w:val="19"/>
                <w:szCs w:val="19"/>
              </w:rPr>
              <w:t>Programming language</w:t>
            </w:r>
          </w:p>
        </w:tc>
        <w:tc>
          <w:tcPr>
            <w:tcW w:w="6000" w:type="dxa"/>
            <w:tcMar>
              <w:top w:w="80" w:type="dxa"/>
              <w:left w:w="100" w:type="dxa"/>
              <w:bottom w:w="80" w:type="dxa"/>
              <w:right w:w="100" w:type="dxa"/>
            </w:tcMar>
            <w:vAlign w:val="center"/>
          </w:tcPr>
          <w:p w14:paraId="6F56ACF1">
            <w:pPr>
              <w:jc w:val="left"/>
              <w:rPr>
                <w:rFonts w:hint="default"/>
                <w:color w:val="auto"/>
                <w:lang w:val="en-US"/>
              </w:rPr>
            </w:pPr>
            <w:r>
              <w:rPr>
                <w:rFonts w:ascii="Arial" w:hAnsi="Arial" w:eastAsia="Arial" w:cs="Arial"/>
                <w:b w:val="0"/>
                <w:bCs w:val="0"/>
                <w:color w:val="auto"/>
                <w:sz w:val="19"/>
                <w:szCs w:val="19"/>
              </w:rPr>
              <w:t>Python 3.</w:t>
            </w:r>
            <w:r>
              <w:rPr>
                <w:rFonts w:hint="default" w:cs="Arial"/>
                <w:b w:val="0"/>
                <w:bCs w:val="0"/>
                <w:color w:val="auto"/>
                <w:sz w:val="19"/>
                <w:szCs w:val="19"/>
                <w:lang w:val="en-US"/>
              </w:rPr>
              <w:t>11</w:t>
            </w:r>
          </w:p>
        </w:tc>
      </w:tr>
      <w:tr w14:paraId="1E0DAD49">
        <w:tc>
          <w:tcPr>
            <w:tcW w:w="3000" w:type="dxa"/>
            <w:shd w:val="clear" w:color="auto" w:fill="F8FAFC"/>
            <w:tcMar>
              <w:top w:w="80" w:type="dxa"/>
              <w:left w:w="100" w:type="dxa"/>
              <w:bottom w:w="80" w:type="dxa"/>
              <w:right w:w="100" w:type="dxa"/>
            </w:tcMar>
            <w:vAlign w:val="center"/>
          </w:tcPr>
          <w:p w14:paraId="76F0BF21">
            <w:pPr>
              <w:jc w:val="left"/>
              <w:rPr>
                <w:color w:val="auto"/>
              </w:rPr>
            </w:pPr>
            <w:r>
              <w:rPr>
                <w:rFonts w:ascii="Arial" w:hAnsi="Arial" w:eastAsia="Arial" w:cs="Arial"/>
                <w:b w:val="0"/>
                <w:bCs w:val="0"/>
                <w:color w:val="auto"/>
                <w:sz w:val="19"/>
                <w:szCs w:val="19"/>
              </w:rPr>
              <w:t>Deep learning framework</w:t>
            </w:r>
          </w:p>
        </w:tc>
        <w:tc>
          <w:tcPr>
            <w:tcW w:w="6000" w:type="dxa"/>
            <w:shd w:val="clear" w:color="auto" w:fill="F8FAFC"/>
            <w:tcMar>
              <w:top w:w="80" w:type="dxa"/>
              <w:left w:w="100" w:type="dxa"/>
              <w:bottom w:w="80" w:type="dxa"/>
              <w:right w:w="100" w:type="dxa"/>
            </w:tcMar>
            <w:vAlign w:val="center"/>
          </w:tcPr>
          <w:p w14:paraId="2AE17084">
            <w:pPr>
              <w:jc w:val="left"/>
              <w:rPr>
                <w:color w:val="auto"/>
              </w:rPr>
            </w:pPr>
            <w:r>
              <w:rPr>
                <w:rFonts w:ascii="Arial" w:hAnsi="Arial" w:eastAsia="Arial" w:cs="Arial"/>
                <w:b w:val="0"/>
                <w:bCs w:val="0"/>
                <w:color w:val="auto"/>
                <w:sz w:val="19"/>
                <w:szCs w:val="19"/>
              </w:rPr>
              <w:t>PyTorch</w:t>
            </w:r>
          </w:p>
        </w:tc>
      </w:tr>
      <w:tr w14:paraId="20E93E5C">
        <w:tc>
          <w:tcPr>
            <w:tcW w:w="3000" w:type="dxa"/>
            <w:tcMar>
              <w:top w:w="80" w:type="dxa"/>
              <w:left w:w="100" w:type="dxa"/>
              <w:bottom w:w="80" w:type="dxa"/>
              <w:right w:w="100" w:type="dxa"/>
            </w:tcMar>
            <w:vAlign w:val="center"/>
          </w:tcPr>
          <w:p w14:paraId="5F113AA0">
            <w:pPr>
              <w:jc w:val="left"/>
              <w:rPr>
                <w:color w:val="auto"/>
              </w:rPr>
            </w:pPr>
            <w:r>
              <w:rPr>
                <w:rFonts w:ascii="Arial" w:hAnsi="Arial" w:eastAsia="Arial" w:cs="Arial"/>
                <w:b w:val="0"/>
                <w:bCs w:val="0"/>
                <w:color w:val="auto"/>
                <w:sz w:val="19"/>
                <w:szCs w:val="19"/>
              </w:rPr>
              <w:t>Numerical / scientific computing</w:t>
            </w:r>
          </w:p>
        </w:tc>
        <w:tc>
          <w:tcPr>
            <w:tcW w:w="6000" w:type="dxa"/>
            <w:tcMar>
              <w:top w:w="80" w:type="dxa"/>
              <w:left w:w="100" w:type="dxa"/>
              <w:bottom w:w="80" w:type="dxa"/>
              <w:right w:w="100" w:type="dxa"/>
            </w:tcMar>
            <w:vAlign w:val="center"/>
          </w:tcPr>
          <w:p w14:paraId="1CEF8C26">
            <w:pPr>
              <w:jc w:val="left"/>
              <w:rPr>
                <w:color w:val="auto"/>
              </w:rPr>
            </w:pPr>
            <w:r>
              <w:rPr>
                <w:rFonts w:ascii="Arial" w:hAnsi="Arial" w:eastAsia="Arial" w:cs="Arial"/>
                <w:b w:val="0"/>
                <w:bCs w:val="0"/>
                <w:color w:val="auto"/>
                <w:sz w:val="19"/>
                <w:szCs w:val="19"/>
              </w:rPr>
              <w:t>NumPy, SciPy</w:t>
            </w:r>
          </w:p>
        </w:tc>
      </w:tr>
      <w:tr w14:paraId="4F6D31AD">
        <w:tc>
          <w:tcPr>
            <w:tcW w:w="3000" w:type="dxa"/>
            <w:shd w:val="clear" w:color="auto" w:fill="F8FAFC"/>
            <w:tcMar>
              <w:top w:w="80" w:type="dxa"/>
              <w:left w:w="100" w:type="dxa"/>
              <w:bottom w:w="80" w:type="dxa"/>
              <w:right w:w="100" w:type="dxa"/>
            </w:tcMar>
            <w:vAlign w:val="center"/>
          </w:tcPr>
          <w:p w14:paraId="01AD7B3B">
            <w:pPr>
              <w:jc w:val="left"/>
              <w:rPr>
                <w:color w:val="auto"/>
              </w:rPr>
            </w:pPr>
            <w:r>
              <w:rPr>
                <w:rFonts w:ascii="Arial" w:hAnsi="Arial" w:eastAsia="Arial" w:cs="Arial"/>
                <w:b w:val="0"/>
                <w:bCs w:val="0"/>
                <w:color w:val="auto"/>
                <w:sz w:val="19"/>
                <w:szCs w:val="19"/>
              </w:rPr>
              <w:t>Data handling</w:t>
            </w:r>
          </w:p>
        </w:tc>
        <w:tc>
          <w:tcPr>
            <w:tcW w:w="6000" w:type="dxa"/>
            <w:shd w:val="clear" w:color="auto" w:fill="F8FAFC"/>
            <w:tcMar>
              <w:top w:w="80" w:type="dxa"/>
              <w:left w:w="100" w:type="dxa"/>
              <w:bottom w:w="80" w:type="dxa"/>
              <w:right w:w="100" w:type="dxa"/>
            </w:tcMar>
            <w:vAlign w:val="center"/>
          </w:tcPr>
          <w:p w14:paraId="34CDD99E">
            <w:pPr>
              <w:jc w:val="left"/>
              <w:rPr>
                <w:color w:val="auto"/>
              </w:rPr>
            </w:pPr>
            <w:r>
              <w:rPr>
                <w:rFonts w:ascii="Arial" w:hAnsi="Arial" w:eastAsia="Arial" w:cs="Arial"/>
                <w:b w:val="0"/>
                <w:bCs w:val="0"/>
                <w:color w:val="auto"/>
                <w:sz w:val="19"/>
                <w:szCs w:val="19"/>
              </w:rPr>
              <w:t>pandas</w:t>
            </w:r>
          </w:p>
        </w:tc>
      </w:tr>
      <w:tr w14:paraId="21511365">
        <w:tc>
          <w:tcPr>
            <w:tcW w:w="3000" w:type="dxa"/>
            <w:tcMar>
              <w:top w:w="80" w:type="dxa"/>
              <w:left w:w="100" w:type="dxa"/>
              <w:bottom w:w="80" w:type="dxa"/>
              <w:right w:w="100" w:type="dxa"/>
            </w:tcMar>
            <w:vAlign w:val="center"/>
          </w:tcPr>
          <w:p w14:paraId="58934F84">
            <w:pPr>
              <w:jc w:val="left"/>
              <w:rPr>
                <w:color w:val="auto"/>
              </w:rPr>
            </w:pPr>
            <w:r>
              <w:rPr>
                <w:rFonts w:ascii="Arial" w:hAnsi="Arial" w:eastAsia="Arial" w:cs="Arial"/>
                <w:b w:val="0"/>
                <w:bCs w:val="0"/>
                <w:color w:val="auto"/>
                <w:sz w:val="19"/>
                <w:szCs w:val="19"/>
              </w:rPr>
              <w:t>Machine learning utilities</w:t>
            </w:r>
          </w:p>
        </w:tc>
        <w:tc>
          <w:tcPr>
            <w:tcW w:w="6000" w:type="dxa"/>
            <w:tcMar>
              <w:top w:w="80" w:type="dxa"/>
              <w:left w:w="100" w:type="dxa"/>
              <w:bottom w:w="80" w:type="dxa"/>
              <w:right w:w="100" w:type="dxa"/>
            </w:tcMar>
            <w:vAlign w:val="center"/>
          </w:tcPr>
          <w:p w14:paraId="5FE9EB14">
            <w:pPr>
              <w:jc w:val="left"/>
              <w:rPr>
                <w:color w:val="auto"/>
              </w:rPr>
            </w:pPr>
            <w:r>
              <w:rPr>
                <w:rFonts w:ascii="Arial" w:hAnsi="Arial" w:eastAsia="Arial" w:cs="Arial"/>
                <w:b w:val="0"/>
                <w:bCs w:val="0"/>
                <w:color w:val="auto"/>
                <w:sz w:val="19"/>
                <w:szCs w:val="19"/>
              </w:rPr>
              <w:t>scikit-learn</w:t>
            </w:r>
          </w:p>
        </w:tc>
      </w:tr>
      <w:tr w14:paraId="07B43EBE">
        <w:tc>
          <w:tcPr>
            <w:tcW w:w="3000" w:type="dxa"/>
            <w:shd w:val="clear" w:color="auto" w:fill="F8FAFC"/>
            <w:tcMar>
              <w:top w:w="80" w:type="dxa"/>
              <w:left w:w="100" w:type="dxa"/>
              <w:bottom w:w="80" w:type="dxa"/>
              <w:right w:w="100" w:type="dxa"/>
            </w:tcMar>
            <w:vAlign w:val="center"/>
          </w:tcPr>
          <w:p w14:paraId="630B62B7">
            <w:pPr>
              <w:jc w:val="left"/>
              <w:rPr>
                <w:color w:val="auto"/>
              </w:rPr>
            </w:pPr>
            <w:r>
              <w:rPr>
                <w:rFonts w:ascii="Arial" w:hAnsi="Arial" w:eastAsia="Arial" w:cs="Arial"/>
                <w:b w:val="0"/>
                <w:bCs w:val="0"/>
                <w:color w:val="auto"/>
                <w:sz w:val="19"/>
                <w:szCs w:val="19"/>
              </w:rPr>
              <w:t>Medical image processing</w:t>
            </w:r>
          </w:p>
        </w:tc>
        <w:tc>
          <w:tcPr>
            <w:tcW w:w="6000" w:type="dxa"/>
            <w:shd w:val="clear" w:color="auto" w:fill="F8FAFC"/>
            <w:tcMar>
              <w:top w:w="80" w:type="dxa"/>
              <w:left w:w="100" w:type="dxa"/>
              <w:bottom w:w="80" w:type="dxa"/>
              <w:right w:w="100" w:type="dxa"/>
            </w:tcMar>
            <w:vAlign w:val="center"/>
          </w:tcPr>
          <w:p w14:paraId="25E65B97">
            <w:pPr>
              <w:jc w:val="left"/>
              <w:rPr>
                <w:color w:val="auto"/>
              </w:rPr>
            </w:pPr>
            <w:r>
              <w:rPr>
                <w:rFonts w:ascii="Arial" w:hAnsi="Arial" w:eastAsia="Arial" w:cs="Arial"/>
                <w:b w:val="0"/>
                <w:bCs w:val="0"/>
                <w:color w:val="auto"/>
                <w:sz w:val="19"/>
                <w:szCs w:val="19"/>
              </w:rPr>
              <w:t>SimpleITK, nibabel</w:t>
            </w:r>
          </w:p>
        </w:tc>
      </w:tr>
      <w:tr w14:paraId="5F69F155">
        <w:tc>
          <w:tcPr>
            <w:tcW w:w="3000" w:type="dxa"/>
            <w:tcMar>
              <w:top w:w="80" w:type="dxa"/>
              <w:left w:w="100" w:type="dxa"/>
              <w:bottom w:w="80" w:type="dxa"/>
              <w:right w:w="100" w:type="dxa"/>
            </w:tcMar>
            <w:vAlign w:val="center"/>
          </w:tcPr>
          <w:p w14:paraId="32C0CCF6">
            <w:pPr>
              <w:jc w:val="left"/>
              <w:rPr>
                <w:color w:val="auto"/>
              </w:rPr>
            </w:pPr>
            <w:r>
              <w:rPr>
                <w:rFonts w:ascii="Arial" w:hAnsi="Arial" w:eastAsia="Arial" w:cs="Arial"/>
                <w:b w:val="0"/>
                <w:bCs w:val="0"/>
                <w:color w:val="auto"/>
                <w:sz w:val="19"/>
                <w:szCs w:val="19"/>
              </w:rPr>
              <w:t>Configuration</w:t>
            </w:r>
          </w:p>
        </w:tc>
        <w:tc>
          <w:tcPr>
            <w:tcW w:w="6000" w:type="dxa"/>
            <w:tcMar>
              <w:top w:w="80" w:type="dxa"/>
              <w:left w:w="100" w:type="dxa"/>
              <w:bottom w:w="80" w:type="dxa"/>
              <w:right w:w="100" w:type="dxa"/>
            </w:tcMar>
            <w:vAlign w:val="center"/>
          </w:tcPr>
          <w:p w14:paraId="2C72CFE7">
            <w:pPr>
              <w:jc w:val="left"/>
              <w:rPr>
                <w:color w:val="auto"/>
              </w:rPr>
            </w:pPr>
            <w:r>
              <w:rPr>
                <w:rFonts w:ascii="Arial" w:hAnsi="Arial" w:eastAsia="Arial" w:cs="Arial"/>
                <w:b w:val="0"/>
                <w:bCs w:val="0"/>
                <w:color w:val="auto"/>
                <w:sz w:val="19"/>
                <w:szCs w:val="19"/>
              </w:rPr>
              <w:t>PyYAML</w:t>
            </w:r>
          </w:p>
        </w:tc>
      </w:tr>
      <w:tr w14:paraId="62AFC8BA">
        <w:tc>
          <w:tcPr>
            <w:tcW w:w="3000" w:type="dxa"/>
            <w:shd w:val="clear" w:color="auto" w:fill="F8FAFC"/>
            <w:tcMar>
              <w:top w:w="80" w:type="dxa"/>
              <w:left w:w="100" w:type="dxa"/>
              <w:bottom w:w="80" w:type="dxa"/>
              <w:right w:w="100" w:type="dxa"/>
            </w:tcMar>
            <w:vAlign w:val="center"/>
          </w:tcPr>
          <w:p w14:paraId="47C865E0">
            <w:pPr>
              <w:jc w:val="left"/>
              <w:rPr>
                <w:color w:val="auto"/>
              </w:rPr>
            </w:pPr>
            <w:r>
              <w:rPr>
                <w:rFonts w:ascii="Arial" w:hAnsi="Arial" w:eastAsia="Arial" w:cs="Arial"/>
                <w:b w:val="0"/>
                <w:bCs w:val="0"/>
                <w:color w:val="auto"/>
                <w:sz w:val="19"/>
                <w:szCs w:val="19"/>
              </w:rPr>
              <w:t>Visualization</w:t>
            </w:r>
          </w:p>
        </w:tc>
        <w:tc>
          <w:tcPr>
            <w:tcW w:w="6000" w:type="dxa"/>
            <w:shd w:val="clear" w:color="auto" w:fill="F8FAFC"/>
            <w:tcMar>
              <w:top w:w="80" w:type="dxa"/>
              <w:left w:w="100" w:type="dxa"/>
              <w:bottom w:w="80" w:type="dxa"/>
              <w:right w:w="100" w:type="dxa"/>
            </w:tcMar>
            <w:vAlign w:val="center"/>
          </w:tcPr>
          <w:p w14:paraId="0086F065">
            <w:pPr>
              <w:jc w:val="left"/>
              <w:rPr>
                <w:color w:val="auto"/>
              </w:rPr>
            </w:pPr>
            <w:r>
              <w:rPr>
                <w:rFonts w:ascii="Arial" w:hAnsi="Arial" w:eastAsia="Arial" w:cs="Arial"/>
                <w:b w:val="0"/>
                <w:bCs w:val="0"/>
                <w:color w:val="auto"/>
                <w:sz w:val="19"/>
                <w:szCs w:val="19"/>
              </w:rPr>
              <w:t>matplotlib</w:t>
            </w:r>
          </w:p>
        </w:tc>
      </w:tr>
      <w:tr w14:paraId="5813B3D1">
        <w:tc>
          <w:tcPr>
            <w:tcW w:w="3000" w:type="dxa"/>
            <w:tcMar>
              <w:top w:w="80" w:type="dxa"/>
              <w:left w:w="100" w:type="dxa"/>
              <w:bottom w:w="80" w:type="dxa"/>
              <w:right w:w="100" w:type="dxa"/>
            </w:tcMar>
            <w:vAlign w:val="center"/>
          </w:tcPr>
          <w:p w14:paraId="014C559A">
            <w:pPr>
              <w:jc w:val="left"/>
              <w:rPr>
                <w:color w:val="auto"/>
              </w:rPr>
            </w:pPr>
            <w:r>
              <w:rPr>
                <w:rFonts w:ascii="Arial" w:hAnsi="Arial" w:eastAsia="Arial" w:cs="Arial"/>
                <w:b w:val="0"/>
                <w:bCs w:val="0"/>
                <w:color w:val="auto"/>
                <w:sz w:val="19"/>
                <w:szCs w:val="19"/>
              </w:rPr>
              <w:t>Progress reporting</w:t>
            </w:r>
          </w:p>
        </w:tc>
        <w:tc>
          <w:tcPr>
            <w:tcW w:w="6000" w:type="dxa"/>
            <w:tcMar>
              <w:top w:w="80" w:type="dxa"/>
              <w:left w:w="100" w:type="dxa"/>
              <w:bottom w:w="80" w:type="dxa"/>
              <w:right w:w="100" w:type="dxa"/>
            </w:tcMar>
            <w:vAlign w:val="center"/>
          </w:tcPr>
          <w:p w14:paraId="532F34B1">
            <w:pPr>
              <w:jc w:val="left"/>
              <w:rPr>
                <w:color w:val="auto"/>
              </w:rPr>
            </w:pPr>
            <w:r>
              <w:rPr>
                <w:rFonts w:ascii="Arial" w:hAnsi="Arial" w:eastAsia="Arial" w:cs="Arial"/>
                <w:b w:val="0"/>
                <w:bCs w:val="0"/>
                <w:color w:val="auto"/>
                <w:sz w:val="19"/>
                <w:szCs w:val="19"/>
              </w:rPr>
              <w:t>tqdm</w:t>
            </w:r>
          </w:p>
        </w:tc>
      </w:tr>
      <w:tr w14:paraId="13B23119">
        <w:tc>
          <w:tcPr>
            <w:tcW w:w="3000" w:type="dxa"/>
            <w:shd w:val="clear" w:color="auto" w:fill="F8FAFC"/>
            <w:tcMar>
              <w:top w:w="80" w:type="dxa"/>
              <w:left w:w="100" w:type="dxa"/>
              <w:bottom w:w="80" w:type="dxa"/>
              <w:right w:w="100" w:type="dxa"/>
            </w:tcMar>
            <w:vAlign w:val="center"/>
          </w:tcPr>
          <w:p w14:paraId="20C58A5F">
            <w:pPr>
              <w:jc w:val="left"/>
              <w:rPr>
                <w:color w:val="auto"/>
              </w:rPr>
            </w:pPr>
            <w:r>
              <w:rPr>
                <w:rFonts w:ascii="Arial" w:hAnsi="Arial" w:eastAsia="Arial" w:cs="Arial"/>
                <w:b w:val="0"/>
                <w:bCs w:val="0"/>
                <w:color w:val="auto"/>
                <w:sz w:val="19"/>
                <w:szCs w:val="19"/>
              </w:rPr>
              <w:t>Testing</w:t>
            </w:r>
          </w:p>
        </w:tc>
        <w:tc>
          <w:tcPr>
            <w:tcW w:w="6000" w:type="dxa"/>
            <w:shd w:val="clear" w:color="auto" w:fill="F8FAFC"/>
            <w:tcMar>
              <w:top w:w="80" w:type="dxa"/>
              <w:left w:w="100" w:type="dxa"/>
              <w:bottom w:w="80" w:type="dxa"/>
              <w:right w:w="100" w:type="dxa"/>
            </w:tcMar>
            <w:vAlign w:val="center"/>
          </w:tcPr>
          <w:p w14:paraId="65794DFE">
            <w:pPr>
              <w:jc w:val="left"/>
              <w:rPr>
                <w:color w:val="auto"/>
              </w:rPr>
            </w:pPr>
            <w:r>
              <w:rPr>
                <w:rFonts w:ascii="Arial" w:hAnsi="Arial" w:eastAsia="Arial" w:cs="Arial"/>
                <w:b w:val="0"/>
                <w:bCs w:val="0"/>
                <w:color w:val="auto"/>
                <w:sz w:val="19"/>
                <w:szCs w:val="19"/>
              </w:rPr>
              <w:t>pytest</w:t>
            </w:r>
          </w:p>
        </w:tc>
      </w:tr>
      <w:tr w14:paraId="53AC773C">
        <w:tc>
          <w:tcPr>
            <w:tcW w:w="3000" w:type="dxa"/>
            <w:tcMar>
              <w:top w:w="80" w:type="dxa"/>
              <w:left w:w="100" w:type="dxa"/>
              <w:bottom w:w="80" w:type="dxa"/>
              <w:right w:w="100" w:type="dxa"/>
            </w:tcMar>
            <w:vAlign w:val="center"/>
          </w:tcPr>
          <w:p w14:paraId="0A914662">
            <w:pPr>
              <w:jc w:val="left"/>
              <w:rPr>
                <w:color w:val="auto"/>
              </w:rPr>
            </w:pPr>
            <w:r>
              <w:rPr>
                <w:rFonts w:ascii="Arial" w:hAnsi="Arial" w:eastAsia="Arial" w:cs="Arial"/>
                <w:b w:val="0"/>
                <w:bCs w:val="0"/>
                <w:color w:val="auto"/>
                <w:sz w:val="19"/>
                <w:szCs w:val="19"/>
              </w:rPr>
              <w:t>Development environment</w:t>
            </w:r>
          </w:p>
        </w:tc>
        <w:tc>
          <w:tcPr>
            <w:tcW w:w="6000" w:type="dxa"/>
            <w:tcMar>
              <w:top w:w="80" w:type="dxa"/>
              <w:left w:w="100" w:type="dxa"/>
              <w:bottom w:w="80" w:type="dxa"/>
              <w:right w:w="100" w:type="dxa"/>
            </w:tcMar>
            <w:vAlign w:val="center"/>
          </w:tcPr>
          <w:p w14:paraId="7C7D3189">
            <w:pPr>
              <w:jc w:val="left"/>
              <w:rPr>
                <w:color w:val="auto"/>
              </w:rPr>
            </w:pPr>
            <w:r>
              <w:rPr>
                <w:rFonts w:ascii="Arial" w:hAnsi="Arial" w:eastAsia="Arial" w:cs="Arial"/>
                <w:b w:val="0"/>
                <w:bCs w:val="0"/>
                <w:color w:val="auto"/>
                <w:sz w:val="19"/>
                <w:szCs w:val="19"/>
              </w:rPr>
              <w:t>VS Code, Conda, Jupyter Notebook</w:t>
            </w:r>
          </w:p>
        </w:tc>
      </w:tr>
      <w:tr w14:paraId="4DCC49DC">
        <w:tc>
          <w:tcPr>
            <w:tcW w:w="3000" w:type="dxa"/>
            <w:shd w:val="clear" w:color="auto" w:fill="F8FAFC"/>
            <w:tcMar>
              <w:top w:w="80" w:type="dxa"/>
              <w:left w:w="100" w:type="dxa"/>
              <w:bottom w:w="80" w:type="dxa"/>
              <w:right w:w="100" w:type="dxa"/>
            </w:tcMar>
            <w:vAlign w:val="center"/>
          </w:tcPr>
          <w:p w14:paraId="0419F87C">
            <w:pPr>
              <w:jc w:val="left"/>
              <w:rPr>
                <w:color w:val="auto"/>
              </w:rPr>
            </w:pPr>
            <w:r>
              <w:rPr>
                <w:rFonts w:ascii="Arial" w:hAnsi="Arial" w:eastAsia="Arial" w:cs="Arial"/>
                <w:b w:val="0"/>
                <w:bCs w:val="0"/>
                <w:color w:val="auto"/>
                <w:sz w:val="19"/>
                <w:szCs w:val="19"/>
              </w:rPr>
              <w:t>Version control</w:t>
            </w:r>
          </w:p>
        </w:tc>
        <w:tc>
          <w:tcPr>
            <w:tcW w:w="6000" w:type="dxa"/>
            <w:shd w:val="clear" w:color="auto" w:fill="F8FAFC"/>
            <w:tcMar>
              <w:top w:w="80" w:type="dxa"/>
              <w:left w:w="100" w:type="dxa"/>
              <w:bottom w:w="80" w:type="dxa"/>
              <w:right w:w="100" w:type="dxa"/>
            </w:tcMar>
            <w:vAlign w:val="center"/>
          </w:tcPr>
          <w:p w14:paraId="0669F531">
            <w:pPr>
              <w:jc w:val="left"/>
              <w:rPr>
                <w:color w:val="auto"/>
              </w:rPr>
            </w:pPr>
            <w:r>
              <w:rPr>
                <w:rFonts w:ascii="Arial" w:hAnsi="Arial" w:eastAsia="Arial" w:cs="Arial"/>
                <w:b w:val="0"/>
                <w:bCs w:val="0"/>
                <w:color w:val="auto"/>
                <w:sz w:val="19"/>
                <w:szCs w:val="19"/>
              </w:rPr>
              <w:t>Git</w:t>
            </w:r>
          </w:p>
        </w:tc>
      </w:tr>
    </w:tbl>
    <w:p w14:paraId="59FA3CB2">
      <w:pPr>
        <w:spacing w:before="80" w:after="240"/>
        <w:jc w:val="center"/>
        <w:rPr>
          <w:color w:val="auto"/>
        </w:rPr>
      </w:pPr>
      <w:r>
        <w:rPr>
          <w:rFonts w:ascii="Arial" w:hAnsi="Arial" w:eastAsia="Arial" w:cs="Arial"/>
          <w:i/>
          <w:iCs/>
          <w:color w:val="auto"/>
          <w:sz w:val="19"/>
          <w:szCs w:val="19"/>
        </w:rPr>
        <w:t>Table 6.2: Core software stack.</w:t>
      </w:r>
    </w:p>
    <w:p w14:paraId="040DA486">
      <w:pPr>
        <w:spacing w:after="160" w:line="300" w:lineRule="auto"/>
        <w:jc w:val="both"/>
        <w:rPr>
          <w:color w:val="auto"/>
        </w:rPr>
      </w:pPr>
      <w:r>
        <w:rPr>
          <w:rFonts w:ascii="Arial" w:hAnsi="Arial" w:eastAsia="Arial" w:cs="Arial"/>
          <w:color w:val="auto"/>
          <w:sz w:val="22"/>
          <w:szCs w:val="22"/>
        </w:rPr>
        <w:t>Additional libraries are introduced only when they address a concrete project requirement that cannot reasonably be met with the existing stack, in order to keep the environment reproducible and dependency-light. All experiment configurations (model, training, preprocessing, pruning, and loss settings) are stored as YAML configuration files rather than hard-coded values, so that experiments remain reproducible across runs and machines.</w:t>
      </w:r>
    </w:p>
    <w:p w14:paraId="0ED104F6">
      <w:pPr>
        <w:pStyle w:val="2"/>
        <w:pBdr>
          <w:bottom w:val="single" w:color="2563EB" w:sz="8" w:space="4"/>
        </w:pBdr>
        <w:spacing w:before="360" w:after="200"/>
        <w:rPr>
          <w:color w:val="auto"/>
        </w:rPr>
      </w:pPr>
      <w:r>
        <w:rPr>
          <w:rFonts w:ascii="Arial" w:hAnsi="Arial" w:eastAsia="Arial" w:cs="Arial"/>
          <w:b/>
          <w:bCs/>
          <w:color w:val="auto"/>
          <w:sz w:val="30"/>
          <w:szCs w:val="30"/>
        </w:rPr>
        <w:t>7. Conclusion</w:t>
      </w:r>
    </w:p>
    <w:p w14:paraId="3043270E">
      <w:pPr>
        <w:spacing w:after="160" w:line="300" w:lineRule="auto"/>
        <w:jc w:val="both"/>
        <w:rPr>
          <w:color w:val="auto"/>
        </w:rPr>
      </w:pPr>
      <w:r>
        <w:rPr>
          <w:rFonts w:ascii="Arial" w:hAnsi="Arial" w:eastAsia="Arial" w:cs="Arial"/>
          <w:color w:val="auto"/>
          <w:sz w:val="22"/>
          <w:szCs w:val="22"/>
        </w:rPr>
        <w:t>This report has presented the motivation, literature context, problem statement, and proposed methodology for a 2.5D CNN</w:t>
      </w:r>
      <w:r>
        <w:rPr>
          <w:rFonts w:hint="default" w:cs="Arial"/>
          <w:color w:val="auto"/>
          <w:sz w:val="22"/>
          <w:szCs w:val="22"/>
          <w:lang w:val="en-US"/>
        </w:rPr>
        <w:t>-</w:t>
      </w:r>
      <w:r>
        <w:rPr>
          <w:rFonts w:ascii="Arial" w:hAnsi="Arial" w:eastAsia="Arial" w:cs="Arial"/>
          <w:color w:val="auto"/>
          <w:sz w:val="22"/>
          <w:szCs w:val="22"/>
        </w:rPr>
        <w:t>Transformer framework for lung nodule detection on the LUNA16 dataset, incorporating an ablation-toggleable attention mechanism, a progressive pruning strategy, and a proposed Nodule Feature Diversity (NFD) regularization term. The literature survey shows that CNN</w:t>
      </w:r>
      <w:r>
        <w:rPr>
          <w:rFonts w:hint="default" w:cs="Arial"/>
          <w:color w:val="auto"/>
          <w:sz w:val="22"/>
          <w:szCs w:val="22"/>
          <w:lang w:val="en-US"/>
        </w:rPr>
        <w:t>-</w:t>
      </w:r>
      <w:r>
        <w:rPr>
          <w:rFonts w:ascii="Arial" w:hAnsi="Arial" w:eastAsia="Arial" w:cs="Arial"/>
          <w:color w:val="auto"/>
          <w:sz w:val="22"/>
          <w:szCs w:val="22"/>
        </w:rPr>
        <w:t>Transformer hybrids, attention mechanisms, and lightweight/efficient architectures have each been investigated for lung nodule classification or detection, but that their combination with an explicit feature-diversity regularizer and a progressive compression schedule, evaluated jointly through controlled ablation on both detection performance and computational efficiency, remains comparatively underexplored — motivating the research direction adopted here.</w:t>
      </w:r>
    </w:p>
    <w:p w14:paraId="175B235C">
      <w:pPr>
        <w:spacing w:after="160" w:line="300" w:lineRule="auto"/>
        <w:jc w:val="both"/>
        <w:rPr>
          <w:color w:val="auto"/>
        </w:rPr>
      </w:pPr>
      <w:r>
        <w:rPr>
          <w:rFonts w:ascii="Arial" w:hAnsi="Arial" w:eastAsia="Arial" w:cs="Arial"/>
          <w:color w:val="auto"/>
          <w:sz w:val="22"/>
          <w:szCs w:val="22"/>
        </w:rPr>
        <w:t>The proposed framework is deliberately specified at a level that keeps its constituent components  the CNN backbone, Transformer configuration, attention variant, number of 2.5D slices, pruning schedule, and NFD formulation — as configurable research variables rather than fixed design choices. Consistent with the project's guiding research-integrity principle, no claim is made at this stage that any individual component improves detection performance or efficiency; each will be evaluated through</w:t>
      </w:r>
      <w:r>
        <w:rPr>
          <w:rFonts w:hint="default" w:cs="Arial"/>
          <w:color w:val="auto"/>
          <w:sz w:val="22"/>
          <w:szCs w:val="22"/>
          <w:lang w:val="en-US"/>
        </w:rPr>
        <w:t xml:space="preserve"> implementation</w:t>
      </w:r>
      <w:r>
        <w:rPr>
          <w:rFonts w:ascii="Arial" w:hAnsi="Arial" w:eastAsia="Arial" w:cs="Arial"/>
          <w:color w:val="auto"/>
          <w:sz w:val="22"/>
          <w:szCs w:val="22"/>
        </w:rPr>
        <w:t>, using the official LUNA16-appropriate detection metrics (FROC, CPM, sensitivity, false positives per scan) alongside standard efficiency metrics (parameters, FLOPs, memory, latency, sparsity, throughput).</w:t>
      </w:r>
    </w:p>
    <w:p w14:paraId="48A261DF">
      <w:pPr>
        <w:spacing w:after="160" w:line="300" w:lineRule="auto"/>
        <w:jc w:val="both"/>
        <w:rPr>
          <w:color w:val="auto"/>
        </w:rPr>
      </w:pPr>
      <w:r>
        <w:rPr>
          <w:rFonts w:ascii="Arial" w:hAnsi="Arial" w:eastAsia="Arial" w:cs="Arial"/>
          <w:color w:val="auto"/>
          <w:sz w:val="22"/>
          <w:szCs w:val="22"/>
        </w:rPr>
        <w:t>As with all deep</w:t>
      </w:r>
      <w:r>
        <w:rPr>
          <w:rFonts w:hint="default" w:cs="Arial"/>
          <w:color w:val="auto"/>
          <w:sz w:val="22"/>
          <w:szCs w:val="22"/>
          <w:lang w:val="en-US"/>
        </w:rPr>
        <w:t xml:space="preserve"> </w:t>
      </w:r>
      <w:r>
        <w:rPr>
          <w:rFonts w:ascii="Arial" w:hAnsi="Arial" w:eastAsia="Arial" w:cs="Arial"/>
          <w:color w:val="auto"/>
          <w:sz w:val="22"/>
          <w:szCs w:val="22"/>
        </w:rPr>
        <w:t>learning</w:t>
      </w:r>
      <w:r>
        <w:rPr>
          <w:rFonts w:hint="default" w:cs="Arial"/>
          <w:color w:val="auto"/>
          <w:sz w:val="22"/>
          <w:szCs w:val="22"/>
          <w:lang w:val="en-US"/>
        </w:rPr>
        <w:t xml:space="preserve"> </w:t>
      </w:r>
      <w:r>
        <w:rPr>
          <w:rFonts w:ascii="Arial" w:hAnsi="Arial" w:eastAsia="Arial" w:cs="Arial"/>
          <w:color w:val="auto"/>
          <w:sz w:val="22"/>
          <w:szCs w:val="22"/>
        </w:rPr>
        <w:t>based CAD research, the system described here is an academic research prototype and is not a clinically validated diagnostic device; its predictions are research outputs and are not intended to replace radiologist judgement. Future work, following the phased roadmap already defined for this project, includes completing the 2D and 2.5D baselines, integrating and evaluating the CNN–Transformer architecture and attention module, implementing and validating the progressive pruning and NFD mechanisms, and reporting the complete ablation study, efficiency analysis, and error analysis needed to support any eventual novelty or performance claim with experimental evidence.</w:t>
      </w:r>
    </w:p>
    <w:p w14:paraId="183033FD">
      <w:pPr>
        <w:pStyle w:val="2"/>
        <w:pBdr>
          <w:bottom w:val="single" w:color="2563EB" w:sz="8" w:space="4"/>
        </w:pBdr>
        <w:spacing w:before="360" w:after="200"/>
        <w:rPr>
          <w:color w:val="auto"/>
        </w:rPr>
      </w:pPr>
      <w:r>
        <w:rPr>
          <w:rFonts w:ascii="Arial" w:hAnsi="Arial" w:eastAsia="Arial" w:cs="Arial"/>
          <w:b/>
          <w:bCs/>
          <w:color w:val="auto"/>
          <w:sz w:val="30"/>
          <w:szCs w:val="30"/>
        </w:rPr>
        <w:t>8. References</w:t>
      </w:r>
    </w:p>
    <w:p w14:paraId="4B8D8719">
      <w:pPr>
        <w:spacing w:after="160" w:line="280" w:lineRule="auto"/>
        <w:ind w:left="400" w:hanging="400"/>
        <w:rPr>
          <w:color w:val="auto"/>
        </w:rPr>
      </w:pPr>
      <w:r>
        <w:rPr>
          <w:rFonts w:ascii="Arial" w:hAnsi="Arial" w:eastAsia="Arial" w:cs="Arial"/>
          <w:b/>
          <w:bCs/>
          <w:color w:val="auto"/>
          <w:sz w:val="21"/>
          <w:szCs w:val="21"/>
        </w:rPr>
        <w:t xml:space="preserve">[1] </w:t>
      </w:r>
      <w:r>
        <w:rPr>
          <w:rFonts w:ascii="Arial" w:hAnsi="Arial" w:eastAsia="Arial" w:cs="Arial"/>
          <w:color w:val="auto"/>
          <w:sz w:val="21"/>
          <w:szCs w:val="21"/>
        </w:rPr>
        <w:t>B. Ozdemir, E. Aslan, and I. Pacal, “Attention Enhanced InceptionNeXt-Based Hybrid Deep Learning Model for Lung Cancer Detection,” IEEE Access, vol. 13, pp. 27050–27063, 2025, doi: 10.1109/ACCESS.2025.3539122.</w:t>
      </w:r>
    </w:p>
    <w:p w14:paraId="129AF4F4">
      <w:pPr>
        <w:spacing w:after="160" w:line="280" w:lineRule="auto"/>
        <w:ind w:left="400" w:hanging="400"/>
        <w:rPr>
          <w:color w:val="auto"/>
        </w:rPr>
      </w:pPr>
      <w:r>
        <w:rPr>
          <w:rFonts w:ascii="Arial" w:hAnsi="Arial" w:eastAsia="Arial" w:cs="Arial"/>
          <w:b/>
          <w:bCs/>
          <w:color w:val="auto"/>
          <w:sz w:val="21"/>
          <w:szCs w:val="21"/>
        </w:rPr>
        <w:t xml:space="preserve">[2] </w:t>
      </w:r>
      <w:r>
        <w:rPr>
          <w:rFonts w:ascii="Arial" w:hAnsi="Arial" w:eastAsia="Arial" w:cs="Arial"/>
          <w:color w:val="auto"/>
          <w:sz w:val="21"/>
          <w:szCs w:val="21"/>
        </w:rPr>
        <w:t>L. Qiao and S. Chuprat, “MEAA-Net: Memory-Efficient Asymmetric Attention for Resource-Constrained Lung Nodule Classification,” IEEE Access, vol. 14, pp. 18099–18110, 2026, doi: 10.1109/ACCESS.2026.3660056.</w:t>
      </w:r>
    </w:p>
    <w:p w14:paraId="7AAEBD61">
      <w:pPr>
        <w:spacing w:after="160" w:line="280" w:lineRule="auto"/>
        <w:ind w:left="400" w:hanging="400"/>
        <w:rPr>
          <w:color w:val="auto"/>
        </w:rPr>
      </w:pPr>
      <w:r>
        <w:rPr>
          <w:rFonts w:ascii="Arial" w:hAnsi="Arial" w:eastAsia="Arial" w:cs="Arial"/>
          <w:b/>
          <w:bCs/>
          <w:color w:val="auto"/>
          <w:sz w:val="21"/>
          <w:szCs w:val="21"/>
        </w:rPr>
        <w:t xml:space="preserve">[3] </w:t>
      </w:r>
      <w:r>
        <w:rPr>
          <w:rFonts w:ascii="Arial" w:hAnsi="Arial" w:eastAsia="Arial" w:cs="Arial"/>
          <w:color w:val="auto"/>
          <w:sz w:val="21"/>
          <w:szCs w:val="21"/>
        </w:rPr>
        <w:t>X. Zhao, J. Li, M. Qi, X. Chen, W. Chen, Y. Li, Q. Liu, J. Tang, Z. Han, and C. Zhang, “MSTD: A Multi-Scale Transformer-Based Method to Diagnose Benign and Malignant Lung Nodules,” IEEE Access, vol. 13, pp. 16182–16192, 2025, doi: 10.1109/ACCESS.2025.3531001.</w:t>
      </w:r>
    </w:p>
    <w:p w14:paraId="032727FE">
      <w:pPr>
        <w:spacing w:after="160" w:line="280" w:lineRule="auto"/>
        <w:ind w:left="400" w:hanging="400"/>
        <w:rPr>
          <w:color w:val="auto"/>
        </w:rPr>
      </w:pPr>
      <w:r>
        <w:rPr>
          <w:rFonts w:ascii="Arial" w:hAnsi="Arial" w:eastAsia="Arial" w:cs="Arial"/>
          <w:b/>
          <w:bCs/>
          <w:color w:val="auto"/>
          <w:sz w:val="21"/>
          <w:szCs w:val="21"/>
        </w:rPr>
        <w:t xml:space="preserve">[4] </w:t>
      </w:r>
      <w:r>
        <w:rPr>
          <w:rFonts w:ascii="Arial" w:hAnsi="Arial" w:eastAsia="Arial" w:cs="Arial"/>
          <w:color w:val="auto"/>
          <w:sz w:val="21"/>
          <w:szCs w:val="21"/>
        </w:rPr>
        <w:t>X. Xue, Y. Ma, W. Du, and Y. Peng, “Squeeze-and-Excitation Vision Transformer for Lung Nodule Classification,” IEEE Access, vol. 13, pp. 24852–24862, 2025, doi: 10.1109/ACCESS.2025.3529127.</w:t>
      </w:r>
    </w:p>
    <w:p w14:paraId="2159D769">
      <w:pPr>
        <w:spacing w:after="160" w:line="280" w:lineRule="auto"/>
        <w:ind w:left="400" w:hanging="400"/>
        <w:rPr>
          <w:color w:val="auto"/>
        </w:rPr>
      </w:pPr>
      <w:r>
        <w:rPr>
          <w:rFonts w:ascii="Arial" w:hAnsi="Arial" w:eastAsia="Arial" w:cs="Arial"/>
          <w:b/>
          <w:bCs/>
          <w:color w:val="auto"/>
          <w:sz w:val="21"/>
          <w:szCs w:val="21"/>
        </w:rPr>
        <w:t xml:space="preserve">[5] </w:t>
      </w:r>
      <w:r>
        <w:rPr>
          <w:rFonts w:ascii="Arial" w:hAnsi="Arial" w:eastAsia="Arial" w:cs="Arial"/>
          <w:color w:val="auto"/>
          <w:sz w:val="21"/>
          <w:szCs w:val="21"/>
        </w:rPr>
        <w:t>D. Palaniappan, R. Jain, T. Premavathi, K. Parmar, W. Ghribi, A. M. Ahmed, and N. Ahmad, “YOLO in Healthcare: A Comprehensive Review of Detection Architectures, Domain Applications, and Future Innovations,” IEEE Access, vol. 13, pp. 145714–145725, 2025, doi: 10.1109/ACCESS.2025.3599358.</w:t>
      </w:r>
    </w:p>
    <w:p w14:paraId="316515E9">
      <w:pPr>
        <w:spacing w:after="160" w:line="280" w:lineRule="auto"/>
        <w:ind w:left="400" w:hanging="400"/>
        <w:rPr>
          <w:color w:val="auto"/>
        </w:rPr>
      </w:pPr>
      <w:r>
        <w:rPr>
          <w:rFonts w:ascii="Arial" w:hAnsi="Arial" w:eastAsia="Arial" w:cs="Arial"/>
          <w:b/>
          <w:bCs/>
          <w:color w:val="auto"/>
          <w:sz w:val="21"/>
          <w:szCs w:val="21"/>
        </w:rPr>
        <w:t xml:space="preserve">[6] </w:t>
      </w:r>
      <w:r>
        <w:rPr>
          <w:rFonts w:ascii="Arial" w:hAnsi="Arial" w:eastAsia="Arial" w:cs="Arial"/>
          <w:color w:val="auto"/>
          <w:sz w:val="21"/>
          <w:szCs w:val="21"/>
        </w:rPr>
        <w:t>L. Li, X. Wen, M. Li, X. Wang, X. Feng, and X. Lv, “Downsampling attention fusion network (DAFNet): a You Only Look Once network for lung nodule detection,” Quantitative Imaging in Medicine and Surgery, vol. 16, no. 7, p. 532, 2026, doi: 10.21037/qims-2026-1-0050.</w:t>
      </w:r>
    </w:p>
    <w:p w14:paraId="63A48E9A">
      <w:pPr>
        <w:spacing w:after="160" w:line="280" w:lineRule="auto"/>
        <w:ind w:left="400" w:hanging="400"/>
        <w:rPr>
          <w:color w:val="auto"/>
        </w:rPr>
      </w:pPr>
      <w:r>
        <w:rPr>
          <w:rFonts w:ascii="Arial" w:hAnsi="Arial" w:eastAsia="Arial" w:cs="Arial"/>
          <w:b/>
          <w:bCs/>
          <w:color w:val="auto"/>
          <w:sz w:val="21"/>
          <w:szCs w:val="21"/>
        </w:rPr>
        <w:t xml:space="preserve">[7] </w:t>
      </w:r>
      <w:r>
        <w:rPr>
          <w:rFonts w:ascii="Arial" w:hAnsi="Arial" w:eastAsia="Arial" w:cs="Arial"/>
          <w:color w:val="auto"/>
          <w:sz w:val="21"/>
          <w:szCs w:val="21"/>
        </w:rPr>
        <w:t>L. Ma, G. Li, X. Feng, Q. Fan, and L. Liu, “TiCNet: Transformer in Convolutional Neural Network for Pulmonary Nodule Detection on CT Images,” Journal of Imaging Informatics in Medicine, 2024, doi: 10.1007/s10278-023-00904-y.</w:t>
      </w:r>
    </w:p>
    <w:p w14:paraId="61CC6624">
      <w:pPr>
        <w:spacing w:after="160" w:line="280" w:lineRule="auto"/>
        <w:ind w:left="400" w:hanging="400"/>
        <w:rPr>
          <w:color w:val="auto"/>
        </w:rPr>
      </w:pPr>
      <w:r>
        <w:rPr>
          <w:rFonts w:ascii="Arial" w:hAnsi="Arial" w:eastAsia="Arial" w:cs="Arial"/>
          <w:b/>
          <w:bCs/>
          <w:color w:val="auto"/>
          <w:sz w:val="21"/>
          <w:szCs w:val="21"/>
        </w:rPr>
        <w:t xml:space="preserve">[8] </w:t>
      </w:r>
      <w:r>
        <w:rPr>
          <w:rFonts w:ascii="Arial" w:hAnsi="Arial" w:eastAsia="Arial" w:cs="Arial"/>
          <w:color w:val="auto"/>
          <w:sz w:val="21"/>
          <w:szCs w:val="21"/>
        </w:rPr>
        <w:t>S. Shakuri and A. Rezvanian, “An Efficient Approach to Detecting Lung Nodules Using Swin Transformer,” in Proc. 19th Iranian Conference on Intelligent Systems (ICIS), IEEE, 2024.</w:t>
      </w:r>
    </w:p>
    <w:p w14:paraId="4E04AF95">
      <w:pPr>
        <w:spacing w:after="160" w:line="280" w:lineRule="auto"/>
        <w:ind w:left="400" w:hanging="400"/>
        <w:rPr>
          <w:color w:val="auto"/>
        </w:rPr>
      </w:pPr>
      <w:r>
        <w:rPr>
          <w:rFonts w:ascii="Arial" w:hAnsi="Arial" w:eastAsia="Arial" w:cs="Arial"/>
          <w:b/>
          <w:bCs/>
          <w:color w:val="auto"/>
          <w:sz w:val="21"/>
          <w:szCs w:val="21"/>
        </w:rPr>
        <w:t xml:space="preserve">[9] </w:t>
      </w:r>
      <w:r>
        <w:rPr>
          <w:rFonts w:ascii="Arial" w:hAnsi="Arial" w:eastAsia="Arial" w:cs="Arial"/>
          <w:color w:val="auto"/>
          <w:sz w:val="21"/>
          <w:szCs w:val="21"/>
        </w:rPr>
        <w:t>A. Bardes, J. Ponce, and Y. LeCun, “VICReg: Variance-Invariance-Covariance Regularization for Self-Supervised Learning,” in Proc. International Conference on Learning Representations (ICLR), 2022.</w:t>
      </w:r>
    </w:p>
    <w:p w14:paraId="2421A350">
      <w:pPr>
        <w:spacing w:after="160" w:line="280" w:lineRule="auto"/>
        <w:ind w:left="400" w:hanging="400"/>
        <w:rPr>
          <w:color w:val="auto"/>
        </w:rPr>
      </w:pPr>
      <w:r>
        <w:rPr>
          <w:rFonts w:ascii="Arial" w:hAnsi="Arial" w:eastAsia="Arial" w:cs="Arial"/>
          <w:b/>
          <w:bCs/>
          <w:color w:val="auto"/>
          <w:sz w:val="21"/>
          <w:szCs w:val="21"/>
        </w:rPr>
        <w:t xml:space="preserve">[10] </w:t>
      </w:r>
      <w:r>
        <w:rPr>
          <w:rFonts w:ascii="Arial" w:hAnsi="Arial" w:eastAsia="Arial" w:cs="Arial"/>
          <w:color w:val="auto"/>
          <w:sz w:val="21"/>
          <w:szCs w:val="21"/>
        </w:rPr>
        <w:t>B. O. Ayinde, T. Inanc, and J. M. Zurada, “Regularizing Deep Neural Networks by Enhancing Diversity in Feature Extraction,” IEEE Transactions on Neural Networks and Learning Systems, vol. 30, no. 9, pp. 2650–2661, 2019, doi: 10.1109/TNNLS.2018.2885972.</w:t>
      </w:r>
    </w:p>
    <w:p w14:paraId="49CBC5D0">
      <w:pPr>
        <w:spacing w:after="160" w:line="280" w:lineRule="auto"/>
        <w:ind w:left="400" w:hanging="400"/>
        <w:rPr>
          <w:color w:val="auto"/>
        </w:rPr>
      </w:pPr>
      <w:r>
        <w:rPr>
          <w:rFonts w:ascii="Arial" w:hAnsi="Arial" w:eastAsia="Arial" w:cs="Arial"/>
          <w:b/>
          <w:bCs/>
          <w:color w:val="auto"/>
          <w:sz w:val="21"/>
          <w:szCs w:val="21"/>
        </w:rPr>
        <w:t xml:space="preserve">[11] </w:t>
      </w:r>
      <w:r>
        <w:rPr>
          <w:rFonts w:ascii="Arial" w:hAnsi="Arial" w:eastAsia="Arial" w:cs="Arial"/>
          <w:color w:val="auto"/>
          <w:sz w:val="21"/>
          <w:szCs w:val="21"/>
        </w:rPr>
        <w:t>A. A. A. Setio, A. Traverso, T. de Bel, M. S. N. Berens, C. van den Bogaard, P. Cerello, H. Chen, et al., “Validation, comparison, and combination of algorithms for automatic detection of pulmonary nodules in computed tomography images: The LUNA16 challenge,” Medical Image Analysis, vol. 42, pp. 1–13, 2017, doi: 10.1016/j.media.2017.06.015.</w:t>
      </w:r>
    </w:p>
    <w:sectPr>
      <w:headerReference r:id="rId3" w:type="default"/>
      <w:footerReference r:id="rId4" w:type="default"/>
      <w:pgSz w:w="11906" w:h="16838"/>
      <w:pgMar w:top="1000" w:right="1300" w:bottom="1000" w:left="13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helvetica">
    <w:panose1 w:val="00000000000000000000"/>
    <w:charset w:val="00"/>
    <w:family w:val="auto"/>
    <w:pitch w:val="default"/>
    <w:sig w:usb0="E00002FF" w:usb1="5000785B" w:usb2="00000000" w:usb3="00000000" w:csb0="2000019F" w:csb1="4F010000"/>
  </w:font>
  <w:font w:name="Apple Braille Regular">
    <w:panose1 w:val="05000000000000000000"/>
    <w:charset w:val="00"/>
    <w:family w:val="auto"/>
    <w:pitch w:val="default"/>
    <w:sig w:usb0="80000040" w:usb1="00000000" w:usb2="00040000" w:usb3="00000000" w:csb0="00000000" w:csb1="00000000"/>
  </w:font>
  <w:font w:name="Apple SD Gothic Neo Regular">
    <w:panose1 w:val="02000300000000000000"/>
    <w:charset w:val="81"/>
    <w:family w:val="auto"/>
    <w:pitch w:val="default"/>
    <w:sig w:usb0="00000203" w:usb1="21D12C10" w:usb2="00000010" w:usb3="00000000" w:csb0="00280005" w:csb1="00000000"/>
  </w:font>
  <w:font w:name="Arial Regular">
    <w:panose1 w:val="020B0704020202020204"/>
    <w:charset w:val="00"/>
    <w:family w:val="auto"/>
    <w:pitch w:val="default"/>
    <w:sig w:usb0="E0002AFF" w:usb1="C0007843" w:usb2="00000009" w:usb3="00000000" w:csb0="400001FF" w:csb1="FFFF0000"/>
  </w:font>
  <w:font w:name="Arial Hebrew Scholar Regular">
    <w:panose1 w:val="00000000000000000000"/>
    <w:charset w:val="00"/>
    <w:family w:val="auto"/>
    <w:pitch w:val="default"/>
    <w:sig w:usb0="80000843" w:usb1="40000002" w:usb2="00000000" w:usb3="00000000" w:csb0="00000001" w:csb1="00000000"/>
  </w:font>
  <w:font w:name="Arial Narrow Regular">
    <w:panose1 w:val="020B0706020202030204"/>
    <w:charset w:val="00"/>
    <w:family w:val="auto"/>
    <w:pitch w:val="default"/>
    <w:sig w:usb0="00000287" w:usb1="00000800" w:usb2="00000000" w:usb3="00000000" w:csb0="2000009F" w:csb1="DFD70000"/>
  </w:font>
  <w:font w:name="Avenir Book">
    <w:panose1 w:val="02000503020000020003"/>
    <w:charset w:val="00"/>
    <w:family w:val="auto"/>
    <w:pitch w:val="default"/>
    <w:sig w:usb0="800000AF" w:usb1="5000204A" w:usb2="00000000" w:usb3="00000000" w:csb0="0000009B" w:csb1="00000000"/>
  </w:font>
  <w:font w:name="Avenir Next Regular">
    <w:panose1 w:val="020B0803020202020204"/>
    <w:charset w:val="00"/>
    <w:family w:val="auto"/>
    <w:pitch w:val="default"/>
    <w:sig w:usb0="8000002F" w:usb1="5000204A" w:usb2="00000000" w:usb3="00000000" w:csb0="0000009B" w:csb1="00000000"/>
  </w:font>
  <w:font w:name="Arial Hebrew Regular">
    <w:panose1 w:val="00000000000000000000"/>
    <w:charset w:val="00"/>
    <w:family w:val="auto"/>
    <w:pitch w:val="default"/>
    <w:sig w:usb0="80000843" w:usb1="40000002" w:usb2="00000000" w:usb3="00000000" w:csb0="00000001" w:csb1="00000000"/>
  </w:font>
  <w:font w:name="Apple Symbols">
    <w:panose1 w:val="02000000000000000000"/>
    <w:charset w:val="00"/>
    <w:family w:val="auto"/>
    <w:pitch w:val="default"/>
    <w:sig w:usb0="800000A3" w:usb1="08007BEB" w:usb2="01840034" w:usb3="0000A268" w:csb0="200001FB" w:csb1="DDFF0000"/>
  </w:font>
  <w:font w:name="DejaVu Math TeX Gyre">
    <w:panose1 w:val="02000503000000000000"/>
    <w:charset w:val="00"/>
    <w:family w:val="auto"/>
    <w:pitch w:val="default"/>
    <w:sig w:usb0="A10000EF" w:usb1="4201F9EE" w:usb2="02000000" w:usb3="00000000" w:csb0="60000193" w:csb1="0DD40000"/>
  </w:font>
  <w:font w:name="Arial">
    <w:panose1 w:val="020B0704020202020204"/>
    <w:charset w:val="00"/>
    <w:family w:val="auto"/>
    <w:pitch w:val="default"/>
    <w:sig w:usb0="E0002AFF" w:usb1="C0007843" w:usb2="00000009" w:usb3="00000000" w:csb0="400001FF" w:csb1="FFFF0000"/>
  </w:font>
  <w:font w:name="monospace">
    <w:altName w:val="苹方-简"/>
    <w:panose1 w:val="00000000000000000000"/>
    <w:charset w:val="00"/>
    <w:family w:val="auto"/>
    <w:pitch w:val="default"/>
    <w:sig w:usb0="00000000" w:usb1="00000000" w:usb2="00000000" w:usb3="00000000" w:csb0="00000000" w:csb1="00000000"/>
  </w:font>
  <w:font w:name="苹方-简">
    <w:altName w:val="Times New Roman"/>
    <w:panose1 w:val="00000000000000000000"/>
    <w:charset w:val="00"/>
    <w:family w:val="auto"/>
    <w:pitch w:val="default"/>
    <w:sig w:usb0="E00002FF" w:usb1="5000785B" w:usb2="00000000" w:usb3="00000000" w:csb0="2000019F" w:csb1="4F010000"/>
  </w:font>
  <w:font w:name="Cambria Math">
    <w:altName w:val="Kingsoft Math"/>
    <w:panose1 w:val="00000000000000000000"/>
    <w:charset w:val="00"/>
    <w:family w:val="auto"/>
    <w:pitch w:val="default"/>
    <w:sig w:usb0="00000000" w:usb1="00000000" w:usb2="00000000" w:usb3="00000000" w:csb0="00000000" w:csb1="00000000"/>
  </w:font>
  <w:font w:name="MS Mincho">
    <w:altName w:val="Hiragino Sans"/>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Hiragino Sans">
    <w:panose1 w:val="020B0700000000000000"/>
    <w:charset w:val="80"/>
    <w:family w:val="auto"/>
    <w:pitch w:val="default"/>
    <w:sig w:usb0="800002CF" w:usb1="6AC7FCFC"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E4A51">
    <w:pPr>
      <w:jc w:val="center"/>
    </w:pPr>
    <w:r>
      <w:rPr>
        <w:rFonts w:ascii="Arial" w:hAnsi="Arial" w:eastAsia="Arial" w:cs="Arial"/>
        <w:color w:val="64748B"/>
        <w:sz w:val="16"/>
        <w:szCs w:val="16"/>
      </w:rPr>
      <w:t xml:space="preserve">Page </w:t>
    </w:r>
    <w:r>
      <w:rPr>
        <w:rFonts w:ascii="Arial" w:hAnsi="Arial" w:eastAsia="Arial" w:cs="Arial"/>
        <w:color w:val="64748B"/>
        <w:sz w:val="16"/>
        <w:szCs w:val="16"/>
      </w:rPr>
      <w:fldChar w:fldCharType="begin"/>
    </w:r>
    <w:r>
      <w:rPr>
        <w:rFonts w:ascii="Arial" w:hAnsi="Arial" w:eastAsia="Arial" w:cs="Arial"/>
        <w:color w:val="64748B"/>
        <w:sz w:val="16"/>
        <w:szCs w:val="16"/>
      </w:rPr>
      <w:instrText xml:space="preserve">PAGE</w:instrText>
    </w:r>
    <w:r>
      <w:rPr>
        <w:rFonts w:ascii="Arial" w:hAnsi="Arial" w:eastAsia="Arial" w:cs="Arial"/>
        <w:color w:val="64748B"/>
        <w:sz w:val="16"/>
        <w:szCs w:val="16"/>
      </w:rPr>
      <w:fldChar w:fldCharType="separate"/>
    </w:r>
    <w:r>
      <w:rPr>
        <w:rFonts w:ascii="Arial" w:hAnsi="Arial" w:eastAsia="Arial" w:cs="Arial"/>
        <w:color w:val="64748B"/>
        <w:sz w:val="16"/>
        <w:szCs w:val="16"/>
      </w:rPr>
      <w:fldChar w:fldCharType="end"/>
    </w:r>
    <w:r>
      <w:rPr>
        <w:rFonts w:ascii="Arial" w:hAnsi="Arial" w:eastAsia="Arial" w:cs="Arial"/>
        <w:color w:val="64748B"/>
        <w:sz w:val="16"/>
        <w:szCs w:val="16"/>
      </w:rPr>
      <w:t xml:space="preserve"> of </w:t>
    </w:r>
    <w:r>
      <w:rPr>
        <w:rFonts w:ascii="Arial" w:hAnsi="Arial" w:eastAsia="Arial" w:cs="Arial"/>
        <w:color w:val="64748B"/>
        <w:sz w:val="16"/>
        <w:szCs w:val="16"/>
      </w:rPr>
      <w:fldChar w:fldCharType="begin"/>
    </w:r>
    <w:r>
      <w:rPr>
        <w:rFonts w:ascii="Arial" w:hAnsi="Arial" w:eastAsia="Arial" w:cs="Arial"/>
        <w:color w:val="64748B"/>
        <w:sz w:val="16"/>
        <w:szCs w:val="16"/>
      </w:rPr>
      <w:instrText xml:space="preserve">NUMPAGES</w:instrText>
    </w:r>
    <w:r>
      <w:rPr>
        <w:rFonts w:ascii="Arial" w:hAnsi="Arial" w:eastAsia="Arial" w:cs="Arial"/>
        <w:color w:val="64748B"/>
        <w:sz w:val="16"/>
        <w:szCs w:val="16"/>
      </w:rPr>
      <w:fldChar w:fldCharType="separate"/>
    </w:r>
    <w:r>
      <w:rPr>
        <w:rFonts w:ascii="Arial" w:hAnsi="Arial" w:eastAsia="Arial" w:cs="Arial"/>
        <w:color w:val="64748B"/>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475D9">
    <w:pPr>
      <w:pBdr>
        <w:bottom w:val="single" w:color="E2E8F0" w:sz="4" w:space="4"/>
      </w:pBdr>
      <w:jc w:val="right"/>
    </w:pPr>
    <w:r>
      <w:rPr>
        <w:rFonts w:ascii="Arial" w:hAnsi="Arial" w:eastAsia="Arial" w:cs="Arial"/>
        <w:i/>
        <w:iCs/>
        <w:color w:val="64748B"/>
        <w:sz w:val="16"/>
        <w:szCs w:val="16"/>
      </w:rPr>
      <w:t>A 2.5D CNN–Transformer Framework for Lung Nodule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E3E3FA"/>
    <w:multiLevelType w:val="multilevel"/>
    <w:tmpl w:val="3FE3E3FA"/>
    <w:lvl w:ilvl="0" w:tentative="0">
      <w:start w:val="1"/>
      <w:numFmt w:val="bullet"/>
      <w:lvlText w:val="•"/>
      <w:lvlJc w:val="left"/>
      <w:pPr>
        <w:ind w:left="460" w:hanging="260"/>
      </w:pPr>
    </w:lvl>
    <w:lvl w:ilvl="1" w:tentative="0">
      <w:start w:val="1"/>
      <w:numFmt w:val="bullet"/>
      <w:lvlText w:val="◦"/>
      <w:lvlJc w:val="left"/>
      <w:pPr>
        <w:ind w:left="8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6CB3D805"/>
    <w:rsid w:val="FCFE104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E293B"/>
      <w:sz w:val="22"/>
      <w:szCs w:val="22"/>
    </w:rPr>
  </w:style>
  <w:style w:type="paragraph" w:styleId="2">
    <w:name w:val="heading 1"/>
    <w:next w:val="1"/>
    <w:qFormat/>
    <w:uiPriority w:val="0"/>
    <w:pPr>
      <w:spacing w:before="360" w:after="200"/>
    </w:pPr>
    <w:rPr>
      <w:rFonts w:ascii="Arial" w:hAnsi="Arial" w:eastAsia="Arial" w:cs="Arial"/>
      <w:b/>
      <w:bCs/>
      <w:color w:val="2563EB"/>
      <w:sz w:val="30"/>
      <w:szCs w:val="30"/>
    </w:rPr>
  </w:style>
  <w:style w:type="paragraph" w:styleId="3">
    <w:name w:val="heading 2"/>
    <w:next w:val="1"/>
    <w:qFormat/>
    <w:uiPriority w:val="0"/>
    <w:pPr>
      <w:spacing w:before="260" w:after="140"/>
    </w:pPr>
    <w:rPr>
      <w:rFonts w:ascii="Arial" w:hAnsi="Arial" w:eastAsia="Arial" w:cs="Arial"/>
      <w:b/>
      <w:bCs/>
      <w:color w:val="0F766E"/>
      <w:sz w:val="25"/>
      <w:szCs w:val="25"/>
    </w:rPr>
  </w:style>
  <w:style w:type="paragraph" w:styleId="4">
    <w:name w:val="heading 3"/>
    <w:next w:val="1"/>
    <w:qFormat/>
    <w:uiPriority w:val="0"/>
    <w:pPr>
      <w:spacing w:before="180" w:after="100"/>
    </w:pPr>
    <w:rPr>
      <w:rFonts w:ascii="Arial" w:hAnsi="Arial" w:eastAsia="Arial" w:cs="Arial"/>
      <w:b/>
      <w:bCs/>
      <w:color w:val="1E293B"/>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0"/>
    <w:semiHidden/>
    <w:unhideWhenUsed/>
    <w:uiPriority w:val="99"/>
    <w:pPr>
      <w:spacing w:after="0" w:line="240" w:lineRule="auto"/>
    </w:pPr>
    <w:rPr>
      <w:rFonts w:ascii="Arial" w:hAnsi="Arial" w:eastAsia="Arial" w:cs="Arial"/>
      <w:color w:val="1E293B"/>
      <w:sz w:val="20"/>
      <w:szCs w:val="20"/>
    </w:rPr>
  </w:style>
  <w:style w:type="character" w:styleId="12">
    <w:name w:val="footnote reference"/>
    <w:semiHidden/>
    <w:unhideWhenUsed/>
    <w:uiPriority w:val="99"/>
    <w:rPr>
      <w:vertAlign w:val="superscript"/>
    </w:rPr>
  </w:style>
  <w:style w:type="paragraph" w:styleId="13">
    <w:name w:val="footnote text"/>
    <w:link w:val="19"/>
    <w:semiHidden/>
    <w:unhideWhenUsed/>
    <w:uiPriority w:val="99"/>
    <w:pPr>
      <w:spacing w:after="0" w:line="240" w:lineRule="auto"/>
    </w:pPr>
    <w:rPr>
      <w:rFonts w:ascii="Arial" w:hAnsi="Arial" w:eastAsia="Arial" w:cs="Arial"/>
      <w:color w:val="1E293B"/>
      <w:sz w:val="20"/>
      <w:szCs w:val="20"/>
    </w:rPr>
  </w:style>
  <w:style w:type="character" w:styleId="14">
    <w:name w:val="Hyperlink"/>
    <w:unhideWhenUsed/>
    <w:uiPriority w:val="99"/>
    <w:rPr>
      <w:color w:val="0563C1"/>
      <w:u w:val="single"/>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character" w:styleId="16">
    <w:name w:val="Strong"/>
    <w:basedOn w:val="8"/>
    <w:qFormat/>
    <w:uiPriority w:val="0"/>
    <w:rPr>
      <w:b/>
      <w:bCs/>
    </w:rPr>
  </w:style>
  <w:style w:type="paragraph" w:styleId="17">
    <w:name w:val="Title"/>
    <w:qFormat/>
    <w:uiPriority w:val="0"/>
    <w:rPr>
      <w:rFonts w:ascii="Arial" w:hAnsi="Arial" w:eastAsia="Arial" w:cs="Arial"/>
      <w:color w:val="1E293B"/>
      <w:sz w:val="56"/>
      <w:szCs w:val="56"/>
    </w:rPr>
  </w:style>
  <w:style w:type="paragraph" w:styleId="18">
    <w:name w:val="List Paragraph"/>
    <w:qFormat/>
    <w:uiPriority w:val="0"/>
    <w:rPr>
      <w:rFonts w:ascii="Arial" w:hAnsi="Arial" w:eastAsia="Arial" w:cs="Arial"/>
      <w:color w:val="1E293B"/>
      <w:sz w:val="22"/>
      <w:szCs w:val="22"/>
    </w:rPr>
  </w:style>
  <w:style w:type="character" w:customStyle="1" w:styleId="19">
    <w:name w:val="Footnote Text Char"/>
    <w:link w:val="13"/>
    <w:semiHidden/>
    <w:unhideWhenUsed/>
    <w:uiPriority w:val="99"/>
    <w:rPr>
      <w:sz w:val="20"/>
      <w:szCs w:val="20"/>
    </w:rPr>
  </w:style>
  <w:style w:type="character" w:customStyle="1" w:styleId="20">
    <w:name w:val="Endnote Text Char"/>
    <w:link w:val="11"/>
    <w:semiHidden/>
    <w:unhideWhenUsed/>
    <w:uiPriority w:val="99"/>
    <w:rPr>
      <w:sz w:val="20"/>
      <w:szCs w:val="20"/>
    </w:rPr>
  </w:style>
  <w:style w:type="paragraph" w:customStyle="1" w:styleId="21">
    <w:name w:val="p1"/>
    <w:uiPriority w:val="0"/>
    <w:pPr>
      <w:spacing w:before="0" w:beforeAutospacing="0" w:after="0" w:afterAutospacing="0"/>
      <w:ind w:left="0" w:right="0"/>
      <w:jc w:val="left"/>
    </w:pPr>
    <w:rPr>
      <w:rFonts w:ascii="helvetica" w:hAnsi="helvetica" w:eastAsia="helvetica" w:cs="helvetica"/>
      <w:kern w:val="0"/>
      <w:sz w:val="18"/>
      <w:szCs w:val="18"/>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378</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Kumar</cp:lastModifiedBy>
  <dcterms:modified xsi:type="dcterms:W3CDTF">2026-09-27T12:27:45Z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BBD43586380CCA3CF679B76A874FC022_42</vt:lpwstr>
  </property>
</Properties>
</file>