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2D64"/>
          <w:sz w:val="40"/>
        </w:rPr>
        <w:t>Strategic Partner Briefing: Acme FinTech Enterprise Platform</w:t>
      </w:r>
    </w:p>
    <w:p>
      <w:r>
        <w:rPr>
          <w:i/>
          <w:color w:val="646464"/>
          <w:sz w:val="24"/>
        </w:rPr>
        <w:t>Confidential Institutional Partnership Proposal - Fiscal 2026</w:t>
      </w:r>
    </w:p>
    <w:p>
      <w:pPr>
        <w:pStyle w:val="Heading1"/>
      </w:pPr>
      <w:r>
        <w:t>1. Executive Architecture Overview</w:t>
      </w:r>
    </w:p>
    <w:p>
      <w:pPr/>
      <w:r>
        <w:t>Acme FinTech provides mission-critical liquidity infrastructure engineered for Tier-1 investment banks and liquidity providers. The platform enforces strict zero-trust role-based access control with Argon2id password hashing and cryptographic audit ledger verification.</w:t>
      </w:r>
    </w:p>
    <w:p>
      <w:pPr>
        <w:pStyle w:val="Heading1"/>
      </w:pPr>
      <w:r>
        <w:t>2. Production Telemetry &amp; SLA Benchmarks</w:t>
      </w:r>
    </w:p>
    <w:p>
      <w:r>
        <w:t>Our telemetry logging infrastructure captures end-to-end distributed execution metrics across all active gateways.</w:t>
      </w:r>
    </w:p>
    <w:p>
      <w:r>
        <w:t>Acme FinTech API responses maintain a 99th percentile processing time of 350 milliseconds for cached endpoints.</w:t>
      </w:r>
    </w:p>
    <w:p>
      <w:pPr>
        <w:pStyle w:val="Heading2"/>
      </w:pPr>
      <w:r>
        <w:t>3. Performance Matrix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Metric Identifier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Specification Target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Audit Verification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P99 Latency (Cached)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350 milliseconds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Internal Engineering Telemetry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Encryption Standard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AES-256 GCM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SOC 2 Type II Annex 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Multi-Currency Clearing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USD, EUR, GBP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 Settlement Specification</w:t>
            </w:r>
          </w:p>
        </w:tc>
      </w:tr>
    </w:tbl>
    <w:p/>
    <w:p>
      <w:r>
        <w:t>Capital at risk. Past performance is not indicative of future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