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StockWise — Frontend Visual Design System</w:t>
      </w:r>
    </w:p>
    <w:p>
      <w:pPr>
        <w:jc w:val="center"/>
      </w:pPr>
      <w:r>
        <w:rPr>
          <w:i/>
        </w:rPr>
        <w:t>Black + Pure White • Detailed Colour Palette • UI/UX &amp; Motion Guidelines</w:t>
      </w:r>
    </w:p>
    <w:p>
      <w:r>
        <w:rPr>
          <w:b w:val="0"/>
        </w:rPr>
        <w:t>Purpose: This document extends the existing frontend specification with a precise visual language for every module. The product should feel premium, calm, trustworthy and operationally focused. The primary brand direction is black on a pure-white foundation, with restrained semantic colours for risk and status.</w:t>
      </w:r>
    </w:p>
    <w:p>
      <w:pPr>
        <w:pStyle w:val="Heading1"/>
      </w:pPr>
      <w:r>
        <w:t>1. Core Visual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Rule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t>Primary brand</w:t>
            </w:r>
          </w:p>
        </w:tc>
        <w:tc>
          <w:tcPr>
            <w:tcW w:type="dxa" w:w="5184"/>
            <w:vAlign w:val="center"/>
          </w:tcPr>
          <w:p>
            <w:r>
              <w:t>Black / near-black; replace the previous blue primary treatment.</w:t>
            </w:r>
          </w:p>
        </w:tc>
      </w:tr>
      <w:tr>
        <w:tc>
          <w:tcPr>
            <w:tcW w:type="dxa" w:w="5184"/>
            <w:vAlign w:val="center"/>
          </w:tcPr>
          <w:p>
            <w:r>
              <w:t>Main background</w:t>
            </w:r>
          </w:p>
        </w:tc>
        <w:tc>
          <w:tcPr>
            <w:tcW w:type="dxa" w:w="5184"/>
            <w:vAlign w:val="center"/>
          </w:tcPr>
          <w:p>
            <w:r>
              <w:t>Pure white #FFFFFF.</w:t>
            </w:r>
          </w:p>
        </w:tc>
      </w:tr>
      <w:tr>
        <w:tc>
          <w:tcPr>
            <w:tcW w:type="dxa" w:w="5184"/>
            <w:vAlign w:val="center"/>
          </w:tcPr>
          <w:p>
            <w:r>
              <w:t>Surface hierarchy</w:t>
            </w:r>
          </w:p>
        </w:tc>
        <w:tc>
          <w:tcPr>
            <w:tcW w:type="dxa" w:w="5184"/>
            <w:vAlign w:val="center"/>
          </w:tcPr>
          <w:p>
            <w:r>
              <w:t>White cards on white page using borders, spacing and very subtle shadows.</w:t>
            </w:r>
          </w:p>
        </w:tc>
      </w:tr>
      <w:tr>
        <w:tc>
          <w:tcPr>
            <w:tcW w:type="dxa" w:w="5184"/>
            <w:vAlign w:val="center"/>
          </w:tcPr>
          <w:p>
            <w:r>
              <w:t>Visual mood</w:t>
            </w:r>
          </w:p>
        </w:tc>
        <w:tc>
          <w:tcPr>
            <w:tcW w:type="dxa" w:w="5184"/>
            <w:vAlign w:val="center"/>
          </w:tcPr>
          <w:p>
            <w:r>
              <w:t>Premium, minimal, financial, trustworthy, modern retail SaaS.</w:t>
            </w:r>
          </w:p>
        </w:tc>
      </w:tr>
      <w:tr>
        <w:tc>
          <w:tcPr>
            <w:tcW w:type="dxa" w:w="5184"/>
            <w:vAlign w:val="center"/>
          </w:tcPr>
          <w:p>
            <w:r>
              <w:t>Accent usage</w:t>
            </w:r>
          </w:p>
        </w:tc>
        <w:tc>
          <w:tcPr>
            <w:tcW w:type="dxa" w:w="5184"/>
            <w:vAlign w:val="center"/>
          </w:tcPr>
          <w:p>
            <w:r>
              <w:t>Use colour mainly to communicate meaning: risk, success, warning, AI, freshness.</w:t>
            </w:r>
          </w:p>
        </w:tc>
      </w:tr>
      <w:tr>
        <w:tc>
          <w:tcPr>
            <w:tcW w:type="dxa" w:w="5184"/>
            <w:vAlign w:val="center"/>
          </w:tcPr>
          <w:p>
            <w:r>
              <w:t>Density</w:t>
            </w:r>
          </w:p>
        </w:tc>
        <w:tc>
          <w:tcPr>
            <w:tcW w:type="dxa" w:w="5184"/>
            <w:vAlign w:val="center"/>
          </w:tcPr>
          <w:p>
            <w:r>
              <w:t>Information-rich but not visually crowded. Prioritize actions over analytics.</w:t>
            </w:r>
          </w:p>
        </w:tc>
      </w:tr>
      <w:tr>
        <w:tc>
          <w:tcPr>
            <w:tcW w:type="dxa" w:w="5184"/>
            <w:vAlign w:val="center"/>
          </w:tcPr>
          <w:p>
            <w:r>
              <w:t>Corner radius</w:t>
            </w:r>
          </w:p>
        </w:tc>
        <w:tc>
          <w:tcPr>
            <w:tcW w:type="dxa" w:w="5184"/>
            <w:vAlign w:val="center"/>
          </w:tcPr>
          <w:p>
            <w:r>
              <w:t>10–14px cards; 8–10px controls; 6–8px compact elements.</w:t>
            </w:r>
          </w:p>
        </w:tc>
      </w:tr>
      <w:tr>
        <w:tc>
          <w:tcPr>
            <w:tcW w:type="dxa" w:w="5184"/>
            <w:vAlign w:val="center"/>
          </w:tcPr>
          <w:p>
            <w:r>
              <w:t>Borders</w:t>
            </w:r>
          </w:p>
        </w:tc>
        <w:tc>
          <w:tcPr>
            <w:tcW w:type="dxa" w:w="5184"/>
            <w:vAlign w:val="center"/>
          </w:tcPr>
          <w:p>
            <w:r>
              <w:t>1px neutral borders; avoid heavy outlines.</w:t>
            </w:r>
          </w:p>
        </w:tc>
      </w:tr>
      <w:tr>
        <w:tc>
          <w:tcPr>
            <w:tcW w:type="dxa" w:w="5184"/>
            <w:vAlign w:val="center"/>
          </w:tcPr>
          <w:p>
            <w:r>
              <w:t>Shadow</w:t>
            </w:r>
          </w:p>
        </w:tc>
        <w:tc>
          <w:tcPr>
            <w:tcW w:type="dxa" w:w="5184"/>
            <w:vAlign w:val="center"/>
          </w:tcPr>
          <w:p>
            <w:r>
              <w:t>Very subtle; primarily for floating/interactive surfaces.</w:t>
            </w:r>
          </w:p>
        </w:tc>
      </w:tr>
    </w:tbl>
    <w:p>
      <w:pPr>
        <w:pStyle w:val="Heading1"/>
      </w:pPr>
      <w:r>
        <w:t>2. Global Colour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Hex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3456"/>
            <w:vAlign w:val="center"/>
          </w:tcPr>
          <w:p>
            <w:r>
              <w:t>Black / Primary</w:t>
            </w:r>
          </w:p>
        </w:tc>
        <w:tc>
          <w:tcPr>
            <w:tcW w:type="dxa" w:w="3456"/>
            <w:vAlign w:val="center"/>
          </w:tcPr>
          <w:p>
            <w:r>
              <w:t>#000000</w:t>
            </w:r>
          </w:p>
        </w:tc>
        <w:tc>
          <w:tcPr>
            <w:tcW w:type="dxa" w:w="3456"/>
            <w:vAlign w:val="center"/>
          </w:tcPr>
          <w:p>
            <w:r>
              <w:t>Brand, primary CTA, active navigation, key numbers</w:t>
            </w:r>
          </w:p>
        </w:tc>
      </w:tr>
      <w:tr>
        <w:tc>
          <w:tcPr>
            <w:tcW w:type="dxa" w:w="3456"/>
            <w:vAlign w:val="center"/>
          </w:tcPr>
          <w:p>
            <w:r>
              <w:t>Ink</w:t>
            </w:r>
          </w:p>
        </w:tc>
        <w:tc>
          <w:tcPr>
            <w:tcW w:type="dxa" w:w="3456"/>
            <w:vAlign w:val="center"/>
          </w:tcPr>
          <w:p>
            <w:r>
              <w:t>#111111</w:t>
            </w:r>
          </w:p>
        </w:tc>
        <w:tc>
          <w:tcPr>
            <w:tcW w:type="dxa" w:w="3456"/>
            <w:vAlign w:val="center"/>
          </w:tcPr>
          <w:p>
            <w:r>
              <w:t>Main headings and high-emphasis text</w:t>
            </w:r>
          </w:p>
        </w:tc>
      </w:tr>
      <w:tr>
        <w:tc>
          <w:tcPr>
            <w:tcW w:type="dxa" w:w="3456"/>
            <w:vAlign w:val="center"/>
          </w:tcPr>
          <w:p>
            <w:r>
              <w:t>Text</w:t>
            </w:r>
          </w:p>
        </w:tc>
        <w:tc>
          <w:tcPr>
            <w:tcW w:type="dxa" w:w="3456"/>
            <w:vAlign w:val="center"/>
          </w:tcPr>
          <w:p>
            <w:r>
              <w:t>#1F1F1F</w:t>
            </w:r>
          </w:p>
        </w:tc>
        <w:tc>
          <w:tcPr>
            <w:tcW w:type="dxa" w:w="3456"/>
            <w:vAlign w:val="center"/>
          </w:tcPr>
          <w:p>
            <w:r>
              <w:t>Body text</w:t>
            </w:r>
          </w:p>
        </w:tc>
      </w:tr>
      <w:tr>
        <w:tc>
          <w:tcPr>
            <w:tcW w:type="dxa" w:w="3456"/>
            <w:vAlign w:val="center"/>
          </w:tcPr>
          <w:p>
            <w:r>
              <w:t>Secondary Text</w:t>
            </w:r>
          </w:p>
        </w:tc>
        <w:tc>
          <w:tcPr>
            <w:tcW w:type="dxa" w:w="3456"/>
            <w:vAlign w:val="center"/>
          </w:tcPr>
          <w:p>
            <w:r>
              <w:t>#6B7280</w:t>
            </w:r>
          </w:p>
        </w:tc>
        <w:tc>
          <w:tcPr>
            <w:tcW w:type="dxa" w:w="3456"/>
            <w:vAlign w:val="center"/>
          </w:tcPr>
          <w:p>
            <w:r>
              <w:t>Supporting information</w:t>
            </w:r>
          </w:p>
        </w:tc>
      </w:tr>
      <w:tr>
        <w:tc>
          <w:tcPr>
            <w:tcW w:type="dxa" w:w="3456"/>
            <w:vAlign w:val="center"/>
          </w:tcPr>
          <w:p>
            <w:r>
              <w:t>Muted Text</w:t>
            </w:r>
          </w:p>
        </w:tc>
        <w:tc>
          <w:tcPr>
            <w:tcW w:type="dxa" w:w="3456"/>
            <w:vAlign w:val="center"/>
          </w:tcPr>
          <w:p>
            <w:r>
              <w:t>#9CA3AF</w:t>
            </w:r>
          </w:p>
        </w:tc>
        <w:tc>
          <w:tcPr>
            <w:tcW w:type="dxa" w:w="3456"/>
            <w:vAlign w:val="center"/>
          </w:tcPr>
          <w:p>
            <w:r>
              <w:t>Timestamps, placeholders, low-priority metadata</w:t>
            </w:r>
          </w:p>
        </w:tc>
      </w:tr>
      <w:tr>
        <w:tc>
          <w:tcPr>
            <w:tcW w:type="dxa" w:w="3456"/>
            <w:vAlign w:val="center"/>
          </w:tcPr>
          <w:p>
            <w:r>
              <w:t>Pure White</w:t>
            </w:r>
          </w:p>
        </w:tc>
        <w:tc>
          <w:tcPr>
            <w:tcW w:type="dxa" w:w="3456"/>
            <w:vAlign w:val="center"/>
          </w:tcPr>
          <w:p>
            <w:r>
              <w:t>#FFFFFF</w:t>
            </w:r>
          </w:p>
        </w:tc>
        <w:tc>
          <w:tcPr>
            <w:tcW w:type="dxa" w:w="3456"/>
            <w:vAlign w:val="center"/>
          </w:tcPr>
          <w:p>
            <w:r>
              <w:t>App background, cards, modal surfaces</w:t>
            </w:r>
          </w:p>
        </w:tc>
      </w:tr>
      <w:tr>
        <w:tc>
          <w:tcPr>
            <w:tcW w:type="dxa" w:w="3456"/>
            <w:vAlign w:val="center"/>
          </w:tcPr>
          <w:p>
            <w:r>
              <w:t>Surface Soft</w:t>
            </w:r>
          </w:p>
        </w:tc>
        <w:tc>
          <w:tcPr>
            <w:tcW w:type="dxa" w:w="3456"/>
            <w:vAlign w:val="center"/>
          </w:tcPr>
          <w:p>
            <w:r>
              <w:t>#FAFAFA</w:t>
            </w:r>
          </w:p>
        </w:tc>
        <w:tc>
          <w:tcPr>
            <w:tcW w:type="dxa" w:w="3456"/>
            <w:vAlign w:val="center"/>
          </w:tcPr>
          <w:p>
            <w:r>
              <w:t>Hover/selected backgrounds</w:t>
            </w:r>
          </w:p>
        </w:tc>
      </w:tr>
      <w:tr>
        <w:tc>
          <w:tcPr>
            <w:tcW w:type="dxa" w:w="3456"/>
            <w:vAlign w:val="center"/>
          </w:tcPr>
          <w:p>
            <w:r>
              <w:t>Border</w:t>
            </w:r>
          </w:p>
        </w:tc>
        <w:tc>
          <w:tcPr>
            <w:tcW w:type="dxa" w:w="3456"/>
            <w:vAlign w:val="center"/>
          </w:tcPr>
          <w:p>
            <w:r>
              <w:t>#E5E7EB</w:t>
            </w:r>
          </w:p>
        </w:tc>
        <w:tc>
          <w:tcPr>
            <w:tcW w:type="dxa" w:w="3456"/>
            <w:vAlign w:val="center"/>
          </w:tcPr>
          <w:p>
            <w:r>
              <w:t>Card/input/table borders</w:t>
            </w:r>
          </w:p>
        </w:tc>
      </w:tr>
      <w:tr>
        <w:tc>
          <w:tcPr>
            <w:tcW w:type="dxa" w:w="3456"/>
            <w:vAlign w:val="center"/>
          </w:tcPr>
          <w:p>
            <w:r>
              <w:t>Border Strong</w:t>
            </w:r>
          </w:p>
        </w:tc>
        <w:tc>
          <w:tcPr>
            <w:tcW w:type="dxa" w:w="3456"/>
            <w:vAlign w:val="center"/>
          </w:tcPr>
          <w:p>
            <w:r>
              <w:t>#D1D5DB</w:t>
            </w:r>
          </w:p>
        </w:tc>
        <w:tc>
          <w:tcPr>
            <w:tcW w:type="dxa" w:w="3456"/>
            <w:vAlign w:val="center"/>
          </w:tcPr>
          <w:p>
            <w:r>
              <w:t>Focused/emphasized boundaries</w:t>
            </w:r>
          </w:p>
        </w:tc>
      </w:tr>
      <w:tr>
        <w:tc>
          <w:tcPr>
            <w:tcW w:type="dxa" w:w="3456"/>
            <w:vAlign w:val="center"/>
          </w:tcPr>
          <w:p>
            <w:r>
              <w:t>Success</w:t>
            </w:r>
          </w:p>
        </w:tc>
        <w:tc>
          <w:tcPr>
            <w:tcW w:type="dxa" w:w="3456"/>
            <w:vAlign w:val="center"/>
          </w:tcPr>
          <w:p>
            <w:r>
              <w:t>#16A34A</w:t>
            </w:r>
          </w:p>
        </w:tc>
        <w:tc>
          <w:tcPr>
            <w:tcW w:type="dxa" w:w="3456"/>
            <w:vAlign w:val="center"/>
          </w:tcPr>
          <w:p>
            <w:r>
              <w:t>Healthy stock, positive change, completed action</w:t>
            </w:r>
          </w:p>
        </w:tc>
      </w:tr>
      <w:tr>
        <w:tc>
          <w:tcPr>
            <w:tcW w:type="dxa" w:w="3456"/>
            <w:vAlign w:val="center"/>
          </w:tcPr>
          <w:p>
            <w:r>
              <w:t>Success Soft</w:t>
            </w:r>
          </w:p>
        </w:tc>
        <w:tc>
          <w:tcPr>
            <w:tcW w:type="dxa" w:w="3456"/>
            <w:vAlign w:val="center"/>
          </w:tcPr>
          <w:p>
            <w:r>
              <w:t>#F0FDF4</w:t>
            </w:r>
          </w:p>
        </w:tc>
        <w:tc>
          <w:tcPr>
            <w:tcW w:type="dxa" w:w="3456"/>
            <w:vAlign w:val="center"/>
          </w:tcPr>
          <w:p>
            <w:r>
              <w:t>Success backgrounds</w:t>
            </w:r>
          </w:p>
        </w:tc>
      </w:tr>
      <w:tr>
        <w:tc>
          <w:tcPr>
            <w:tcW w:type="dxa" w:w="3456"/>
            <w:vAlign w:val="center"/>
          </w:tcPr>
          <w:p>
            <w:r>
              <w:t>Warning</w:t>
            </w:r>
          </w:p>
        </w:tc>
        <w:tc>
          <w:tcPr>
            <w:tcW w:type="dxa" w:w="3456"/>
            <w:vAlign w:val="center"/>
          </w:tcPr>
          <w:p>
            <w:r>
              <w:t>#D97706</w:t>
            </w:r>
          </w:p>
        </w:tc>
        <w:tc>
          <w:tcPr>
            <w:tcW w:type="dxa" w:w="3456"/>
            <w:vAlign w:val="center"/>
          </w:tcPr>
          <w:p>
            <w:r>
              <w:t>Attention, reorder soon, moderate risk</w:t>
            </w:r>
          </w:p>
        </w:tc>
      </w:tr>
      <w:tr>
        <w:tc>
          <w:tcPr>
            <w:tcW w:type="dxa" w:w="3456"/>
            <w:vAlign w:val="center"/>
          </w:tcPr>
          <w:p>
            <w:r>
              <w:t>Warning Soft</w:t>
            </w:r>
          </w:p>
        </w:tc>
        <w:tc>
          <w:tcPr>
            <w:tcW w:type="dxa" w:w="3456"/>
            <w:vAlign w:val="center"/>
          </w:tcPr>
          <w:p>
            <w:r>
              <w:t>#FFFBEB</w:t>
            </w:r>
          </w:p>
        </w:tc>
        <w:tc>
          <w:tcPr>
            <w:tcW w:type="dxa" w:w="3456"/>
            <w:vAlign w:val="center"/>
          </w:tcPr>
          <w:p>
            <w:r>
              <w:t>Warning backgrounds</w:t>
            </w:r>
          </w:p>
        </w:tc>
      </w:tr>
      <w:tr>
        <w:tc>
          <w:tcPr>
            <w:tcW w:type="dxa" w:w="3456"/>
            <w:vAlign w:val="center"/>
          </w:tcPr>
          <w:p>
            <w:r>
              <w:t>Danger</w:t>
            </w:r>
          </w:p>
        </w:tc>
        <w:tc>
          <w:tcPr>
            <w:tcW w:type="dxa" w:w="3456"/>
            <w:vAlign w:val="center"/>
          </w:tcPr>
          <w:p>
            <w:r>
              <w:t>#DC2626</w:t>
            </w:r>
          </w:p>
        </w:tc>
        <w:tc>
          <w:tcPr>
            <w:tcW w:type="dxa" w:w="3456"/>
            <w:vAlign w:val="center"/>
          </w:tcPr>
          <w:p>
            <w:r>
              <w:t>Stockout, urgent, critical risk</w:t>
            </w:r>
          </w:p>
        </w:tc>
      </w:tr>
      <w:tr>
        <w:tc>
          <w:tcPr>
            <w:tcW w:type="dxa" w:w="3456"/>
            <w:vAlign w:val="center"/>
          </w:tcPr>
          <w:p>
            <w:r>
              <w:t>Danger Soft</w:t>
            </w:r>
          </w:p>
        </w:tc>
        <w:tc>
          <w:tcPr>
            <w:tcW w:type="dxa" w:w="3456"/>
            <w:vAlign w:val="center"/>
          </w:tcPr>
          <w:p>
            <w:r>
              <w:t>#FEF2F2</w:t>
            </w:r>
          </w:p>
        </w:tc>
        <w:tc>
          <w:tcPr>
            <w:tcW w:type="dxa" w:w="3456"/>
            <w:vAlign w:val="center"/>
          </w:tcPr>
          <w:p>
            <w:r>
              <w:t>Danger backgrounds</w:t>
            </w:r>
          </w:p>
        </w:tc>
      </w:tr>
      <w:tr>
        <w:tc>
          <w:tcPr>
            <w:tcW w:type="dxa" w:w="3456"/>
            <w:vAlign w:val="center"/>
          </w:tcPr>
          <w:p>
            <w:r>
              <w:t>Purple / AI</w:t>
            </w:r>
          </w:p>
        </w:tc>
        <w:tc>
          <w:tcPr>
            <w:tcW w:type="dxa" w:w="3456"/>
            <w:vAlign w:val="center"/>
          </w:tcPr>
          <w:p>
            <w:r>
              <w:t>#7C3AED</w:t>
            </w:r>
          </w:p>
        </w:tc>
        <w:tc>
          <w:tcPr>
            <w:tcW w:type="dxa" w:w="3456"/>
            <w:vAlign w:val="center"/>
          </w:tcPr>
          <w:p>
            <w:r>
              <w:t>AI Store Manager and AI-specific indicators</w:t>
            </w:r>
          </w:p>
        </w:tc>
      </w:tr>
      <w:tr>
        <w:tc>
          <w:tcPr>
            <w:tcW w:type="dxa" w:w="3456"/>
            <w:vAlign w:val="center"/>
          </w:tcPr>
          <w:p>
            <w:r>
              <w:t>Purple Soft</w:t>
            </w:r>
          </w:p>
        </w:tc>
        <w:tc>
          <w:tcPr>
            <w:tcW w:type="dxa" w:w="3456"/>
            <w:vAlign w:val="center"/>
          </w:tcPr>
          <w:p>
            <w:r>
              <w:t>#F5F3FF</w:t>
            </w:r>
          </w:p>
        </w:tc>
        <w:tc>
          <w:tcPr>
            <w:tcW w:type="dxa" w:w="3456"/>
            <w:vAlign w:val="center"/>
          </w:tcPr>
          <w:p>
            <w:r>
              <w:t>AI backgrounds</w:t>
            </w:r>
          </w:p>
        </w:tc>
      </w:tr>
      <w:tr>
        <w:tc>
          <w:tcPr>
            <w:tcW w:type="dxa" w:w="3456"/>
            <w:vAlign w:val="center"/>
          </w:tcPr>
          <w:p>
            <w:r>
              <w:t>Info</w:t>
            </w:r>
          </w:p>
        </w:tc>
        <w:tc>
          <w:tcPr>
            <w:tcW w:type="dxa" w:w="3456"/>
            <w:vAlign w:val="center"/>
          </w:tcPr>
          <w:p>
            <w:r>
              <w:t>#52525B</w:t>
            </w:r>
          </w:p>
        </w:tc>
        <w:tc>
          <w:tcPr>
            <w:tcW w:type="dxa" w:w="3456"/>
            <w:vAlign w:val="center"/>
          </w:tcPr>
          <w:p>
            <w:r>
              <w:t>Neutral informational status</w:t>
            </w:r>
          </w:p>
        </w:tc>
      </w:tr>
      <w:tr>
        <w:tc>
          <w:tcPr>
            <w:tcW w:type="dxa" w:w="3456"/>
            <w:vAlign w:val="center"/>
          </w:tcPr>
          <w:p>
            <w:r>
              <w:t>Info Soft</w:t>
            </w:r>
          </w:p>
        </w:tc>
        <w:tc>
          <w:tcPr>
            <w:tcW w:type="dxa" w:w="3456"/>
            <w:vAlign w:val="center"/>
          </w:tcPr>
          <w:p>
            <w:r>
              <w:t>#F4F4F5</w:t>
            </w:r>
          </w:p>
        </w:tc>
        <w:tc>
          <w:tcPr>
            <w:tcW w:type="dxa" w:w="3456"/>
            <w:vAlign w:val="center"/>
          </w:tcPr>
          <w:p>
            <w:r>
              <w:t>Informational backgrounds</w:t>
            </w:r>
          </w:p>
        </w:tc>
      </w:tr>
    </w:tbl>
    <w:p>
      <w:pPr>
        <w:pStyle w:val="Heading1"/>
      </w:pPr>
      <w:r>
        <w:t>3. Colour Usage Rules</w:t>
      </w:r>
    </w:p>
    <w:p>
      <w:pPr>
        <w:pStyle w:val="ListBullet"/>
      </w:pPr>
      <w:r>
        <w:t>Black is the dominant brand/action colour. Do not use blue as the primary CTA.</w:t>
      </w:r>
    </w:p>
    <w:p>
      <w:pPr>
        <w:pStyle w:val="ListBullet"/>
      </w:pPr>
      <w:r>
        <w:t>Pure white #FFFFFF is the primary page background.</w:t>
      </w:r>
    </w:p>
    <w:p>
      <w:pPr>
        <w:pStyle w:val="ListBullet"/>
      </w:pPr>
      <w:r>
        <w:t>Do not give every module its own brand colour. Share the global system; use semantic accents only where meaning requires them.</w:t>
      </w:r>
    </w:p>
    <w:p>
      <w:pPr>
        <w:pStyle w:val="ListBullet"/>
      </w:pPr>
      <w:r>
        <w:t>Risk colours must be paired with text/icons: red dot + 'Stockout Risk', never red alone.</w:t>
      </w:r>
    </w:p>
    <w:p>
      <w:pPr>
        <w:pStyle w:val="ListBullet"/>
      </w:pPr>
      <w:r>
        <w:t>Use soft semantic backgrounds behind badges and alerts; reserve saturated colours for icons, indicators and important values.</w:t>
      </w:r>
    </w:p>
    <w:p>
      <w:pPr>
        <w:pStyle w:val="ListBullet"/>
      </w:pPr>
      <w:r>
        <w:t>Avoid gradients in the core business dashboard.</w:t>
      </w:r>
    </w:p>
    <w:p>
      <w:pPr>
        <w:pStyle w:val="ListBullet"/>
      </w:pPr>
      <w:r>
        <w:t>Green means healthy/success, not 'buy'. Purchase actions remain black.</w:t>
      </w:r>
    </w:p>
    <w:p>
      <w:pPr>
        <w:pStyle w:val="ListBullet"/>
      </w:pPr>
      <w:r>
        <w:t>Red means urgency/risk, not merely decoration.</w:t>
      </w:r>
    </w:p>
    <w:p>
      <w:pPr>
        <w:pStyle w:val="Heading1"/>
      </w:pPr>
      <w:r>
        <w:t>4. Typography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Recommended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Colour</w:t>
            </w:r>
          </w:p>
        </w:tc>
      </w:tr>
      <w:tr>
        <w:tc>
          <w:tcPr>
            <w:tcW w:type="dxa" w:w="3456"/>
            <w:vAlign w:val="center"/>
          </w:tcPr>
          <w:p>
            <w:r>
              <w:t>Page title</w:t>
            </w:r>
          </w:p>
        </w:tc>
        <w:tc>
          <w:tcPr>
            <w:tcW w:type="dxa" w:w="3456"/>
            <w:vAlign w:val="center"/>
          </w:tcPr>
          <w:p>
            <w:r>
              <w:t>28–32px, Semibold/Bold</w:t>
            </w:r>
          </w:p>
        </w:tc>
        <w:tc>
          <w:tcPr>
            <w:tcW w:type="dxa" w:w="3456"/>
            <w:vAlign w:val="center"/>
          </w:tcPr>
          <w:p>
            <w:r>
              <w:t>#000000</w:t>
            </w:r>
          </w:p>
        </w:tc>
      </w:tr>
      <w:tr>
        <w:tc>
          <w:tcPr>
            <w:tcW w:type="dxa" w:w="3456"/>
            <w:vAlign w:val="center"/>
          </w:tcPr>
          <w:p>
            <w:r>
              <w:t>Section title</w:t>
            </w:r>
          </w:p>
        </w:tc>
        <w:tc>
          <w:tcPr>
            <w:tcW w:type="dxa" w:w="3456"/>
            <w:vAlign w:val="center"/>
          </w:tcPr>
          <w:p>
            <w:r>
              <w:t>18–20px, Semibold</w:t>
            </w:r>
          </w:p>
        </w:tc>
        <w:tc>
          <w:tcPr>
            <w:tcW w:type="dxa" w:w="3456"/>
            <w:vAlign w:val="center"/>
          </w:tcPr>
          <w:p>
            <w:r>
              <w:t>#111111</w:t>
            </w:r>
          </w:p>
        </w:tc>
      </w:tr>
      <w:tr>
        <w:tc>
          <w:tcPr>
            <w:tcW w:type="dxa" w:w="3456"/>
            <w:vAlign w:val="center"/>
          </w:tcPr>
          <w:p>
            <w:r>
              <w:t>KPI value</w:t>
            </w:r>
          </w:p>
        </w:tc>
        <w:tc>
          <w:tcPr>
            <w:tcW w:type="dxa" w:w="3456"/>
            <w:vAlign w:val="center"/>
          </w:tcPr>
          <w:p>
            <w:r>
              <w:t>24–30px, Semibold/Bold</w:t>
            </w:r>
          </w:p>
        </w:tc>
        <w:tc>
          <w:tcPr>
            <w:tcW w:type="dxa" w:w="3456"/>
            <w:vAlign w:val="center"/>
          </w:tcPr>
          <w:p>
            <w:r>
              <w:t>#000000</w:t>
            </w:r>
          </w:p>
        </w:tc>
      </w:tr>
      <w:tr>
        <w:tc>
          <w:tcPr>
            <w:tcW w:type="dxa" w:w="3456"/>
            <w:vAlign w:val="center"/>
          </w:tcPr>
          <w:p>
            <w:r>
              <w:t>Primary body</w:t>
            </w:r>
          </w:p>
        </w:tc>
        <w:tc>
          <w:tcPr>
            <w:tcW w:type="dxa" w:w="3456"/>
            <w:vAlign w:val="center"/>
          </w:tcPr>
          <w:p>
            <w:r>
              <w:t>14–16px, Regular</w:t>
            </w:r>
          </w:p>
        </w:tc>
        <w:tc>
          <w:tcPr>
            <w:tcW w:type="dxa" w:w="3456"/>
            <w:vAlign w:val="center"/>
          </w:tcPr>
          <w:p>
            <w:r>
              <w:t>#1F1F1F</w:t>
            </w:r>
          </w:p>
        </w:tc>
      </w:tr>
      <w:tr>
        <w:tc>
          <w:tcPr>
            <w:tcW w:type="dxa" w:w="3456"/>
            <w:vAlign w:val="center"/>
          </w:tcPr>
          <w:p>
            <w:r>
              <w:t>Secondary body</w:t>
            </w:r>
          </w:p>
        </w:tc>
        <w:tc>
          <w:tcPr>
            <w:tcW w:type="dxa" w:w="3456"/>
            <w:vAlign w:val="center"/>
          </w:tcPr>
          <w:p>
            <w:r>
              <w:t>13–14px, Regular</w:t>
            </w:r>
          </w:p>
        </w:tc>
        <w:tc>
          <w:tcPr>
            <w:tcW w:type="dxa" w:w="3456"/>
            <w:vAlign w:val="center"/>
          </w:tcPr>
          <w:p>
            <w:r>
              <w:t>#6B7280</w:t>
            </w:r>
          </w:p>
        </w:tc>
      </w:tr>
      <w:tr>
        <w:tc>
          <w:tcPr>
            <w:tcW w:type="dxa" w:w="3456"/>
            <w:vAlign w:val="center"/>
          </w:tcPr>
          <w:p>
            <w:r>
              <w:t>Caption</w:t>
            </w:r>
          </w:p>
        </w:tc>
        <w:tc>
          <w:tcPr>
            <w:tcW w:type="dxa" w:w="3456"/>
            <w:vAlign w:val="center"/>
          </w:tcPr>
          <w:p>
            <w:r>
              <w:t>11–12px, Medium</w:t>
            </w:r>
          </w:p>
        </w:tc>
        <w:tc>
          <w:tcPr>
            <w:tcW w:type="dxa" w:w="3456"/>
            <w:vAlign w:val="center"/>
          </w:tcPr>
          <w:p>
            <w:r>
              <w:t>#6B7280</w:t>
            </w:r>
          </w:p>
        </w:tc>
      </w:tr>
      <w:tr>
        <w:tc>
          <w:tcPr>
            <w:tcW w:type="dxa" w:w="3456"/>
            <w:vAlign w:val="center"/>
          </w:tcPr>
          <w:p>
            <w:r>
              <w:t>Button</w:t>
            </w:r>
          </w:p>
        </w:tc>
        <w:tc>
          <w:tcPr>
            <w:tcW w:type="dxa" w:w="3456"/>
            <w:vAlign w:val="center"/>
          </w:tcPr>
          <w:p>
            <w:r>
              <w:t>14px, Medium/Semibold</w:t>
            </w:r>
          </w:p>
        </w:tc>
        <w:tc>
          <w:tcPr>
            <w:tcW w:type="dxa" w:w="3456"/>
            <w:vAlign w:val="center"/>
          </w:tcPr>
          <w:p>
            <w:r>
              <w:t>White on black</w:t>
            </w:r>
          </w:p>
        </w:tc>
      </w:tr>
    </w:tbl>
    <w:p>
      <w:r>
        <w:rPr>
          <w:b w:val="0"/>
        </w:rPr>
        <w:t>Use Inter, SF Pro-style system typography, or another clean UI sans-serif. Keep typography restrained; hierarchy should come from size, weight and spacing rather than many colours.</w:t>
      </w:r>
    </w:p>
    <w:p>
      <w:pPr>
        <w:pStyle w:val="Heading1"/>
      </w:pPr>
      <w:r>
        <w:t>5. Global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Colour / State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3456"/>
            <w:vAlign w:val="center"/>
          </w:tcPr>
          <w:p>
            <w:r>
              <w:t>Sidebar background</w:t>
            </w:r>
          </w:p>
        </w:tc>
        <w:tc>
          <w:tcPr>
            <w:tcW w:type="dxa" w:w="3456"/>
            <w:vAlign w:val="center"/>
          </w:tcPr>
          <w:p>
            <w:r>
              <w:t>#FFFFFF</w:t>
            </w:r>
          </w:p>
        </w:tc>
        <w:tc>
          <w:tcPr>
            <w:tcW w:type="dxa" w:w="3456"/>
            <w:vAlign w:val="center"/>
          </w:tcPr>
          <w:p>
            <w:r>
              <w:t>Fixed, clean, subtle border</w:t>
            </w:r>
          </w:p>
        </w:tc>
      </w:tr>
      <w:tr>
        <w:tc>
          <w:tcPr>
            <w:tcW w:type="dxa" w:w="3456"/>
            <w:vAlign w:val="center"/>
          </w:tcPr>
          <w:p>
            <w:r>
              <w:t>Sidebar text</w:t>
            </w:r>
          </w:p>
        </w:tc>
        <w:tc>
          <w:tcPr>
            <w:tcW w:type="dxa" w:w="3456"/>
            <w:vAlign w:val="center"/>
          </w:tcPr>
          <w:p>
            <w:r>
              <w:t>#4B5563</w:t>
            </w:r>
          </w:p>
        </w:tc>
        <w:tc>
          <w:tcPr>
            <w:tcW w:type="dxa" w:w="3456"/>
            <w:vAlign w:val="center"/>
          </w:tcPr>
          <w:p>
            <w:r>
              <w:t>Normal navigation</w:t>
            </w:r>
          </w:p>
        </w:tc>
      </w:tr>
      <w:tr>
        <w:tc>
          <w:tcPr>
            <w:tcW w:type="dxa" w:w="3456"/>
            <w:vAlign w:val="center"/>
          </w:tcPr>
          <w:p>
            <w:r>
              <w:t>Active navigation</w:t>
            </w:r>
          </w:p>
        </w:tc>
        <w:tc>
          <w:tcPr>
            <w:tcW w:type="dxa" w:w="3456"/>
            <w:vAlign w:val="center"/>
          </w:tcPr>
          <w:p>
            <w:r>
              <w:t>#000000</w:t>
            </w:r>
          </w:p>
        </w:tc>
        <w:tc>
          <w:tcPr>
            <w:tcW w:type="dxa" w:w="3456"/>
            <w:vAlign w:val="center"/>
          </w:tcPr>
          <w:p>
            <w:r>
              <w:t>Black active state with white text OR white item with black indicator</w:t>
            </w:r>
          </w:p>
        </w:tc>
      </w:tr>
      <w:tr>
        <w:tc>
          <w:tcPr>
            <w:tcW w:type="dxa" w:w="3456"/>
            <w:vAlign w:val="center"/>
          </w:tcPr>
          <w:p>
            <w:r>
              <w:t>Hover</w:t>
            </w:r>
          </w:p>
        </w:tc>
        <w:tc>
          <w:tcPr>
            <w:tcW w:type="dxa" w:w="3456"/>
            <w:vAlign w:val="center"/>
          </w:tcPr>
          <w:p>
            <w:r>
              <w:t>#F4F4F5</w:t>
            </w:r>
          </w:p>
        </w:tc>
        <w:tc>
          <w:tcPr>
            <w:tcW w:type="dxa" w:w="3456"/>
            <w:vAlign w:val="center"/>
          </w:tcPr>
          <w:p>
            <w:r>
              <w:t>120–160ms background transition</w:t>
            </w:r>
          </w:p>
        </w:tc>
      </w:tr>
      <w:tr>
        <w:tc>
          <w:tcPr>
            <w:tcW w:type="dxa" w:w="3456"/>
            <w:vAlign w:val="center"/>
          </w:tcPr>
          <w:p>
            <w:r>
              <w:t>Top bar</w:t>
            </w:r>
          </w:p>
        </w:tc>
        <w:tc>
          <w:tcPr>
            <w:tcW w:type="dxa" w:w="3456"/>
            <w:vAlign w:val="center"/>
          </w:tcPr>
          <w:p>
            <w:r>
              <w:t>#FFFFFF</w:t>
            </w:r>
          </w:p>
        </w:tc>
        <w:tc>
          <w:tcPr>
            <w:tcW w:type="dxa" w:w="3456"/>
            <w:vAlign w:val="center"/>
          </w:tcPr>
          <w:p>
            <w:r>
              <w:t>Sticky with subtle bottom border</w:t>
            </w:r>
          </w:p>
        </w:tc>
      </w:tr>
      <w:tr>
        <w:tc>
          <w:tcPr>
            <w:tcW w:type="dxa" w:w="3456"/>
            <w:vAlign w:val="center"/>
          </w:tcPr>
          <w:p>
            <w:r>
              <w:t>Primary CTA</w:t>
            </w:r>
          </w:p>
        </w:tc>
        <w:tc>
          <w:tcPr>
            <w:tcW w:type="dxa" w:w="3456"/>
            <w:vAlign w:val="center"/>
          </w:tcPr>
          <w:p>
            <w:r>
              <w:t>#000000</w:t>
            </w:r>
          </w:p>
        </w:tc>
        <w:tc>
          <w:tcPr>
            <w:tcW w:type="dxa" w:w="3456"/>
            <w:vAlign w:val="center"/>
          </w:tcPr>
          <w:p>
            <w:r>
              <w:t>White text; hover #1F1F1F</w:t>
            </w:r>
          </w:p>
        </w:tc>
      </w:tr>
      <w:tr>
        <w:tc>
          <w:tcPr>
            <w:tcW w:type="dxa" w:w="3456"/>
            <w:vAlign w:val="center"/>
          </w:tcPr>
          <w:p>
            <w:r>
              <w:t>Secondary CTA</w:t>
            </w:r>
          </w:p>
        </w:tc>
        <w:tc>
          <w:tcPr>
            <w:tcW w:type="dxa" w:w="3456"/>
            <w:vAlign w:val="center"/>
          </w:tcPr>
          <w:p>
            <w:r>
              <w:t>#FFFFFF</w:t>
            </w:r>
          </w:p>
        </w:tc>
        <w:tc>
          <w:tcPr>
            <w:tcW w:type="dxa" w:w="3456"/>
            <w:vAlign w:val="center"/>
          </w:tcPr>
          <w:p>
            <w:r>
              <w:t>Black text + #D1D5DB border</w:t>
            </w:r>
          </w:p>
        </w:tc>
      </w:tr>
    </w:tbl>
    <w:p>
      <w:pPr>
        <w:pStyle w:val="Heading1"/>
      </w:pPr>
      <w:r>
        <w:t>6. Dashboard — Detailed Palette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Primary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Secondary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Interaction</w:t>
            </w:r>
          </w:p>
        </w:tc>
      </w:tr>
      <w:tr>
        <w:tc>
          <w:tcPr>
            <w:tcW w:type="dxa" w:w="2592"/>
            <w:vAlign w:val="center"/>
          </w:tcPr>
          <w:p>
            <w:r>
              <w:t>Page background</w:t>
            </w:r>
          </w:p>
        </w:tc>
        <w:tc>
          <w:tcPr>
            <w:tcW w:type="dxa" w:w="2592"/>
            <w:vAlign w:val="center"/>
          </w:tcPr>
          <w:p>
            <w:r>
              <w:t>#FFFFFF</w:t>
            </w:r>
          </w:p>
        </w:tc>
        <w:tc>
          <w:tcPr>
            <w:tcW w:type="dxa" w:w="2592"/>
            <w:vAlign w:val="center"/>
          </w:tcPr>
          <w:p>
            <w:r>
              <w:t>#FAFAFA optional</w:t>
            </w:r>
          </w:p>
        </w:tc>
        <w:tc>
          <w:tcPr>
            <w:tcW w:type="dxa" w:w="2592"/>
            <w:vAlign w:val="center"/>
          </w:tcPr>
          <w:p>
            <w:r>
              <w:t>No gradient</w:t>
            </w:r>
          </w:p>
        </w:tc>
      </w:tr>
      <w:tr>
        <w:tc>
          <w:tcPr>
            <w:tcW w:type="dxa" w:w="2592"/>
            <w:vAlign w:val="center"/>
          </w:tcPr>
          <w:p>
            <w:r>
              <w:t>Header</w:t>
            </w:r>
          </w:p>
        </w:tc>
        <w:tc>
          <w:tcPr>
            <w:tcW w:type="dxa" w:w="2592"/>
            <w:vAlign w:val="center"/>
          </w:tcPr>
          <w:p>
            <w:r>
              <w:t>#000000</w:t>
            </w:r>
          </w:p>
        </w:tc>
        <w:tc>
          <w:tcPr>
            <w:tcW w:type="dxa" w:w="2592"/>
            <w:vAlign w:val="center"/>
          </w:tcPr>
          <w:p>
            <w:r>
              <w:t>#6B7280</w:t>
            </w:r>
          </w:p>
        </w:tc>
        <w:tc>
          <w:tcPr>
            <w:tcW w:type="dxa" w:w="2592"/>
            <w:vAlign w:val="center"/>
          </w:tcPr>
          <w:p>
            <w:r>
              <w:t>Fade-in on load</w:t>
            </w:r>
          </w:p>
        </w:tc>
      </w:tr>
      <w:tr>
        <w:tc>
          <w:tcPr>
            <w:tcW w:type="dxa" w:w="2592"/>
            <w:vAlign w:val="center"/>
          </w:tcPr>
          <w:p>
            <w:r>
              <w:t>Budget KPI</w:t>
            </w:r>
          </w:p>
        </w:tc>
        <w:tc>
          <w:tcPr>
            <w:tcW w:type="dxa" w:w="2592"/>
            <w:vAlign w:val="center"/>
          </w:tcPr>
          <w:p>
            <w:r>
              <w:t>#000000</w:t>
            </w:r>
          </w:p>
        </w:tc>
        <w:tc>
          <w:tcPr>
            <w:tcW w:type="dxa" w:w="2592"/>
            <w:vAlign w:val="center"/>
          </w:tcPr>
          <w:p>
            <w:r>
              <w:t>#F4F4F5</w:t>
            </w:r>
          </w:p>
        </w:tc>
        <w:tc>
          <w:tcPr>
            <w:tcW w:type="dxa" w:w="2592"/>
            <w:vAlign w:val="center"/>
          </w:tcPr>
          <w:p>
            <w:r>
              <w:t>Black progress/CTA</w:t>
            </w:r>
          </w:p>
        </w:tc>
      </w:tr>
      <w:tr>
        <w:tc>
          <w:tcPr>
            <w:tcW w:type="dxa" w:w="2592"/>
            <w:vAlign w:val="center"/>
          </w:tcPr>
          <w:p>
            <w:r>
              <w:t>Inventory Value KPI</w:t>
            </w:r>
          </w:p>
        </w:tc>
        <w:tc>
          <w:tcPr>
            <w:tcW w:type="dxa" w:w="2592"/>
            <w:vAlign w:val="center"/>
          </w:tcPr>
          <w:p>
            <w:r>
              <w:t>#000000</w:t>
            </w:r>
          </w:p>
        </w:tc>
        <w:tc>
          <w:tcPr>
            <w:tcW w:type="dxa" w:w="2592"/>
            <w:vAlign w:val="center"/>
          </w:tcPr>
          <w:p>
            <w:r>
              <w:t>#F4F4F5</w:t>
            </w:r>
          </w:p>
        </w:tc>
        <w:tc>
          <w:tcPr>
            <w:tcW w:type="dxa" w:w="2592"/>
            <w:vAlign w:val="center"/>
          </w:tcPr>
          <w:p>
            <w:r>
              <w:t>Neutral trend indicator</w:t>
            </w:r>
          </w:p>
        </w:tc>
      </w:tr>
      <w:tr>
        <w:tc>
          <w:tcPr>
            <w:tcW w:type="dxa" w:w="2592"/>
            <w:vAlign w:val="center"/>
          </w:tcPr>
          <w:p>
            <w:r>
              <w:t>Products at Risk</w:t>
            </w:r>
          </w:p>
        </w:tc>
        <w:tc>
          <w:tcPr>
            <w:tcW w:type="dxa" w:w="2592"/>
            <w:vAlign w:val="center"/>
          </w:tcPr>
          <w:p>
            <w:r>
              <w:t>#DC2626</w:t>
            </w:r>
          </w:p>
        </w:tc>
        <w:tc>
          <w:tcPr>
            <w:tcW w:type="dxa" w:w="2592"/>
            <w:vAlign w:val="center"/>
          </w:tcPr>
          <w:p>
            <w:r>
              <w:t>#FEF2F2</w:t>
            </w:r>
          </w:p>
        </w:tc>
        <w:tc>
          <w:tcPr>
            <w:tcW w:type="dxa" w:w="2592"/>
            <w:vAlign w:val="center"/>
          </w:tcPr>
          <w:p>
            <w:r>
              <w:t>Red badge + black action</w:t>
            </w:r>
          </w:p>
        </w:tc>
      </w:tr>
      <w:tr>
        <w:tc>
          <w:tcPr>
            <w:tcW w:type="dxa" w:w="2592"/>
            <w:vAlign w:val="center"/>
          </w:tcPr>
          <w:p>
            <w:r>
              <w:t>Slow Moving Stock</w:t>
            </w:r>
          </w:p>
        </w:tc>
        <w:tc>
          <w:tcPr>
            <w:tcW w:type="dxa" w:w="2592"/>
            <w:vAlign w:val="center"/>
          </w:tcPr>
          <w:p>
            <w:r>
              <w:t>#D97706</w:t>
            </w:r>
          </w:p>
        </w:tc>
        <w:tc>
          <w:tcPr>
            <w:tcW w:type="dxa" w:w="2592"/>
            <w:vAlign w:val="center"/>
          </w:tcPr>
          <w:p>
            <w:r>
              <w:t>#FFFBEB</w:t>
            </w:r>
          </w:p>
        </w:tc>
        <w:tc>
          <w:tcPr>
            <w:tcW w:type="dxa" w:w="2592"/>
            <w:vAlign w:val="center"/>
          </w:tcPr>
          <w:p>
            <w:r>
              <w:t>Amber indicator</w:t>
            </w:r>
          </w:p>
        </w:tc>
      </w:tr>
      <w:tr>
        <w:tc>
          <w:tcPr>
            <w:tcW w:type="dxa" w:w="2592"/>
            <w:vAlign w:val="center"/>
          </w:tcPr>
          <w:p>
            <w:r>
              <w:t>Expiry Risk</w:t>
            </w:r>
          </w:p>
        </w:tc>
        <w:tc>
          <w:tcPr>
            <w:tcW w:type="dxa" w:w="2592"/>
            <w:vAlign w:val="center"/>
          </w:tcPr>
          <w:p>
            <w:r>
              <w:t>#DC2626</w:t>
            </w:r>
          </w:p>
        </w:tc>
        <w:tc>
          <w:tcPr>
            <w:tcW w:type="dxa" w:w="2592"/>
            <w:vAlign w:val="center"/>
          </w:tcPr>
          <w:p>
            <w:r>
              <w:t>#FEF2F2</w:t>
            </w:r>
          </w:p>
        </w:tc>
        <w:tc>
          <w:tcPr>
            <w:tcW w:type="dxa" w:w="2592"/>
            <w:vAlign w:val="center"/>
          </w:tcPr>
          <w:p>
            <w:r>
              <w:t>Urgency emphasis</w:t>
            </w:r>
          </w:p>
        </w:tc>
      </w:tr>
      <w:tr>
        <w:tc>
          <w:tcPr>
            <w:tcW w:type="dxa" w:w="2592"/>
            <w:vAlign w:val="center"/>
          </w:tcPr>
          <w:p>
            <w:r>
              <w:t>Top Actions panel</w:t>
            </w:r>
          </w:p>
        </w:tc>
        <w:tc>
          <w:tcPr>
            <w:tcW w:type="dxa" w:w="2592"/>
            <w:vAlign w:val="center"/>
          </w:tcPr>
          <w:p>
            <w:r>
              <w:t>#000000</w:t>
            </w:r>
          </w:p>
        </w:tc>
        <w:tc>
          <w:tcPr>
            <w:tcW w:type="dxa" w:w="2592"/>
            <w:vAlign w:val="center"/>
          </w:tcPr>
          <w:p>
            <w:r>
              <w:t>#FFFFFF</w:t>
            </w:r>
          </w:p>
        </w:tc>
        <w:tc>
          <w:tcPr>
            <w:tcW w:type="dxa" w:w="2592"/>
            <w:vAlign w:val="center"/>
          </w:tcPr>
          <w:p>
            <w:r>
              <w:t>Subtle row feedback</w:t>
            </w:r>
          </w:p>
        </w:tc>
      </w:tr>
      <w:tr>
        <w:tc>
          <w:tcPr>
            <w:tcW w:type="dxa" w:w="2592"/>
            <w:vAlign w:val="center"/>
          </w:tcPr>
          <w:p>
            <w:r>
              <w:t>Healthy action</w:t>
            </w:r>
          </w:p>
        </w:tc>
        <w:tc>
          <w:tcPr>
            <w:tcW w:type="dxa" w:w="2592"/>
            <w:vAlign w:val="center"/>
          </w:tcPr>
          <w:p>
            <w:r>
              <w:t>#16A34A</w:t>
            </w:r>
          </w:p>
        </w:tc>
        <w:tc>
          <w:tcPr>
            <w:tcW w:type="dxa" w:w="2592"/>
            <w:vAlign w:val="center"/>
          </w:tcPr>
          <w:p>
            <w:r>
              <w:t>#F0FDF4</w:t>
            </w:r>
          </w:p>
        </w:tc>
        <w:tc>
          <w:tcPr>
            <w:tcW w:type="dxa" w:w="2592"/>
            <w:vAlign w:val="center"/>
          </w:tcPr>
          <w:p>
            <w:r>
              <w:t>Text + icon</w:t>
            </w:r>
          </w:p>
        </w:tc>
      </w:tr>
      <w:tr>
        <w:tc>
          <w:tcPr>
            <w:tcW w:type="dxa" w:w="2592"/>
            <w:vAlign w:val="center"/>
          </w:tcPr>
          <w:p>
            <w:r>
              <w:t>Charts</w:t>
            </w:r>
          </w:p>
        </w:tc>
        <w:tc>
          <w:tcPr>
            <w:tcW w:type="dxa" w:w="2592"/>
            <w:vAlign w:val="center"/>
          </w:tcPr>
          <w:p>
            <w:r>
              <w:t>#000000 / neutral</w:t>
            </w:r>
          </w:p>
        </w:tc>
        <w:tc>
          <w:tcPr>
            <w:tcW w:type="dxa" w:w="2592"/>
            <w:vAlign w:val="center"/>
          </w:tcPr>
          <w:p>
            <w:r>
              <w:t>#E5E7EB</w:t>
            </w:r>
          </w:p>
        </w:tc>
        <w:tc>
          <w:tcPr>
            <w:tcW w:type="dxa" w:w="2592"/>
            <w:vAlign w:val="center"/>
          </w:tcPr>
          <w:p>
            <w:r>
              <w:t>Accent only for key forecast/risk lines</w:t>
            </w:r>
          </w:p>
        </w:tc>
      </w:tr>
      <w:tr>
        <w:tc>
          <w:tcPr>
            <w:tcW w:type="dxa" w:w="2592"/>
            <w:vAlign w:val="center"/>
          </w:tcPr>
          <w:p>
            <w:r>
              <w:t>AI Store Manager</w:t>
            </w:r>
          </w:p>
        </w:tc>
        <w:tc>
          <w:tcPr>
            <w:tcW w:type="dxa" w:w="2592"/>
            <w:vAlign w:val="center"/>
          </w:tcPr>
          <w:p>
            <w:r>
              <w:t>#7C3AED</w:t>
            </w:r>
          </w:p>
        </w:tc>
        <w:tc>
          <w:tcPr>
            <w:tcW w:type="dxa" w:w="2592"/>
            <w:vAlign w:val="center"/>
          </w:tcPr>
          <w:p>
            <w:r>
              <w:t>#F5F3FF</w:t>
            </w:r>
          </w:p>
        </w:tc>
        <w:tc>
          <w:tcPr>
            <w:tcW w:type="dxa" w:w="2592"/>
            <w:vAlign w:val="center"/>
          </w:tcPr>
          <w:p>
            <w:r>
              <w:t>Purple only for AI identity</w:t>
            </w:r>
          </w:p>
        </w:tc>
      </w:tr>
    </w:tbl>
    <w:p>
      <w:r>
        <w:rPr>
          <w:b w:val="0"/>
        </w:rPr>
        <w:t>Hierarchy: show today's financial position and risks first; recommended actions second; supporting analytics third. The user should understand the situation within roughly 10 seconds.</w:t>
      </w:r>
    </w:p>
    <w:p>
      <w:pPr>
        <w:pStyle w:val="Heading1"/>
      </w:pPr>
      <w:r>
        <w:t>7. Purchase Advisor — Most Important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</w:rPr>
              <w:t>UI Element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Colour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56"/>
            <w:vAlign w:val="center"/>
          </w:tcPr>
          <w:p>
            <w:r>
              <w:t>Recommended purchase</w:t>
            </w:r>
          </w:p>
        </w:tc>
        <w:tc>
          <w:tcPr>
            <w:tcW w:type="dxa" w:w="3456"/>
            <w:vAlign w:val="center"/>
          </w:tcPr>
          <w:p>
            <w:r>
              <w:t>#000000</w:t>
            </w:r>
          </w:p>
        </w:tc>
        <w:tc>
          <w:tcPr>
            <w:tcW w:type="dxa" w:w="3456"/>
            <w:vAlign w:val="center"/>
          </w:tcPr>
          <w:p>
            <w:r>
              <w:t>Primary action and key recommendation</w:t>
            </w:r>
          </w:p>
        </w:tc>
      </w:tr>
      <w:tr>
        <w:tc>
          <w:tcPr>
            <w:tcW w:type="dxa" w:w="3456"/>
            <w:vAlign w:val="center"/>
          </w:tcPr>
          <w:p>
            <w:r>
              <w:t>High priority</w:t>
            </w:r>
          </w:p>
        </w:tc>
        <w:tc>
          <w:tcPr>
            <w:tcW w:type="dxa" w:w="3456"/>
            <w:vAlign w:val="center"/>
          </w:tcPr>
          <w:p>
            <w:r>
              <w:t>#DC2626 + #FEF2F2</w:t>
            </w:r>
          </w:p>
        </w:tc>
        <w:tc>
          <w:tcPr>
            <w:tcW w:type="dxa" w:w="3456"/>
            <w:vAlign w:val="center"/>
          </w:tcPr>
          <w:p>
            <w:r>
              <w:t>Urgent purchase/risk</w:t>
            </w:r>
          </w:p>
        </w:tc>
      </w:tr>
      <w:tr>
        <w:tc>
          <w:tcPr>
            <w:tcW w:type="dxa" w:w="3456"/>
            <w:vAlign w:val="center"/>
          </w:tcPr>
          <w:p>
            <w:r>
              <w:t>Medium priority</w:t>
            </w:r>
          </w:p>
        </w:tc>
        <w:tc>
          <w:tcPr>
            <w:tcW w:type="dxa" w:w="3456"/>
            <w:vAlign w:val="center"/>
          </w:tcPr>
          <w:p>
            <w:r>
              <w:t>#D97706 + #FFFBEB</w:t>
            </w:r>
          </w:p>
        </w:tc>
        <w:tc>
          <w:tcPr>
            <w:tcW w:type="dxa" w:w="3456"/>
            <w:vAlign w:val="center"/>
          </w:tcPr>
          <w:p>
            <w:r>
              <w:t>Attention</w:t>
            </w:r>
          </w:p>
        </w:tc>
      </w:tr>
      <w:tr>
        <w:tc>
          <w:tcPr>
            <w:tcW w:type="dxa" w:w="3456"/>
            <w:vAlign w:val="center"/>
          </w:tcPr>
          <w:p>
            <w:r>
              <w:t>Healthy / no action</w:t>
            </w:r>
          </w:p>
        </w:tc>
        <w:tc>
          <w:tcPr>
            <w:tcW w:type="dxa" w:w="3456"/>
            <w:vAlign w:val="center"/>
          </w:tcPr>
          <w:p>
            <w:r>
              <w:t>#16A34A + #F0FDF4</w:t>
            </w:r>
          </w:p>
        </w:tc>
        <w:tc>
          <w:tcPr>
            <w:tcW w:type="dxa" w:w="3456"/>
            <w:vAlign w:val="center"/>
          </w:tcPr>
          <w:p>
            <w:r>
              <w:t>No immediate purchase</w:t>
            </w:r>
          </w:p>
        </w:tc>
      </w:tr>
      <w:tr>
        <w:tc>
          <w:tcPr>
            <w:tcW w:type="dxa" w:w="3456"/>
            <w:vAlign w:val="center"/>
          </w:tcPr>
          <w:p>
            <w:r>
              <w:t>Budget available</w:t>
            </w:r>
          </w:p>
        </w:tc>
        <w:tc>
          <w:tcPr>
            <w:tcW w:type="dxa" w:w="3456"/>
            <w:vAlign w:val="center"/>
          </w:tcPr>
          <w:p>
            <w:r>
              <w:t>#000000 + #F4F4F5</w:t>
            </w:r>
          </w:p>
        </w:tc>
        <w:tc>
          <w:tcPr>
            <w:tcW w:type="dxa" w:w="3456"/>
            <w:vAlign w:val="center"/>
          </w:tcPr>
          <w:p>
            <w:r>
              <w:t>Financial constraint</w:t>
            </w:r>
          </w:p>
        </w:tc>
      </w:tr>
      <w:tr>
        <w:tc>
          <w:tcPr>
            <w:tcW w:type="dxa" w:w="3456"/>
            <w:vAlign w:val="center"/>
          </w:tcPr>
          <w:p>
            <w:r>
              <w:t>Budget exceeded</w:t>
            </w:r>
          </w:p>
        </w:tc>
        <w:tc>
          <w:tcPr>
            <w:tcW w:type="dxa" w:w="3456"/>
            <w:vAlign w:val="center"/>
          </w:tcPr>
          <w:p>
            <w:r>
              <w:t>#DC2626 + #FEF2F2</w:t>
            </w:r>
          </w:p>
        </w:tc>
        <w:tc>
          <w:tcPr>
            <w:tcW w:type="dxa" w:w="3456"/>
            <w:vAlign w:val="center"/>
          </w:tcPr>
          <w:p>
            <w:r>
              <w:t>Immediate constraint</w:t>
            </w:r>
          </w:p>
        </w:tc>
      </w:tr>
      <w:tr>
        <w:tc>
          <w:tcPr>
            <w:tcW w:type="dxa" w:w="3456"/>
            <w:vAlign w:val="center"/>
          </w:tcPr>
          <w:p>
            <w:r>
              <w:t>Add to Plan</w:t>
            </w:r>
          </w:p>
        </w:tc>
        <w:tc>
          <w:tcPr>
            <w:tcW w:type="dxa" w:w="3456"/>
            <w:vAlign w:val="center"/>
          </w:tcPr>
          <w:p>
            <w:r>
              <w:t>#000000 / #FFFFFF</w:t>
            </w:r>
          </w:p>
        </w:tc>
        <w:tc>
          <w:tcPr>
            <w:tcW w:type="dxa" w:w="3456"/>
            <w:vAlign w:val="center"/>
          </w:tcPr>
          <w:p>
            <w:r>
              <w:t>Primary CTA</w:t>
            </w:r>
          </w:p>
        </w:tc>
      </w:tr>
      <w:tr>
        <w:tc>
          <w:tcPr>
            <w:tcW w:type="dxa" w:w="3456"/>
            <w:vAlign w:val="center"/>
          </w:tcPr>
          <w:p>
            <w:r>
              <w:t>Added state</w:t>
            </w:r>
          </w:p>
        </w:tc>
        <w:tc>
          <w:tcPr>
            <w:tcW w:type="dxa" w:w="3456"/>
            <w:vAlign w:val="center"/>
          </w:tcPr>
          <w:p>
            <w:r>
              <w:t>#16A34A + #F0FDF4</w:t>
            </w:r>
          </w:p>
        </w:tc>
        <w:tc>
          <w:tcPr>
            <w:tcW w:type="dxa" w:w="3456"/>
            <w:vAlign w:val="center"/>
          </w:tcPr>
          <w:p>
            <w:r>
              <w:t>Completion feedback</w:t>
            </w:r>
          </w:p>
        </w:tc>
      </w:tr>
      <w:tr>
        <w:tc>
          <w:tcPr>
            <w:tcW w:type="dxa" w:w="3456"/>
            <w:vAlign w:val="center"/>
          </w:tcPr>
          <w:p>
            <w:r>
              <w:t>Why? drawer</w:t>
            </w:r>
          </w:p>
        </w:tc>
        <w:tc>
          <w:tcPr>
            <w:tcW w:type="dxa" w:w="3456"/>
            <w:vAlign w:val="center"/>
          </w:tcPr>
          <w:p>
            <w:r>
              <w:t>#FFFFFF + #E5E7EB</w:t>
            </w:r>
          </w:p>
        </w:tc>
        <w:tc>
          <w:tcPr>
            <w:tcW w:type="dxa" w:w="3456"/>
            <w:vAlign w:val="center"/>
          </w:tcPr>
          <w:p>
            <w:r>
              <w:t>Evidence without navigation</w:t>
            </w:r>
          </w:p>
        </w:tc>
      </w:tr>
    </w:tbl>
    <w:p>
      <w:pPr>
        <w:pStyle w:val="ListBullet"/>
      </w:pPr>
      <w:r>
        <w:t>The purchase quantity is the visual focal point.</w:t>
      </w:r>
    </w:p>
    <w:p>
      <w:pPr>
        <w:pStyle w:val="ListBullet"/>
      </w:pPr>
      <w:r>
        <w:t>Keep 'Buy 50 units' black and prominent even when the reason contains risk colours.</w:t>
      </w:r>
    </w:p>
    <w:p>
      <w:pPr>
        <w:pStyle w:val="ListBullet"/>
      </w:pPr>
      <w:r>
        <w:t>Show financial consequence beside the action.</w:t>
      </w:r>
    </w:p>
    <w:p>
      <w:pPr>
        <w:pStyle w:val="ListBullet"/>
      </w:pPr>
      <w:r>
        <w:t>When budget is insufficient, show prioritization rather than an error-only state.</w:t>
      </w:r>
    </w:p>
    <w:p>
      <w:pPr>
        <w:pStyle w:val="Heading1"/>
      </w:pPr>
      <w:r>
        <w:t>8. Inventory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Colour</w:t>
            </w:r>
          </w:p>
        </w:tc>
      </w:tr>
      <w:tr>
        <w:tc>
          <w:tcPr>
            <w:tcW w:type="dxa" w:w="5184"/>
            <w:vAlign w:val="center"/>
          </w:tcPr>
          <w:p>
            <w:r>
              <w:t>Normal row</w:t>
            </w:r>
          </w:p>
        </w:tc>
        <w:tc>
          <w:tcPr>
            <w:tcW w:type="dxa" w:w="5184"/>
            <w:vAlign w:val="center"/>
          </w:tcPr>
          <w:p>
            <w:r>
              <w:t>#FFFFFF</w:t>
            </w:r>
          </w:p>
        </w:tc>
      </w:tr>
      <w:tr>
        <w:tc>
          <w:tcPr>
            <w:tcW w:type="dxa" w:w="5184"/>
            <w:vAlign w:val="center"/>
          </w:tcPr>
          <w:p>
            <w:r>
              <w:t>Row hover</w:t>
            </w:r>
          </w:p>
        </w:tc>
        <w:tc>
          <w:tcPr>
            <w:tcW w:type="dxa" w:w="5184"/>
            <w:vAlign w:val="center"/>
          </w:tcPr>
          <w:p>
            <w:r>
              <w:t>#FAFAFA</w:t>
            </w:r>
          </w:p>
        </w:tc>
      </w:tr>
      <w:tr>
        <w:tc>
          <w:tcPr>
            <w:tcW w:type="dxa" w:w="5184"/>
            <w:vAlign w:val="center"/>
          </w:tcPr>
          <w:p>
            <w:r>
              <w:t>Stockout risk</w:t>
            </w:r>
          </w:p>
        </w:tc>
        <w:tc>
          <w:tcPr>
            <w:tcW w:type="dxa" w:w="5184"/>
            <w:vAlign w:val="center"/>
          </w:tcPr>
          <w:p>
            <w:r>
              <w:t>#DC2626 / #FEF2F2</w:t>
            </w:r>
          </w:p>
        </w:tc>
      </w:tr>
      <w:tr>
        <w:tc>
          <w:tcPr>
            <w:tcW w:type="dxa" w:w="5184"/>
            <w:vAlign w:val="center"/>
          </w:tcPr>
          <w:p>
            <w:r>
              <w:t>Reorder soon</w:t>
            </w:r>
          </w:p>
        </w:tc>
        <w:tc>
          <w:tcPr>
            <w:tcW w:type="dxa" w:w="5184"/>
            <w:vAlign w:val="center"/>
          </w:tcPr>
          <w:p>
            <w:r>
              <w:t>#D97706 / #FFFBEB</w:t>
            </w:r>
          </w:p>
        </w:tc>
      </w:tr>
      <w:tr>
        <w:tc>
          <w:tcPr>
            <w:tcW w:type="dxa" w:w="5184"/>
            <w:vAlign w:val="center"/>
          </w:tcPr>
          <w:p>
            <w:r>
              <w:t>Healthy</w:t>
            </w:r>
          </w:p>
        </w:tc>
        <w:tc>
          <w:tcPr>
            <w:tcW w:type="dxa" w:w="5184"/>
            <w:vAlign w:val="center"/>
          </w:tcPr>
          <w:p>
            <w:r>
              <w:t>#16A34A / #F0FDF4</w:t>
            </w:r>
          </w:p>
        </w:tc>
      </w:tr>
      <w:tr>
        <w:tc>
          <w:tcPr>
            <w:tcW w:type="dxa" w:w="5184"/>
            <w:vAlign w:val="center"/>
          </w:tcPr>
          <w:p>
            <w:r>
              <w:t>Overstock</w:t>
            </w:r>
          </w:p>
        </w:tc>
        <w:tc>
          <w:tcPr>
            <w:tcW w:type="dxa" w:w="5184"/>
            <w:vAlign w:val="center"/>
          </w:tcPr>
          <w:p>
            <w:r>
              <w:t>#D97706 / #FFFBEB</w:t>
            </w:r>
          </w:p>
        </w:tc>
      </w:tr>
      <w:tr>
        <w:tc>
          <w:tcPr>
            <w:tcW w:type="dxa" w:w="5184"/>
            <w:vAlign w:val="center"/>
          </w:tcPr>
          <w:p>
            <w:r>
              <w:t>Slow moving</w:t>
            </w:r>
          </w:p>
        </w:tc>
        <w:tc>
          <w:tcPr>
            <w:tcW w:type="dxa" w:w="5184"/>
            <w:vAlign w:val="center"/>
          </w:tcPr>
          <w:p>
            <w:r>
              <w:t>#6B7280 / #F4F4F5</w:t>
            </w:r>
          </w:p>
        </w:tc>
      </w:tr>
      <w:tr>
        <w:tc>
          <w:tcPr>
            <w:tcW w:type="dxa" w:w="5184"/>
            <w:vAlign w:val="center"/>
          </w:tcPr>
          <w:p>
            <w:r>
              <w:t>Expiry risk</w:t>
            </w:r>
          </w:p>
        </w:tc>
        <w:tc>
          <w:tcPr>
            <w:tcW w:type="dxa" w:w="5184"/>
            <w:vAlign w:val="center"/>
          </w:tcPr>
          <w:p>
            <w:r>
              <w:t>#DC2626 / #FEF2F2</w:t>
            </w:r>
          </w:p>
        </w:tc>
      </w:tr>
      <w:tr>
        <w:tc>
          <w:tcPr>
            <w:tcW w:type="dxa" w:w="5184"/>
            <w:vAlign w:val="center"/>
          </w:tcPr>
          <w:p>
            <w:r>
              <w:t>Selected row</w:t>
            </w:r>
          </w:p>
        </w:tc>
        <w:tc>
          <w:tcPr>
            <w:tcW w:type="dxa" w:w="5184"/>
            <w:vAlign w:val="center"/>
          </w:tcPr>
          <w:p>
            <w:r>
              <w:t>#F4F4F5 + black indicator</w:t>
            </w:r>
          </w:p>
        </w:tc>
      </w:tr>
    </w:tbl>
    <w:p>
      <w:r>
        <w:rPr>
          <w:b w:val="0"/>
        </w:rPr>
        <w:t>Do not colour entire rows strongly. Use compact badges and a small indicator so the table stays professional.</w:t>
      </w:r>
    </w:p>
    <w:p>
      <w:pPr>
        <w:pStyle w:val="Heading1"/>
      </w:pPr>
      <w:r>
        <w:t>9. Product Detail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Colour Treatment</w:t>
            </w:r>
          </w:p>
        </w:tc>
      </w:tr>
      <w:tr>
        <w:tc>
          <w:tcPr>
            <w:tcW w:type="dxa" w:w="5184"/>
            <w:vAlign w:val="center"/>
          </w:tcPr>
          <w:p>
            <w:r>
              <w:t>Product header</w:t>
            </w:r>
          </w:p>
        </w:tc>
        <w:tc>
          <w:tcPr>
            <w:tcW w:type="dxa" w:w="5184"/>
            <w:vAlign w:val="center"/>
          </w:tcPr>
          <w:p>
            <w:r>
              <w:t>Black heading on white</w:t>
            </w:r>
          </w:p>
        </w:tc>
      </w:tr>
      <w:tr>
        <w:tc>
          <w:tcPr>
            <w:tcW w:type="dxa" w:w="5184"/>
            <w:vAlign w:val="center"/>
          </w:tcPr>
          <w:p>
            <w:r>
              <w:t>Stock summary</w:t>
            </w:r>
          </w:p>
        </w:tc>
        <w:tc>
          <w:tcPr>
            <w:tcW w:type="dxa" w:w="5184"/>
            <w:vAlign w:val="center"/>
          </w:tcPr>
          <w:p>
            <w:r>
              <w:t>Black numbers; neutral secondary text</w:t>
            </w:r>
          </w:p>
        </w:tc>
      </w:tr>
      <w:tr>
        <w:tc>
          <w:tcPr>
            <w:tcW w:type="dxa" w:w="5184"/>
            <w:vAlign w:val="center"/>
          </w:tcPr>
          <w:p>
            <w:r>
              <w:t>Risk status</w:t>
            </w:r>
          </w:p>
        </w:tc>
        <w:tc>
          <w:tcPr>
            <w:tcW w:type="dxa" w:w="5184"/>
            <w:vAlign w:val="center"/>
          </w:tcPr>
          <w:p>
            <w:r>
              <w:t>Semantic badge</w:t>
            </w:r>
          </w:p>
        </w:tc>
      </w:tr>
      <w:tr>
        <w:tc>
          <w:tcPr>
            <w:tcW w:type="dxa" w:w="5184"/>
            <w:vAlign w:val="center"/>
          </w:tcPr>
          <w:p>
            <w:r>
              <w:t>Recommendation card</w:t>
            </w:r>
          </w:p>
        </w:tc>
        <w:tc>
          <w:tcPr>
            <w:tcW w:type="dxa" w:w="5184"/>
            <w:vAlign w:val="center"/>
          </w:tcPr>
          <w:p>
            <w:r>
              <w:t>White surface, black CTA, subtle border</w:t>
            </w:r>
          </w:p>
        </w:tc>
      </w:tr>
      <w:tr>
        <w:tc>
          <w:tcPr>
            <w:tcW w:type="dxa" w:w="5184"/>
            <w:vAlign w:val="center"/>
          </w:tcPr>
          <w:p>
            <w:r>
              <w:t>Forecast chart</w:t>
            </w:r>
          </w:p>
        </w:tc>
        <w:tc>
          <w:tcPr>
            <w:tcW w:type="dxa" w:w="5184"/>
            <w:vAlign w:val="center"/>
          </w:tcPr>
          <w:p>
            <w:r>
              <w:t>Neutral/black actuals; restrained accent for forecast</w:t>
            </w:r>
          </w:p>
        </w:tc>
      </w:tr>
      <w:tr>
        <w:tc>
          <w:tcPr>
            <w:tcW w:type="dxa" w:w="5184"/>
            <w:vAlign w:val="center"/>
          </w:tcPr>
          <w:p>
            <w:r>
              <w:t>Expiry information</w:t>
            </w:r>
          </w:p>
        </w:tc>
        <w:tc>
          <w:tcPr>
            <w:tcW w:type="dxa" w:w="5184"/>
            <w:vAlign w:val="center"/>
          </w:tcPr>
          <w:p>
            <w:r>
              <w:t>Amber for upcoming; red for urgent</w:t>
            </w:r>
          </w:p>
        </w:tc>
      </w:tr>
      <w:tr>
        <w:tc>
          <w:tcPr>
            <w:tcW w:type="dxa" w:w="5184"/>
            <w:vAlign w:val="center"/>
          </w:tcPr>
          <w:p>
            <w:r>
              <w:t>Supplier information</w:t>
            </w:r>
          </w:p>
        </w:tc>
        <w:tc>
          <w:tcPr>
            <w:tcW w:type="dxa" w:w="5184"/>
            <w:vAlign w:val="center"/>
          </w:tcPr>
          <w:p>
            <w:r>
              <w:t>Neutral</w:t>
            </w:r>
          </w:p>
        </w:tc>
      </w:tr>
      <w:tr>
        <w:tc>
          <w:tcPr>
            <w:tcW w:type="dxa" w:w="5184"/>
            <w:vAlign w:val="center"/>
          </w:tcPr>
          <w:p>
            <w:r>
              <w:t>Why recommendation</w:t>
            </w:r>
          </w:p>
        </w:tc>
        <w:tc>
          <w:tcPr>
            <w:tcW w:type="dxa" w:w="5184"/>
            <w:vAlign w:val="center"/>
          </w:tcPr>
          <w:p>
            <w:r>
              <w:t>Black text; semantic icons for evidence</w:t>
            </w:r>
          </w:p>
        </w:tc>
      </w:tr>
    </w:tbl>
    <w:p>
      <w:r>
        <w:rPr>
          <w:b w:val="0"/>
        </w:rPr>
        <w:t>Show the recommendation before detailed evidence. Decision first, evidence second.</w:t>
      </w:r>
    </w:p>
    <w:p>
      <w:pPr>
        <w:pStyle w:val="Heading1"/>
      </w:pPr>
      <w:r>
        <w:t>10. Demand Forecast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Colour</w:t>
            </w:r>
          </w:p>
        </w:tc>
      </w:tr>
      <w:tr>
        <w:tc>
          <w:tcPr>
            <w:tcW w:type="dxa" w:w="5184"/>
            <w:vAlign w:val="center"/>
          </w:tcPr>
          <w:p>
            <w:r>
              <w:t>Historical / actual sales</w:t>
            </w:r>
          </w:p>
        </w:tc>
        <w:tc>
          <w:tcPr>
            <w:tcW w:type="dxa" w:w="5184"/>
            <w:vAlign w:val="center"/>
          </w:tcPr>
          <w:p>
            <w:r>
              <w:t>#000000</w:t>
            </w:r>
          </w:p>
        </w:tc>
      </w:tr>
      <w:tr>
        <w:tc>
          <w:tcPr>
            <w:tcW w:type="dxa" w:w="5184"/>
            <w:vAlign w:val="center"/>
          </w:tcPr>
          <w:p>
            <w:r>
              <w:t>Forecast</w:t>
            </w:r>
          </w:p>
        </w:tc>
        <w:tc>
          <w:tcPr>
            <w:tcW w:type="dxa" w:w="5184"/>
            <w:vAlign w:val="center"/>
          </w:tcPr>
          <w:p>
            <w:r>
              <w:t>#52525B</w:t>
            </w:r>
          </w:p>
        </w:tc>
      </w:tr>
      <w:tr>
        <w:tc>
          <w:tcPr>
            <w:tcW w:type="dxa" w:w="5184"/>
            <w:vAlign w:val="center"/>
          </w:tcPr>
          <w:p>
            <w:r>
              <w:t>Confidence band</w:t>
            </w:r>
          </w:p>
        </w:tc>
        <w:tc>
          <w:tcPr>
            <w:tcW w:type="dxa" w:w="5184"/>
            <w:vAlign w:val="center"/>
          </w:tcPr>
          <w:p>
            <w:r>
              <w:t>#F4F4F5</w:t>
            </w:r>
          </w:p>
        </w:tc>
      </w:tr>
      <w:tr>
        <w:tc>
          <w:tcPr>
            <w:tcW w:type="dxa" w:w="5184"/>
            <w:vAlign w:val="center"/>
          </w:tcPr>
          <w:p>
            <w:r>
              <w:t>Positive trend</w:t>
            </w:r>
          </w:p>
        </w:tc>
        <w:tc>
          <w:tcPr>
            <w:tcW w:type="dxa" w:w="5184"/>
            <w:vAlign w:val="center"/>
          </w:tcPr>
          <w:p>
            <w:r>
              <w:t>#16A34A</w:t>
            </w:r>
          </w:p>
        </w:tc>
      </w:tr>
      <w:tr>
        <w:tc>
          <w:tcPr>
            <w:tcW w:type="dxa" w:w="5184"/>
            <w:vAlign w:val="center"/>
          </w:tcPr>
          <w:p>
            <w:r>
              <w:t>Declining trend</w:t>
            </w:r>
          </w:p>
        </w:tc>
        <w:tc>
          <w:tcPr>
            <w:tcW w:type="dxa" w:w="5184"/>
            <w:vAlign w:val="center"/>
          </w:tcPr>
          <w:p>
            <w:r>
              <w:t>#D97706</w:t>
            </w:r>
          </w:p>
        </w:tc>
      </w:tr>
      <w:tr>
        <w:tc>
          <w:tcPr>
            <w:tcW w:type="dxa" w:w="5184"/>
            <w:vAlign w:val="center"/>
          </w:tcPr>
          <w:p>
            <w:r>
              <w:t>Low confidence</w:t>
            </w:r>
          </w:p>
        </w:tc>
        <w:tc>
          <w:tcPr>
            <w:tcW w:type="dxa" w:w="5184"/>
            <w:vAlign w:val="center"/>
          </w:tcPr>
          <w:p>
            <w:r>
              <w:t>#D97706 + #FFFBEB</w:t>
            </w:r>
          </w:p>
        </w:tc>
      </w:tr>
      <w:tr>
        <w:tc>
          <w:tcPr>
            <w:tcW w:type="dxa" w:w="5184"/>
            <w:vAlign w:val="center"/>
          </w:tcPr>
          <w:p>
            <w:r>
              <w:t>High confidence</w:t>
            </w:r>
          </w:p>
        </w:tc>
        <w:tc>
          <w:tcPr>
            <w:tcW w:type="dxa" w:w="5184"/>
            <w:vAlign w:val="center"/>
          </w:tcPr>
          <w:p>
            <w:r>
              <w:t>#16A34A + #F0FDF4</w:t>
            </w:r>
          </w:p>
        </w:tc>
      </w:tr>
    </w:tbl>
    <w:p>
      <w:r>
        <w:rPr>
          <w:b w:val="0"/>
        </w:rPr>
        <w:t>Keep forecast visuals analytical rather than decorative. Low-confidence forecasts should be visually de-emphasized and explained.</w:t>
      </w:r>
    </w:p>
    <w:p>
      <w:pPr>
        <w:pStyle w:val="Heading1"/>
      </w:pPr>
      <w:r>
        <w:t>11. Supplier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Colour</w:t>
            </w:r>
          </w:p>
        </w:tc>
      </w:tr>
      <w:tr>
        <w:tc>
          <w:tcPr>
            <w:tcW w:type="dxa" w:w="5184"/>
            <w:vAlign w:val="center"/>
          </w:tcPr>
          <w:p>
            <w:r>
              <w:t>Supplier cards</w:t>
            </w:r>
          </w:p>
        </w:tc>
        <w:tc>
          <w:tcPr>
            <w:tcW w:type="dxa" w:w="5184"/>
            <w:vAlign w:val="center"/>
          </w:tcPr>
          <w:p>
            <w:r>
              <w:t>#FFFFFF + #E5E7EB</w:t>
            </w:r>
          </w:p>
        </w:tc>
      </w:tr>
      <w:tr>
        <w:tc>
          <w:tcPr>
            <w:tcW w:type="dxa" w:w="5184"/>
            <w:vAlign w:val="center"/>
          </w:tcPr>
          <w:p>
            <w:r>
              <w:t>Best price</w:t>
            </w:r>
          </w:p>
        </w:tc>
        <w:tc>
          <w:tcPr>
            <w:tcW w:type="dxa" w:w="5184"/>
            <w:vAlign w:val="center"/>
          </w:tcPr>
          <w:p>
            <w:r>
              <w:t>#16A34A + #F0FDF4</w:t>
            </w:r>
          </w:p>
        </w:tc>
      </w:tr>
      <w:tr>
        <w:tc>
          <w:tcPr>
            <w:tcW w:type="dxa" w:w="5184"/>
            <w:vAlign w:val="center"/>
          </w:tcPr>
          <w:p>
            <w:r>
              <w:t>Long lead time</w:t>
            </w:r>
          </w:p>
        </w:tc>
        <w:tc>
          <w:tcPr>
            <w:tcW w:type="dxa" w:w="5184"/>
            <w:vAlign w:val="center"/>
          </w:tcPr>
          <w:p>
            <w:r>
              <w:t>#D97706 + #FFFBEB</w:t>
            </w:r>
          </w:p>
        </w:tc>
      </w:tr>
      <w:tr>
        <w:tc>
          <w:tcPr>
            <w:tcW w:type="dxa" w:w="5184"/>
            <w:vAlign w:val="center"/>
          </w:tcPr>
          <w:p>
            <w:r>
              <w:t>Reliability concern</w:t>
            </w:r>
          </w:p>
        </w:tc>
        <w:tc>
          <w:tcPr>
            <w:tcW w:type="dxa" w:w="5184"/>
            <w:vAlign w:val="center"/>
          </w:tcPr>
          <w:p>
            <w:r>
              <w:t>#DC2626 + #FEF2F2</w:t>
            </w:r>
          </w:p>
        </w:tc>
      </w:tr>
      <w:tr>
        <w:tc>
          <w:tcPr>
            <w:tcW w:type="dxa" w:w="5184"/>
            <w:vAlign w:val="center"/>
          </w:tcPr>
          <w:p>
            <w:r>
              <w:t>Selected supplier</w:t>
            </w:r>
          </w:p>
        </w:tc>
        <w:tc>
          <w:tcPr>
            <w:tcW w:type="dxa" w:w="5184"/>
            <w:vAlign w:val="center"/>
          </w:tcPr>
          <w:p>
            <w:r>
              <w:t>Black border/indicator</w:t>
            </w:r>
          </w:p>
        </w:tc>
      </w:tr>
      <w:tr>
        <w:tc>
          <w:tcPr>
            <w:tcW w:type="dxa" w:w="5184"/>
            <w:vAlign w:val="center"/>
          </w:tcPr>
          <w:p>
            <w:r>
              <w:t>Primary selection CTA</w:t>
            </w:r>
          </w:p>
        </w:tc>
        <w:tc>
          <w:tcPr>
            <w:tcW w:type="dxa" w:w="5184"/>
            <w:vAlign w:val="center"/>
          </w:tcPr>
          <w:p>
            <w:r>
              <w:t>#000000</w:t>
            </w:r>
          </w:p>
        </w:tc>
      </w:tr>
    </w:tbl>
    <w:p>
      <w:r>
        <w:rPr>
          <w:b w:val="0"/>
        </w:rPr>
        <w:t>Supplier cards should support comparison, not look like advertisements.</w:t>
      </w:r>
    </w:p>
    <w:p>
      <w:pPr>
        <w:pStyle w:val="Heading1"/>
      </w:pPr>
      <w:r>
        <w:t>12. What-if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Colour</w:t>
            </w:r>
          </w:p>
        </w:tc>
      </w:tr>
      <w:tr>
        <w:tc>
          <w:tcPr>
            <w:tcW w:type="dxa" w:w="5184"/>
            <w:vAlign w:val="center"/>
          </w:tcPr>
          <w:p>
            <w:r>
              <w:t>Scenario controls</w:t>
            </w:r>
          </w:p>
        </w:tc>
        <w:tc>
          <w:tcPr>
            <w:tcW w:type="dxa" w:w="5184"/>
            <w:vAlign w:val="center"/>
          </w:tcPr>
          <w:p>
            <w:r>
              <w:t>#FFFFFF + #D1D5DB</w:t>
            </w:r>
          </w:p>
        </w:tc>
      </w:tr>
      <w:tr>
        <w:tc>
          <w:tcPr>
            <w:tcW w:type="dxa" w:w="5184"/>
            <w:vAlign w:val="center"/>
          </w:tcPr>
          <w:p>
            <w:r>
              <w:t>Active control</w:t>
            </w:r>
          </w:p>
        </w:tc>
        <w:tc>
          <w:tcPr>
            <w:tcW w:type="dxa" w:w="5184"/>
            <w:vAlign w:val="center"/>
          </w:tcPr>
          <w:p>
            <w:r>
              <w:t>#000000</w:t>
            </w:r>
          </w:p>
        </w:tc>
      </w:tr>
      <w:tr>
        <w:tc>
          <w:tcPr>
            <w:tcW w:type="dxa" w:w="5184"/>
            <w:vAlign w:val="center"/>
          </w:tcPr>
          <w:p>
            <w:r>
              <w:t>Before scenario</w:t>
            </w:r>
          </w:p>
        </w:tc>
        <w:tc>
          <w:tcPr>
            <w:tcW w:type="dxa" w:w="5184"/>
            <w:vAlign w:val="center"/>
          </w:tcPr>
          <w:p>
            <w:r>
              <w:t>#6B7280</w:t>
            </w:r>
          </w:p>
        </w:tc>
      </w:tr>
      <w:tr>
        <w:tc>
          <w:tcPr>
            <w:tcW w:type="dxa" w:w="5184"/>
            <w:vAlign w:val="center"/>
          </w:tcPr>
          <w:p>
            <w:r>
              <w:t>Scenario result</w:t>
            </w:r>
          </w:p>
        </w:tc>
        <w:tc>
          <w:tcPr>
            <w:tcW w:type="dxa" w:w="5184"/>
            <w:vAlign w:val="center"/>
          </w:tcPr>
          <w:p>
            <w:r>
              <w:t>#000000</w:t>
            </w:r>
          </w:p>
        </w:tc>
      </w:tr>
      <w:tr>
        <w:tc>
          <w:tcPr>
            <w:tcW w:type="dxa" w:w="5184"/>
            <w:vAlign w:val="center"/>
          </w:tcPr>
          <w:p>
            <w:r>
              <w:t>Improvement</w:t>
            </w:r>
          </w:p>
        </w:tc>
        <w:tc>
          <w:tcPr>
            <w:tcW w:type="dxa" w:w="5184"/>
            <w:vAlign w:val="center"/>
          </w:tcPr>
          <w:p>
            <w:r>
              <w:t>#16A34A</w:t>
            </w:r>
          </w:p>
        </w:tc>
      </w:tr>
      <w:tr>
        <w:tc>
          <w:tcPr>
            <w:tcW w:type="dxa" w:w="5184"/>
            <w:vAlign w:val="center"/>
          </w:tcPr>
          <w:p>
            <w:r>
              <w:t>Deterioration</w:t>
            </w:r>
          </w:p>
        </w:tc>
        <w:tc>
          <w:tcPr>
            <w:tcW w:type="dxa" w:w="5184"/>
            <w:vAlign w:val="center"/>
          </w:tcPr>
          <w:p>
            <w:r>
              <w:t>#DC2626</w:t>
            </w:r>
          </w:p>
        </w:tc>
      </w:tr>
      <w:tr>
        <w:tc>
          <w:tcPr>
            <w:tcW w:type="dxa" w:w="5184"/>
            <w:vAlign w:val="center"/>
          </w:tcPr>
          <w:p>
            <w:r>
              <w:t>Budget exceeded</w:t>
            </w:r>
          </w:p>
        </w:tc>
        <w:tc>
          <w:tcPr>
            <w:tcW w:type="dxa" w:w="5184"/>
            <w:vAlign w:val="center"/>
          </w:tcPr>
          <w:p>
            <w:r>
              <w:t>#DC2626 + #FEF2F2</w:t>
            </w:r>
          </w:p>
        </w:tc>
      </w:tr>
      <w:tr>
        <w:tc>
          <w:tcPr>
            <w:tcW w:type="dxa" w:w="5184"/>
            <w:vAlign w:val="center"/>
          </w:tcPr>
          <w:p>
            <w:r>
              <w:t>Apply scenario</w:t>
            </w:r>
          </w:p>
        </w:tc>
        <w:tc>
          <w:tcPr>
            <w:tcW w:type="dxa" w:w="5184"/>
            <w:vAlign w:val="center"/>
          </w:tcPr>
          <w:p>
            <w:r>
              <w:t>#000000</w:t>
            </w:r>
          </w:p>
        </w:tc>
      </w:tr>
    </w:tbl>
    <w:p>
      <w:r>
        <w:rPr>
          <w:b w:val="0"/>
        </w:rPr>
        <w:t>When a scenario input changes, animate the resulting recommendation quantities, spend and risk metrics to make cause-and-effect obvious.</w:t>
      </w:r>
    </w:p>
    <w:p>
      <w:pPr>
        <w:pStyle w:val="Heading1"/>
      </w:pPr>
      <w:r>
        <w:t>13. AI Store Manager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Colour</w:t>
            </w:r>
          </w:p>
        </w:tc>
      </w:tr>
      <w:tr>
        <w:tc>
          <w:tcPr>
            <w:tcW w:type="dxa" w:w="5184"/>
            <w:vAlign w:val="center"/>
          </w:tcPr>
          <w:p>
            <w:r>
              <w:t>AI identity</w:t>
            </w:r>
          </w:p>
        </w:tc>
        <w:tc>
          <w:tcPr>
            <w:tcW w:type="dxa" w:w="5184"/>
            <w:vAlign w:val="center"/>
          </w:tcPr>
          <w:p>
            <w:r>
              <w:t>#7C3AED</w:t>
            </w:r>
          </w:p>
        </w:tc>
      </w:tr>
      <w:tr>
        <w:tc>
          <w:tcPr>
            <w:tcW w:type="dxa" w:w="5184"/>
            <w:vAlign w:val="center"/>
          </w:tcPr>
          <w:p>
            <w:r>
              <w:t>AI background</w:t>
            </w:r>
          </w:p>
        </w:tc>
        <w:tc>
          <w:tcPr>
            <w:tcW w:type="dxa" w:w="5184"/>
            <w:vAlign w:val="center"/>
          </w:tcPr>
          <w:p>
            <w:r>
              <w:t>#F5F3FF</w:t>
            </w:r>
          </w:p>
        </w:tc>
      </w:tr>
      <w:tr>
        <w:tc>
          <w:tcPr>
            <w:tcW w:type="dxa" w:w="5184"/>
            <w:vAlign w:val="center"/>
          </w:tcPr>
          <w:p>
            <w:r>
              <w:t>User message</w:t>
            </w:r>
          </w:p>
        </w:tc>
        <w:tc>
          <w:tcPr>
            <w:tcW w:type="dxa" w:w="5184"/>
            <w:vAlign w:val="center"/>
          </w:tcPr>
          <w:p>
            <w:r>
              <w:t>#000000</w:t>
            </w:r>
          </w:p>
        </w:tc>
      </w:tr>
      <w:tr>
        <w:tc>
          <w:tcPr>
            <w:tcW w:type="dxa" w:w="5184"/>
            <w:vAlign w:val="center"/>
          </w:tcPr>
          <w:p>
            <w:r>
              <w:t>AI message</w:t>
            </w:r>
          </w:p>
        </w:tc>
        <w:tc>
          <w:tcPr>
            <w:tcW w:type="dxa" w:w="5184"/>
            <w:vAlign w:val="center"/>
          </w:tcPr>
          <w:p>
            <w:r>
              <w:t>#FAFAFA / white</w:t>
            </w:r>
          </w:p>
        </w:tc>
      </w:tr>
      <w:tr>
        <w:tc>
          <w:tcPr>
            <w:tcW w:type="dxa" w:w="5184"/>
            <w:vAlign w:val="center"/>
          </w:tcPr>
          <w:p>
            <w:r>
              <w:t>Suggested prompt</w:t>
            </w:r>
          </w:p>
        </w:tc>
        <w:tc>
          <w:tcPr>
            <w:tcW w:type="dxa" w:w="5184"/>
            <w:vAlign w:val="center"/>
          </w:tcPr>
          <w:p>
            <w:r>
              <w:t>#FFFFFF + #E5E7EB</w:t>
            </w:r>
          </w:p>
        </w:tc>
      </w:tr>
      <w:tr>
        <w:tc>
          <w:tcPr>
            <w:tcW w:type="dxa" w:w="5184"/>
            <w:vAlign w:val="center"/>
          </w:tcPr>
          <w:p>
            <w:r>
              <w:t>AI action button</w:t>
            </w:r>
          </w:p>
        </w:tc>
        <w:tc>
          <w:tcPr>
            <w:tcW w:type="dxa" w:w="5184"/>
            <w:vAlign w:val="center"/>
          </w:tcPr>
          <w:p>
            <w:r>
              <w:t>#000000</w:t>
            </w:r>
          </w:p>
        </w:tc>
      </w:tr>
      <w:tr>
        <w:tc>
          <w:tcPr>
            <w:tcW w:type="dxa" w:w="5184"/>
            <w:vAlign w:val="center"/>
          </w:tcPr>
          <w:p>
            <w:r>
              <w:t>AI insight badge</w:t>
            </w:r>
          </w:p>
        </w:tc>
        <w:tc>
          <w:tcPr>
            <w:tcW w:type="dxa" w:w="5184"/>
            <w:vAlign w:val="center"/>
          </w:tcPr>
          <w:p>
            <w:r>
              <w:t>#7C3AED</w:t>
            </w:r>
          </w:p>
        </w:tc>
      </w:tr>
      <w:tr>
        <w:tc>
          <w:tcPr>
            <w:tcW w:type="dxa" w:w="5184"/>
            <w:vAlign w:val="center"/>
          </w:tcPr>
          <w:p>
            <w:r>
              <w:t>Error / uncertainty</w:t>
            </w:r>
          </w:p>
        </w:tc>
        <w:tc>
          <w:tcPr>
            <w:tcW w:type="dxa" w:w="5184"/>
            <w:vAlign w:val="center"/>
          </w:tcPr>
          <w:p>
            <w:r>
              <w:t>Semantic red/amber</w:t>
            </w:r>
          </w:p>
        </w:tc>
      </w:tr>
    </w:tbl>
    <w:p>
      <w:pPr>
        <w:pStyle w:val="ListBullet"/>
      </w:pPr>
      <w:r>
        <w:t>Purple is reserved for AI so users immediately recognize AI assistance.</w:t>
      </w:r>
    </w:p>
    <w:p>
      <w:pPr>
        <w:pStyle w:val="ListBullet"/>
      </w:pPr>
      <w:r>
        <w:t>AI must not invent inventory numbers; display data-backed answers.</w:t>
      </w:r>
    </w:p>
    <w:p>
      <w:pPr>
        <w:pStyle w:val="ListBullet"/>
      </w:pPr>
      <w:r>
        <w:t>Use compact answer cards rather than long paragraphs.</w:t>
      </w:r>
    </w:p>
    <w:p>
      <w:pPr>
        <w:pStyle w:val="ListBullet"/>
      </w:pPr>
      <w:r>
        <w:t>Suggested prompts should behave as shortcuts, not mandatory workflows.</w:t>
      </w:r>
    </w:p>
    <w:p>
      <w:pPr>
        <w:pStyle w:val="Heading1"/>
      </w:pPr>
      <w:r>
        <w:t>14. Notifications &amp; Alerts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</w:rPr>
              <w:t>Alert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Colour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456"/>
            <w:vAlign w:val="center"/>
          </w:tcPr>
          <w:p>
            <w:r>
              <w:t>Critical stockout</w:t>
            </w:r>
          </w:p>
        </w:tc>
        <w:tc>
          <w:tcPr>
            <w:tcW w:type="dxa" w:w="3456"/>
            <w:vAlign w:val="center"/>
          </w:tcPr>
          <w:p>
            <w:r>
              <w:t>#DC2626 / #FEF2F2</w:t>
            </w:r>
          </w:p>
        </w:tc>
        <w:tc>
          <w:tcPr>
            <w:tcW w:type="dxa" w:w="3456"/>
            <w:vAlign w:val="center"/>
          </w:tcPr>
          <w:p>
            <w:r>
              <w:t>Oil may stock out in 4 days</w:t>
            </w:r>
          </w:p>
        </w:tc>
      </w:tr>
      <w:tr>
        <w:tc>
          <w:tcPr>
            <w:tcW w:type="dxa" w:w="3456"/>
            <w:vAlign w:val="center"/>
          </w:tcPr>
          <w:p>
            <w:r>
              <w:t>Expiry soon</w:t>
            </w:r>
          </w:p>
        </w:tc>
        <w:tc>
          <w:tcPr>
            <w:tcW w:type="dxa" w:w="3456"/>
            <w:vAlign w:val="center"/>
          </w:tcPr>
          <w:p>
            <w:r>
              <w:t>#DC2626 or #D97706</w:t>
            </w:r>
          </w:p>
        </w:tc>
        <w:tc>
          <w:tcPr>
            <w:tcW w:type="dxa" w:w="3456"/>
            <w:vAlign w:val="center"/>
          </w:tcPr>
          <w:p>
            <w:r>
              <w:t>Milk batch expires in 2 days</w:t>
            </w:r>
          </w:p>
        </w:tc>
      </w:tr>
      <w:tr>
        <w:tc>
          <w:tcPr>
            <w:tcW w:type="dxa" w:w="3456"/>
            <w:vAlign w:val="center"/>
          </w:tcPr>
          <w:p>
            <w:r>
              <w:t>Budget warning</w:t>
            </w:r>
          </w:p>
        </w:tc>
        <w:tc>
          <w:tcPr>
            <w:tcW w:type="dxa" w:w="3456"/>
            <w:vAlign w:val="center"/>
          </w:tcPr>
          <w:p>
            <w:r>
              <w:t>#D97706 / #FFFBEB</w:t>
            </w:r>
          </w:p>
        </w:tc>
        <w:tc>
          <w:tcPr>
            <w:tcW w:type="dxa" w:w="3456"/>
            <w:vAlign w:val="center"/>
          </w:tcPr>
          <w:p>
            <w:r>
              <w:t>Purchase plan uses 90% of budget</w:t>
            </w:r>
          </w:p>
        </w:tc>
      </w:tr>
      <w:tr>
        <w:tc>
          <w:tcPr>
            <w:tcW w:type="dxa" w:w="3456"/>
            <w:vAlign w:val="center"/>
          </w:tcPr>
          <w:p>
            <w:r>
              <w:t>Supplier issue</w:t>
            </w:r>
          </w:p>
        </w:tc>
        <w:tc>
          <w:tcPr>
            <w:tcW w:type="dxa" w:w="3456"/>
            <w:vAlign w:val="center"/>
          </w:tcPr>
          <w:p>
            <w:r>
              <w:t>#D97706 / #FFFBEB</w:t>
            </w:r>
          </w:p>
        </w:tc>
        <w:tc>
          <w:tcPr>
            <w:tcW w:type="dxa" w:w="3456"/>
            <w:vAlign w:val="center"/>
          </w:tcPr>
          <w:p>
            <w:r>
              <w:t>Lead time increased</w:t>
            </w:r>
          </w:p>
        </w:tc>
      </w:tr>
      <w:tr>
        <w:tc>
          <w:tcPr>
            <w:tcW w:type="dxa" w:w="3456"/>
            <w:vAlign w:val="center"/>
          </w:tcPr>
          <w:p>
            <w:r>
              <w:t>Success</w:t>
            </w:r>
          </w:p>
        </w:tc>
        <w:tc>
          <w:tcPr>
            <w:tcW w:type="dxa" w:w="3456"/>
            <w:vAlign w:val="center"/>
          </w:tcPr>
          <w:p>
            <w:r>
              <w:t>#16A34A / #F0FDF4</w:t>
            </w:r>
          </w:p>
        </w:tc>
        <w:tc>
          <w:tcPr>
            <w:tcW w:type="dxa" w:w="3456"/>
            <w:vAlign w:val="center"/>
          </w:tcPr>
          <w:p>
            <w:r>
              <w:t>Purchase plan updated</w:t>
            </w:r>
          </w:p>
        </w:tc>
      </w:tr>
      <w:tr>
        <w:tc>
          <w:tcPr>
            <w:tcW w:type="dxa" w:w="3456"/>
            <w:vAlign w:val="center"/>
          </w:tcPr>
          <w:p>
            <w:r>
              <w:t>Information</w:t>
            </w:r>
          </w:p>
        </w:tc>
        <w:tc>
          <w:tcPr>
            <w:tcW w:type="dxa" w:w="3456"/>
            <w:vAlign w:val="center"/>
          </w:tcPr>
          <w:p>
            <w:r>
              <w:t>#52525B / #F4F4F5</w:t>
            </w:r>
          </w:p>
        </w:tc>
        <w:tc>
          <w:tcPr>
            <w:tcW w:type="dxa" w:w="3456"/>
            <w:vAlign w:val="center"/>
          </w:tcPr>
          <w:p>
            <w:r>
              <w:t>Sales data synced</w:t>
            </w:r>
          </w:p>
        </w:tc>
      </w:tr>
    </w:tbl>
    <w:p>
      <w:pPr>
        <w:pStyle w:val="Heading1"/>
      </w:pPr>
      <w:r>
        <w:t>15. Empty, Loading &amp; Error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type="dxa" w:w="5184"/>
            <w:vAlign w:val="center"/>
          </w:tcPr>
          <w:p>
            <w:r>
              <w:t>Loading</w:t>
            </w:r>
          </w:p>
        </w:tc>
        <w:tc>
          <w:tcPr>
            <w:tcW w:type="dxa" w:w="5184"/>
            <w:vAlign w:val="center"/>
          </w:tcPr>
          <w:p>
            <w:r>
              <w:t>Skeleton blocks; neutral grey only; no flashing.</w:t>
            </w:r>
          </w:p>
        </w:tc>
      </w:tr>
      <w:tr>
        <w:tc>
          <w:tcPr>
            <w:tcW w:type="dxa" w:w="5184"/>
            <w:vAlign w:val="center"/>
          </w:tcPr>
          <w:p>
            <w:r>
              <w:t>No data</w:t>
            </w:r>
          </w:p>
        </w:tc>
        <w:tc>
          <w:tcPr>
            <w:tcW w:type="dxa" w:w="5184"/>
            <w:vAlign w:val="center"/>
          </w:tcPr>
          <w:p>
            <w:r>
              <w:t>Simple icon/illustration + explanation + black CTA.</w:t>
            </w:r>
          </w:p>
        </w:tc>
      </w:tr>
      <w:tr>
        <w:tc>
          <w:tcPr>
            <w:tcW w:type="dxa" w:w="5184"/>
            <w:vAlign w:val="center"/>
          </w:tcPr>
          <w:p>
            <w:r>
              <w:t>Low forecast confidence</w:t>
            </w:r>
          </w:p>
        </w:tc>
        <w:tc>
          <w:tcPr>
            <w:tcW w:type="dxa" w:w="5184"/>
            <w:vAlign w:val="center"/>
          </w:tcPr>
          <w:p>
            <w:r>
              <w:t>Amber badge + clear explanation.</w:t>
            </w:r>
          </w:p>
        </w:tc>
      </w:tr>
      <w:tr>
        <w:tc>
          <w:tcPr>
            <w:tcW w:type="dxa" w:w="5184"/>
            <w:vAlign w:val="center"/>
          </w:tcPr>
          <w:p>
            <w:r>
              <w:t>No purchase needed</w:t>
            </w:r>
          </w:p>
        </w:tc>
        <w:tc>
          <w:tcPr>
            <w:tcW w:type="dxa" w:w="5184"/>
            <w:vAlign w:val="center"/>
          </w:tcPr>
          <w:p>
            <w:r>
              <w:t>Green healthy state + 'No purchase needed today.'</w:t>
            </w:r>
          </w:p>
        </w:tc>
      </w:tr>
      <w:tr>
        <w:tc>
          <w:tcPr>
            <w:tcW w:type="dxa" w:w="5184"/>
            <w:vAlign w:val="center"/>
          </w:tcPr>
          <w:p>
            <w:r>
              <w:t>Budget exceeded</w:t>
            </w:r>
          </w:p>
        </w:tc>
        <w:tc>
          <w:tcPr>
            <w:tcW w:type="dxa" w:w="5184"/>
            <w:vAlign w:val="center"/>
          </w:tcPr>
          <w:p>
            <w:r>
              <w:t>Red/amber warning + prioritized plan + edit budget CTA.</w:t>
            </w:r>
          </w:p>
        </w:tc>
      </w:tr>
      <w:tr>
        <w:tc>
          <w:tcPr>
            <w:tcW w:type="dxa" w:w="5184"/>
            <w:vAlign w:val="center"/>
          </w:tcPr>
          <w:p>
            <w:r>
              <w:t>Stale data</w:t>
            </w:r>
          </w:p>
        </w:tc>
        <w:tc>
          <w:tcPr>
            <w:tcW w:type="dxa" w:w="5184"/>
            <w:vAlign w:val="center"/>
          </w:tcPr>
          <w:p>
            <w:r>
              <w:t>Amber freshness indicator near affected data.</w:t>
            </w:r>
          </w:p>
        </w:tc>
      </w:tr>
      <w:tr>
        <w:tc>
          <w:tcPr>
            <w:tcW w:type="dxa" w:w="5184"/>
            <w:vAlign w:val="center"/>
          </w:tcPr>
          <w:p>
            <w:r>
              <w:t>System error</w:t>
            </w:r>
          </w:p>
        </w:tc>
        <w:tc>
          <w:tcPr>
            <w:tcW w:type="dxa" w:w="5184"/>
            <w:vAlign w:val="center"/>
          </w:tcPr>
          <w:p>
            <w:r>
              <w:t>Neutral error container + retry black CTA.</w:t>
            </w:r>
          </w:p>
        </w:tc>
      </w:tr>
      <w:tr>
        <w:tc>
          <w:tcPr>
            <w:tcW w:type="dxa" w:w="5184"/>
            <w:vAlign w:val="center"/>
          </w:tcPr>
          <w:p>
            <w:r>
              <w:t>Partial data</w:t>
            </w:r>
          </w:p>
        </w:tc>
        <w:tc>
          <w:tcPr>
            <w:tcW w:type="dxa" w:w="5184"/>
            <w:vAlign w:val="center"/>
          </w:tcPr>
          <w:p>
            <w:r>
              <w:t>Explicitly identify unavailable inputs.</w:t>
            </w:r>
          </w:p>
        </w:tc>
      </w:tr>
    </w:tbl>
    <w:p>
      <w:pPr>
        <w:pStyle w:val="Heading1"/>
      </w:pPr>
      <w:r>
        <w:t>16. UI Animation &amp; Motion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Interaction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Animation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t>Page/section entrance</w:t>
            </w:r>
          </w:p>
        </w:tc>
        <w:tc>
          <w:tcPr>
            <w:tcW w:type="dxa" w:w="5184"/>
            <w:vAlign w:val="center"/>
          </w:tcPr>
          <w:p>
            <w:r>
              <w:t>150–220ms fade + 4–8px upward movement</w:t>
            </w:r>
          </w:p>
        </w:tc>
      </w:tr>
      <w:tr>
        <w:tc>
          <w:tcPr>
            <w:tcW w:type="dxa" w:w="5184"/>
            <w:vAlign w:val="center"/>
          </w:tcPr>
          <w:p>
            <w:r>
              <w:t>Card hover</w:t>
            </w:r>
          </w:p>
        </w:tc>
        <w:tc>
          <w:tcPr>
            <w:tcW w:type="dxa" w:w="5184"/>
            <w:vAlign w:val="center"/>
          </w:tcPr>
          <w:p>
            <w:r>
              <w:t>120–160ms subtle elevation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t>Button press</w:t>
            </w:r>
          </w:p>
        </w:tc>
        <w:tc>
          <w:tcPr>
            <w:tcW w:type="dxa" w:w="5184"/>
            <w:vAlign w:val="center"/>
          </w:tcPr>
          <w:p>
            <w:r>
              <w:t>80–120ms scale to ~0.98 then return</w:t>
            </w:r>
          </w:p>
        </w:tc>
      </w:tr>
      <w:tr>
        <w:tc>
          <w:tcPr>
            <w:tcW w:type="dxa" w:w="5184"/>
            <w:vAlign w:val="center"/>
          </w:tcPr>
          <w:p>
            <w:r>
              <w:t>Drawer open</w:t>
            </w:r>
          </w:p>
        </w:tc>
        <w:tc>
          <w:tcPr>
            <w:tcW w:type="dxa" w:w="5184"/>
            <w:vAlign w:val="center"/>
          </w:tcPr>
          <w:p>
            <w:r>
              <w:t>180–240ms slide from right + fade overlay</w:t>
            </w:r>
          </w:p>
        </w:tc>
      </w:tr>
      <w:tr>
        <w:tc>
          <w:tcPr>
            <w:tcW w:type="dxa" w:w="5184"/>
            <w:vAlign w:val="center"/>
          </w:tcPr>
          <w:p>
            <w:r>
              <w:t>Modal</w:t>
            </w:r>
          </w:p>
        </w:tc>
        <w:tc>
          <w:tcPr>
            <w:tcW w:type="dxa" w:w="5184"/>
            <w:vAlign w:val="center"/>
          </w:tcPr>
          <w:p>
            <w:r>
              <w:t>160–220ms fade + small scale</w:t>
            </w:r>
          </w:p>
        </w:tc>
      </w:tr>
      <w:tr>
        <w:tc>
          <w:tcPr>
            <w:tcW w:type="dxa" w:w="5184"/>
            <w:vAlign w:val="center"/>
          </w:tcPr>
          <w:p>
            <w:r>
              <w:t>Risk badge change</w:t>
            </w:r>
          </w:p>
        </w:tc>
        <w:tc>
          <w:tcPr>
            <w:tcW w:type="dxa" w:w="5184"/>
            <w:vAlign w:val="center"/>
          </w:tcPr>
          <w:p>
            <w:r>
              <w:t>150–200ms colour/opacity transition</w:t>
            </w:r>
          </w:p>
        </w:tc>
      </w:tr>
      <w:tr>
        <w:tc>
          <w:tcPr>
            <w:tcW w:type="dxa" w:w="5184"/>
            <w:vAlign w:val="center"/>
          </w:tcPr>
          <w:p>
            <w:r>
              <w:t>Number update</w:t>
            </w:r>
          </w:p>
        </w:tc>
        <w:tc>
          <w:tcPr>
            <w:tcW w:type="dxa" w:w="5184"/>
            <w:vAlign w:val="center"/>
          </w:tcPr>
          <w:p>
            <w:r>
              <w:t>200–400ms smooth count/transition</w:t>
            </w:r>
          </w:p>
        </w:tc>
      </w:tr>
      <w:tr>
        <w:tc>
          <w:tcPr>
            <w:tcW w:type="dxa" w:w="5184"/>
            <w:vAlign w:val="center"/>
          </w:tcPr>
          <w:p>
            <w:r>
              <w:t>What-if recalculation</w:t>
            </w:r>
          </w:p>
        </w:tc>
        <w:tc>
          <w:tcPr>
            <w:tcW w:type="dxa" w:w="5184"/>
            <w:vAlign w:val="center"/>
          </w:tcPr>
          <w:p>
            <w:r>
              <w:t>250–500ms coordinated metric transition</w:t>
            </w:r>
          </w:p>
        </w:tc>
      </w:tr>
      <w:tr>
        <w:tc>
          <w:tcPr>
            <w:tcW w:type="dxa" w:w="5184"/>
            <w:vAlign w:val="center"/>
          </w:tcPr>
          <w:p>
            <w:r>
              <w:t>AI response</w:t>
            </w:r>
          </w:p>
        </w:tc>
        <w:tc>
          <w:tcPr>
            <w:tcW w:type="dxa" w:w="5184"/>
            <w:vAlign w:val="center"/>
          </w:tcPr>
          <w:p>
            <w:r>
              <w:t>Fast content reveal; avoid artificial long typing delays</w:t>
            </w:r>
          </w:p>
        </w:tc>
      </w:tr>
      <w:tr>
        <w:tc>
          <w:tcPr>
            <w:tcW w:type="dxa" w:w="5184"/>
            <w:vAlign w:val="center"/>
          </w:tcPr>
          <w:p>
            <w:r>
              <w:t>Toast</w:t>
            </w:r>
          </w:p>
        </w:tc>
        <w:tc>
          <w:tcPr>
            <w:tcW w:type="dxa" w:w="5184"/>
            <w:vAlign w:val="center"/>
          </w:tcPr>
          <w:p>
            <w:r>
              <w:t>150–200ms slide/fade</w:t>
            </w:r>
          </w:p>
        </w:tc>
      </w:tr>
    </w:tbl>
    <w:p>
      <w:r>
        <w:rPr>
          <w:b w:val="0"/>
        </w:rPr>
        <w:t>Motion rule: every animation must communicate state, hierarchy, cause-and-effect or feedback. If animation does not improve understanding, keep it extremely subtle or remove it.</w:t>
      </w:r>
    </w:p>
    <w:p>
      <w:pPr>
        <w:pStyle w:val="Heading1"/>
      </w:pPr>
      <w:r>
        <w:t>17. UX Laws / Behavioural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Principle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Frontend application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t>Cognitive Load Reduction</w:t>
            </w:r>
          </w:p>
        </w:tc>
        <w:tc>
          <w:tcPr>
            <w:tcW w:type="dxa" w:w="5184"/>
            <w:vAlign w:val="center"/>
          </w:tcPr>
          <w:p>
            <w:r>
              <w:t>Show recommendation before raw analytics.</w:t>
            </w:r>
          </w:p>
        </w:tc>
      </w:tr>
      <w:tr>
        <w:tc>
          <w:tcPr>
            <w:tcW w:type="dxa" w:w="5184"/>
            <w:vAlign w:val="center"/>
          </w:tcPr>
          <w:p>
            <w:r>
              <w:t>Progressive Disclosure</w:t>
            </w:r>
          </w:p>
        </w:tc>
        <w:tc>
          <w:tcPr>
            <w:tcW w:type="dxa" w:w="5184"/>
            <w:vAlign w:val="center"/>
          </w:tcPr>
          <w:p>
            <w:r>
              <w:t>Use 'Why?' drawers for advanced evidence.</w:t>
            </w:r>
          </w:p>
        </w:tc>
      </w:tr>
      <w:tr>
        <w:tc>
          <w:tcPr>
            <w:tcW w:type="dxa" w:w="5184"/>
            <w:vAlign w:val="center"/>
          </w:tcPr>
          <w:p>
            <w:r>
              <w:t>Hick's Law</w:t>
            </w:r>
          </w:p>
        </w:tc>
        <w:tc>
          <w:tcPr>
            <w:tcW w:type="dxa" w:w="5184"/>
            <w:vAlign w:val="center"/>
          </w:tcPr>
          <w:p>
            <w:r>
              <w:t>Present one recommended primary action; alternatives secondary.</w:t>
            </w:r>
          </w:p>
        </w:tc>
      </w:tr>
      <w:tr>
        <w:tc>
          <w:tcPr>
            <w:tcW w:type="dxa" w:w="5184"/>
            <w:vAlign w:val="center"/>
          </w:tcPr>
          <w:p>
            <w:r>
              <w:t>Fitts's Law</w:t>
            </w:r>
          </w:p>
        </w:tc>
        <w:tc>
          <w:tcPr>
            <w:tcW w:type="dxa" w:w="5184"/>
            <w:vAlign w:val="center"/>
          </w:tcPr>
          <w:p>
            <w:r>
              <w:t>Make important CTAs large and easy to reach/click.</w:t>
            </w:r>
          </w:p>
        </w:tc>
      </w:tr>
      <w:tr>
        <w:tc>
          <w:tcPr>
            <w:tcW w:type="dxa" w:w="5184"/>
            <w:vAlign w:val="center"/>
          </w:tcPr>
          <w:p>
            <w:r>
              <w:t>Jakob's Law</w:t>
            </w:r>
          </w:p>
        </w:tc>
        <w:tc>
          <w:tcPr>
            <w:tcW w:type="dxa" w:w="5184"/>
            <w:vAlign w:val="center"/>
          </w:tcPr>
          <w:p>
            <w:r>
              <w:t>Use familiar dashboard, table, search and filter patterns.</w:t>
            </w:r>
          </w:p>
        </w:tc>
      </w:tr>
      <w:tr>
        <w:tc>
          <w:tcPr>
            <w:tcW w:type="dxa" w:w="5184"/>
            <w:vAlign w:val="center"/>
          </w:tcPr>
          <w:p>
            <w:r>
              <w:t>Gestalt Proximity</w:t>
            </w:r>
          </w:p>
        </w:tc>
        <w:tc>
          <w:tcPr>
            <w:tcW w:type="dxa" w:w="5184"/>
            <w:vAlign w:val="center"/>
          </w:tcPr>
          <w:p>
            <w:r>
              <w:t>Group product, risk, financial impact and action together.</w:t>
            </w:r>
          </w:p>
        </w:tc>
      </w:tr>
      <w:tr>
        <w:tc>
          <w:tcPr>
            <w:tcW w:type="dxa" w:w="5184"/>
            <w:vAlign w:val="center"/>
          </w:tcPr>
          <w:p>
            <w:r>
              <w:t>Gestalt Similarity</w:t>
            </w:r>
          </w:p>
        </w:tc>
        <w:tc>
          <w:tcPr>
            <w:tcW w:type="dxa" w:w="5184"/>
            <w:vAlign w:val="center"/>
          </w:tcPr>
          <w:p>
            <w:r>
              <w:t>Same status/badge treatment across modules.</w:t>
            </w:r>
          </w:p>
        </w:tc>
      </w:tr>
      <w:tr>
        <w:tc>
          <w:tcPr>
            <w:tcW w:type="dxa" w:w="5184"/>
            <w:vAlign w:val="center"/>
          </w:tcPr>
          <w:p>
            <w:r>
              <w:t>Von Restorff Effect</w:t>
            </w:r>
          </w:p>
        </w:tc>
        <w:tc>
          <w:tcPr>
            <w:tcW w:type="dxa" w:w="5184"/>
            <w:vAlign w:val="center"/>
          </w:tcPr>
          <w:p>
            <w:r>
              <w:t>Use strong contrast only for genuinely important items.</w:t>
            </w:r>
          </w:p>
        </w:tc>
      </w:tr>
      <w:tr>
        <w:tc>
          <w:tcPr>
            <w:tcW w:type="dxa" w:w="5184"/>
            <w:vAlign w:val="center"/>
          </w:tcPr>
          <w:p>
            <w:r>
              <w:t>Peak-End Rule</w:t>
            </w:r>
          </w:p>
        </w:tc>
        <w:tc>
          <w:tcPr>
            <w:tcW w:type="dxa" w:w="5184"/>
            <w:vAlign w:val="center"/>
          </w:tcPr>
          <w:p>
            <w:r>
              <w:t>Make purchase confirmation and scenario results especially clear.</w:t>
            </w:r>
          </w:p>
        </w:tc>
      </w:tr>
      <w:tr>
        <w:tc>
          <w:tcPr>
            <w:tcW w:type="dxa" w:w="5184"/>
            <w:vAlign w:val="center"/>
          </w:tcPr>
          <w:p>
            <w:r>
              <w:t>Tesler's Law</w:t>
            </w:r>
          </w:p>
        </w:tc>
        <w:tc>
          <w:tcPr>
            <w:tcW w:type="dxa" w:w="5184"/>
            <w:vAlign w:val="center"/>
          </w:tcPr>
          <w:p>
            <w:r>
              <w:t>Hide calculation complexity; expose simple decisions.</w:t>
            </w:r>
          </w:p>
        </w:tc>
      </w:tr>
      <w:tr>
        <w:tc>
          <w:tcPr>
            <w:tcW w:type="dxa" w:w="5184"/>
            <w:vAlign w:val="center"/>
          </w:tcPr>
          <w:p>
            <w:r>
              <w:t>Doherty Threshold</w:t>
            </w:r>
          </w:p>
        </w:tc>
        <w:tc>
          <w:tcPr>
            <w:tcW w:type="dxa" w:w="5184"/>
            <w:vAlign w:val="center"/>
          </w:tcPr>
          <w:p>
            <w:r>
              <w:t>Provide immediate feedback while longer calculations run.</w:t>
            </w:r>
          </w:p>
        </w:tc>
      </w:tr>
      <w:tr>
        <w:tc>
          <w:tcPr>
            <w:tcW w:type="dxa" w:w="5184"/>
            <w:vAlign w:val="center"/>
          </w:tcPr>
          <w:p>
            <w:r>
              <w:t>Aesthetic-Usability Effect</w:t>
            </w:r>
          </w:p>
        </w:tc>
        <w:tc>
          <w:tcPr>
            <w:tcW w:type="dxa" w:w="5184"/>
            <w:vAlign w:val="center"/>
          </w:tcPr>
          <w:p>
            <w:r>
              <w:t>Maintain polished, consistent visuals.</w:t>
            </w:r>
          </w:p>
        </w:tc>
      </w:tr>
      <w:tr>
        <w:tc>
          <w:tcPr>
            <w:tcW w:type="dxa" w:w="5184"/>
            <w:vAlign w:val="center"/>
          </w:tcPr>
          <w:p>
            <w:r>
              <w:t>Feedback Principle</w:t>
            </w:r>
          </w:p>
        </w:tc>
        <w:tc>
          <w:tcPr>
            <w:tcW w:type="dxa" w:w="5184"/>
            <w:vAlign w:val="center"/>
          </w:tcPr>
          <w:p>
            <w:r>
              <w:t>Every user action gets clear visual feedback.</w:t>
            </w:r>
          </w:p>
        </w:tc>
      </w:tr>
      <w:tr>
        <w:tc>
          <w:tcPr>
            <w:tcW w:type="dxa" w:w="5184"/>
            <w:vAlign w:val="center"/>
          </w:tcPr>
          <w:p>
            <w:r>
              <w:t>Error Prevention</w:t>
            </w:r>
          </w:p>
        </w:tc>
        <w:tc>
          <w:tcPr>
            <w:tcW w:type="dxa" w:w="5184"/>
            <w:vAlign w:val="center"/>
          </w:tcPr>
          <w:p>
            <w:r>
              <w:t>Warn before confirming budget/constraint violations.</w:t>
            </w:r>
          </w:p>
        </w:tc>
      </w:tr>
      <w:tr>
        <w:tc>
          <w:tcPr>
            <w:tcW w:type="dxa" w:w="5184"/>
            <w:vAlign w:val="center"/>
          </w:tcPr>
          <w:p>
            <w:r>
              <w:t>User Control</w:t>
            </w:r>
          </w:p>
        </w:tc>
        <w:tc>
          <w:tcPr>
            <w:tcW w:type="dxa" w:w="5184"/>
            <w:vAlign w:val="center"/>
          </w:tcPr>
          <w:p>
            <w:r>
              <w:t>Allow quantity edits, budget changes and scenario testing.</w:t>
            </w:r>
          </w:p>
        </w:tc>
      </w:tr>
    </w:tbl>
    <w:p>
      <w:pPr>
        <w:pStyle w:val="Heading1"/>
      </w:pPr>
      <w:r>
        <w:t>18. Apple-Inspired UX Direction</w:t>
      </w:r>
    </w:p>
    <w:p>
      <w:pPr>
        <w:pStyle w:val="ListBullet"/>
      </w:pPr>
      <w:r>
        <w:t>Use hierarchy, clarity, consistency and purposeful motion—not a literal copy of Apple's UI.</w:t>
      </w:r>
    </w:p>
    <w:p>
      <w:pPr>
        <w:pStyle w:val="ListBullet"/>
      </w:pPr>
      <w:r>
        <w:t>Prefer clean surfaces, strong typography and generous spacing.</w:t>
      </w:r>
    </w:p>
    <w:p>
      <w:pPr>
        <w:pStyle w:val="ListBullet"/>
      </w:pPr>
      <w:r>
        <w:t>Keep controls predictable and familiar.</w:t>
      </w:r>
    </w:p>
    <w:p>
      <w:pPr>
        <w:pStyle w:val="ListBullet"/>
      </w:pPr>
      <w:r>
        <w:t>Use progressive disclosure for advanced information.</w:t>
      </w:r>
    </w:p>
    <w:p>
      <w:pPr>
        <w:pStyle w:val="ListBullet"/>
      </w:pPr>
      <w:r>
        <w:t>Use blur/material effects sparingly, if at all.</w:t>
      </w:r>
    </w:p>
    <w:p>
      <w:pPr>
        <w:pStyle w:val="ListBullet"/>
      </w:pPr>
      <w:r>
        <w:t>Support accessibility, keyboard focus, reduced motion and non-colour status communication.</w:t>
      </w:r>
    </w:p>
    <w:p>
      <w:pPr>
        <w:pStyle w:val="Heading1"/>
      </w:pPr>
      <w:r>
        <w:t>19. Accessibility Requirements</w:t>
      </w:r>
    </w:p>
    <w:p>
      <w:pPr>
        <w:pStyle w:val="ListBullet"/>
      </w:pPr>
      <w:r>
        <w:t>Maintain strong text/background contrast.</w:t>
      </w:r>
    </w:p>
    <w:p>
      <w:pPr>
        <w:pStyle w:val="ListBullet"/>
      </w:pPr>
      <w:r>
        <w:t>Never use red/green alone to distinguish risk; include text/icons.</w:t>
      </w:r>
    </w:p>
    <w:p>
      <w:pPr>
        <w:pStyle w:val="ListBullet"/>
      </w:pPr>
      <w:r>
        <w:t>Provide visible keyboard focus states.</w:t>
      </w:r>
    </w:p>
    <w:p>
      <w:pPr>
        <w:pStyle w:val="ListBullet"/>
      </w:pPr>
      <w:r>
        <w:t>Interactive targets should be comfortably clickable/tappable.</w:t>
      </w:r>
    </w:p>
    <w:p>
      <w:pPr>
        <w:pStyle w:val="ListBullet"/>
      </w:pPr>
      <w:r>
        <w:t>Charts need text summaries.</w:t>
      </w:r>
    </w:p>
    <w:p>
      <w:pPr>
        <w:pStyle w:val="ListBullet"/>
      </w:pPr>
      <w:r>
        <w:t>Respect prefers-reduced-motion.</w:t>
      </w:r>
    </w:p>
    <w:p>
      <w:pPr>
        <w:pStyle w:val="ListBullet"/>
      </w:pPr>
      <w:r>
        <w:t>Avoid rapid flashing or attention-grabbing motion.</w:t>
      </w:r>
    </w:p>
    <w:p>
      <w:pPr>
        <w:pStyle w:val="Heading1"/>
      </w:pPr>
      <w:r>
        <w:t>20. Component States — Must Be Designed</w:t>
      </w:r>
    </w:p>
    <w:p>
      <w:pPr>
        <w:pStyle w:val="ListBullet"/>
      </w:pPr>
      <w:r>
        <w:t>Default</w:t>
      </w:r>
    </w:p>
    <w:p>
      <w:pPr>
        <w:pStyle w:val="ListBullet"/>
      </w:pPr>
      <w:r>
        <w:t>Hover</w:t>
      </w:r>
    </w:p>
    <w:p>
      <w:pPr>
        <w:pStyle w:val="ListBullet"/>
      </w:pPr>
      <w:r>
        <w:t>Pressed</w:t>
      </w:r>
    </w:p>
    <w:p>
      <w:pPr>
        <w:pStyle w:val="ListBullet"/>
      </w:pPr>
      <w:r>
        <w:t>Focused</w:t>
      </w:r>
    </w:p>
    <w:p>
      <w:pPr>
        <w:pStyle w:val="ListBullet"/>
      </w:pPr>
      <w:r>
        <w:t>Selected</w:t>
      </w:r>
    </w:p>
    <w:p>
      <w:pPr>
        <w:pStyle w:val="ListBullet"/>
      </w:pPr>
      <w:r>
        <w:t>Disabled</w:t>
      </w:r>
    </w:p>
    <w:p>
      <w:pPr>
        <w:pStyle w:val="ListBullet"/>
      </w:pPr>
      <w:r>
        <w:t>Loading</w:t>
      </w:r>
    </w:p>
    <w:p>
      <w:pPr>
        <w:pStyle w:val="ListBullet"/>
      </w:pPr>
      <w:r>
        <w:t>Success</w:t>
      </w:r>
    </w:p>
    <w:p>
      <w:pPr>
        <w:pStyle w:val="ListBullet"/>
      </w:pPr>
      <w:r>
        <w:t>Warning</w:t>
      </w:r>
    </w:p>
    <w:p>
      <w:pPr>
        <w:pStyle w:val="ListBullet"/>
      </w:pPr>
      <w:r>
        <w:t>Error</w:t>
      </w:r>
    </w:p>
    <w:p>
      <w:pPr>
        <w:pStyle w:val="ListBullet"/>
      </w:pPr>
      <w:r>
        <w:t>Empty</w:t>
      </w:r>
    </w:p>
    <w:p>
      <w:pPr>
        <w:pStyle w:val="Heading1"/>
      </w:pPr>
      <w:r>
        <w:t>21. Frontend Design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Token Group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Suggested Values</w:t>
            </w:r>
          </w:p>
        </w:tc>
      </w:tr>
      <w:tr>
        <w:tc>
          <w:tcPr>
            <w:tcW w:type="dxa" w:w="5184"/>
            <w:vAlign w:val="center"/>
          </w:tcPr>
          <w:p>
            <w:r>
              <w:t>Primary</w:t>
            </w:r>
          </w:p>
        </w:tc>
        <w:tc>
          <w:tcPr>
            <w:tcW w:type="dxa" w:w="5184"/>
            <w:vAlign w:val="center"/>
          </w:tcPr>
          <w:p>
            <w:r>
              <w:t>--color-primary: #000000; --color-primary-hover: #1F1F1F</w:t>
            </w:r>
          </w:p>
        </w:tc>
      </w:tr>
      <w:tr>
        <w:tc>
          <w:tcPr>
            <w:tcW w:type="dxa" w:w="5184"/>
            <w:vAlign w:val="center"/>
          </w:tcPr>
          <w:p>
            <w:r>
              <w:t>Background</w:t>
            </w:r>
          </w:p>
        </w:tc>
        <w:tc>
          <w:tcPr>
            <w:tcW w:type="dxa" w:w="5184"/>
            <w:vAlign w:val="center"/>
          </w:tcPr>
          <w:p>
            <w:r>
              <w:t>--color-bg: #FFFFFF; --color-surface-soft: #FAFAFA</w:t>
            </w:r>
          </w:p>
        </w:tc>
      </w:tr>
      <w:tr>
        <w:tc>
          <w:tcPr>
            <w:tcW w:type="dxa" w:w="5184"/>
            <w:vAlign w:val="center"/>
          </w:tcPr>
          <w:p>
            <w:r>
              <w:t>Text</w:t>
            </w:r>
          </w:p>
        </w:tc>
        <w:tc>
          <w:tcPr>
            <w:tcW w:type="dxa" w:w="5184"/>
            <w:vAlign w:val="center"/>
          </w:tcPr>
          <w:p>
            <w:r>
              <w:t>--text-primary: #111111; --text-secondary: #6B7280; --text-muted: #9CA3AF</w:t>
            </w:r>
          </w:p>
        </w:tc>
      </w:tr>
      <w:tr>
        <w:tc>
          <w:tcPr>
            <w:tcW w:type="dxa" w:w="5184"/>
            <w:vAlign w:val="center"/>
          </w:tcPr>
          <w:p>
            <w:r>
              <w:t>Border</w:t>
            </w:r>
          </w:p>
        </w:tc>
        <w:tc>
          <w:tcPr>
            <w:tcW w:type="dxa" w:w="5184"/>
            <w:vAlign w:val="center"/>
          </w:tcPr>
          <w:p>
            <w:r>
              <w:t>--border: #E5E7EB; --border-strong: #D1D5DB</w:t>
            </w:r>
          </w:p>
        </w:tc>
      </w:tr>
      <w:tr>
        <w:tc>
          <w:tcPr>
            <w:tcW w:type="dxa" w:w="5184"/>
            <w:vAlign w:val="center"/>
          </w:tcPr>
          <w:p>
            <w:r>
              <w:t>Success</w:t>
            </w:r>
          </w:p>
        </w:tc>
        <w:tc>
          <w:tcPr>
            <w:tcW w:type="dxa" w:w="5184"/>
            <w:vAlign w:val="center"/>
          </w:tcPr>
          <w:p>
            <w:r>
              <w:t>--success: #16A34A; --success-bg: #F0FDF4</w:t>
            </w:r>
          </w:p>
        </w:tc>
      </w:tr>
      <w:tr>
        <w:tc>
          <w:tcPr>
            <w:tcW w:type="dxa" w:w="5184"/>
            <w:vAlign w:val="center"/>
          </w:tcPr>
          <w:p>
            <w:r>
              <w:t>Warning</w:t>
            </w:r>
          </w:p>
        </w:tc>
        <w:tc>
          <w:tcPr>
            <w:tcW w:type="dxa" w:w="5184"/>
            <w:vAlign w:val="center"/>
          </w:tcPr>
          <w:p>
            <w:r>
              <w:t>--warning: #D97706; --warning-bg: #FFFBEB</w:t>
            </w:r>
          </w:p>
        </w:tc>
      </w:tr>
      <w:tr>
        <w:tc>
          <w:tcPr>
            <w:tcW w:type="dxa" w:w="5184"/>
            <w:vAlign w:val="center"/>
          </w:tcPr>
          <w:p>
            <w:r>
              <w:t>Danger</w:t>
            </w:r>
          </w:p>
        </w:tc>
        <w:tc>
          <w:tcPr>
            <w:tcW w:type="dxa" w:w="5184"/>
            <w:vAlign w:val="center"/>
          </w:tcPr>
          <w:p>
            <w:r>
              <w:t>--danger: #DC2626; --danger-bg: #FEF2F2</w:t>
            </w:r>
          </w:p>
        </w:tc>
      </w:tr>
      <w:tr>
        <w:tc>
          <w:tcPr>
            <w:tcW w:type="dxa" w:w="5184"/>
            <w:vAlign w:val="center"/>
          </w:tcPr>
          <w:p>
            <w:r>
              <w:t>AI</w:t>
            </w:r>
          </w:p>
        </w:tc>
        <w:tc>
          <w:tcPr>
            <w:tcW w:type="dxa" w:w="5184"/>
            <w:vAlign w:val="center"/>
          </w:tcPr>
          <w:p>
            <w:r>
              <w:t>--ai: #7C3AED; --ai-bg: #F5F3FF</w:t>
            </w:r>
          </w:p>
        </w:tc>
      </w:tr>
      <w:tr>
        <w:tc>
          <w:tcPr>
            <w:tcW w:type="dxa" w:w="5184"/>
            <w:vAlign w:val="center"/>
          </w:tcPr>
          <w:p>
            <w:r>
              <w:t>Radius</w:t>
            </w:r>
          </w:p>
        </w:tc>
        <w:tc>
          <w:tcPr>
            <w:tcW w:type="dxa" w:w="5184"/>
            <w:vAlign w:val="center"/>
          </w:tcPr>
          <w:p>
            <w:r>
              <w:t>8 / 10 / 12 / 14px</w:t>
            </w:r>
          </w:p>
        </w:tc>
      </w:tr>
      <w:tr>
        <w:tc>
          <w:tcPr>
            <w:tcW w:type="dxa" w:w="5184"/>
            <w:vAlign w:val="center"/>
          </w:tcPr>
          <w:p>
            <w:r>
              <w:t>Spacing</w:t>
            </w:r>
          </w:p>
        </w:tc>
        <w:tc>
          <w:tcPr>
            <w:tcW w:type="dxa" w:w="5184"/>
            <w:vAlign w:val="center"/>
          </w:tcPr>
          <w:p>
            <w:r>
              <w:t>4 / 8 / 12 / 16 / 24 / 32 / 48px</w:t>
            </w:r>
          </w:p>
        </w:tc>
      </w:tr>
      <w:tr>
        <w:tc>
          <w:tcPr>
            <w:tcW w:type="dxa" w:w="5184"/>
            <w:vAlign w:val="center"/>
          </w:tcPr>
          <w:p>
            <w:r>
              <w:t>Motion</w:t>
            </w:r>
          </w:p>
        </w:tc>
        <w:tc>
          <w:tcPr>
            <w:tcW w:type="dxa" w:w="5184"/>
            <w:vAlign w:val="center"/>
          </w:tcPr>
          <w:p>
            <w:r>
              <w:t>Fast 120–160ms; normal 180–240ms; data transition 250–500ms</w:t>
            </w:r>
          </w:p>
        </w:tc>
      </w:tr>
    </w:tbl>
    <w:p>
      <w:pPr>
        <w:pStyle w:val="Heading1"/>
      </w:pPr>
      <w:r>
        <w:t>22. Final Visual Rule</w:t>
      </w:r>
    </w:p>
    <w:p>
      <w:r>
        <w:rPr>
          <w:b w:val="0"/>
        </w:rPr>
        <w:t>The product should look black-and-white first, semantic second, AI third. Black and pure white create the brand; red/amber/green communicate business risk; purple identifies AI. This prevents the dashboard from becoming visually noisy while keeping urgent decisions immediately visible.</w:t>
      </w:r>
    </w:p>
    <w:p>
      <w:r>
        <w:rPr>
          <w:b w:val="0"/>
        </w:rPr>
        <w:t>Ideal experience: SEE → UNDERSTAND → DECIDE → ACT. The supermarket owner should not need to understand the underlying AI model to use the system confidently.</w:t>
      </w:r>
    </w:p>
    <w:p>
      <w:pPr>
        <w:pStyle w:val="Heading1"/>
      </w:pPr>
      <w:r>
        <w:t>23. Relationship to Existing Frontend Specification</w:t>
      </w:r>
    </w:p>
    <w:p>
      <w:r>
        <w:rPr>
          <w:b w:val="0"/>
        </w:rPr>
        <w:t>The existing specification defines the product goal, decision chain, modules, dashboard, purchase advisor, inventory, product detail, demand forecast, suppliers, what-if analysis, AI Store Manager, alerts, UX psychology, reusable components and demo flow. This document adds the visual design system on top of those requirements. fileciteturn0file0L23-L36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