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IMAGE PROCESSING ON SKIN DISEASES USING DEEP LEARNING</w:t>
      </w:r>
    </w:p>
    <w:p>
      <w:pPr>
        <w:jc w:val="center"/>
      </w:pPr>
      <w:r>
        <w:rPr>
          <w:b/>
        </w:rPr>
        <w:t>Bhuvanesh B (24619140), Vasanth P (24619135), Loga Prakash M (24619120)</w:t>
        <w:br/>
      </w:r>
      <w:r>
        <w:t>Department of Artificial Intelligence and Machine Learning</w:t>
        <w:br/>
      </w:r>
      <w:r>
        <w:t>VISTAS, Chennai, Tamil Nadu, India</w:t>
        <w:br/>
      </w:r>
      <w:r>
        <w:t>Project Guide: Ms.SHANTHI(Assistant professor)</w:t>
      </w:r>
    </w:p>
    <w:p>
      <w:pPr>
        <w:pStyle w:val="Heading1"/>
      </w:pPr>
      <w:r>
        <w:t>Abstract</w:t>
      </w:r>
    </w:p>
    <w:p>
      <w:r>
        <w:t>Skin-lesion images can exhibit similar visual patterns, making image-based classification a challenging task. This paper presents a research prototype for skin-lesion image classification using image preprocessing, deep feature extraction with a pretrained ResNet-50 network, and a Support Vector Machine (SVM) classifier. The project uses the HAM10000 dataset, which contains 10,015 dermoscopic images across seven diagnostic categories. Images are prepared through resizing, normalization, quality checks, and controlled augmentation during training. ResNet-50 is used as a feature extractor, and the resulting feature vectors are supplied to an SVM for classification. The planned evaluation uses accuracy, precision, recall, F1-score, and a confusion matrix. The project presentation documents dataset preparation and the model workflow, but does not provide final numerical test metrics; therefore, no quantitative performance claim is made in this paper. The system is intended for educational research and preliminary decision support, not as a substitute for professional dermatological diagnosis.</w:t>
      </w:r>
    </w:p>
    <w:p>
      <w:r>
        <w:rPr>
          <w:b/>
        </w:rPr>
        <w:t xml:space="preserve">Keywords— </w:t>
      </w:r>
      <w:r>
        <w:t>Skin-lesion classification, image processing, deep learning, ResNet-50, Support Vector Machine, HAM10000, transfer learning.</w:t>
      </w:r>
    </w:p>
    <w:p>
      <w:pPr>
        <w:pStyle w:val="Heading1"/>
      </w:pPr>
      <w:r>
        <w:t>I. INTRODUCTION</w:t>
      </w:r>
    </w:p>
    <w:p>
      <w:r>
        <w:t>The increasing availability of digital medical images has created opportunities for computer-aided analysis. In dermatology, skin lesions may share visual characteristics, and classification can be affected by image quality, differences in image acquisition, and variation across patients and skin tones. Manual assessment requires trained professionals and may be difficult to scale in settings with limited access to specialist services.</w:t>
      </w:r>
    </w:p>
    <w:p>
      <w:r>
        <w:t>Deep learning methods can learn visual representations from images, while transfer learning allows a pretrained network to be used as a feature extractor for a task-specific dataset. This project combines ResNet-50 feature extraction with an SVM classifier to provide a structured pipeline for classifying labelled skin-lesion images.</w:t>
      </w:r>
    </w:p>
    <w:p>
      <w:r>
        <w:t>The objectives are to: (1) organize labelled images from a public dataset; (2) preprocess images consistently; (3) extract deep features using pretrained ResNet-50; (4) train an SVM on the extracted features; and (5) evaluate the model using multiple classification metrics. The intended contribution is an understandable and reproducible student research workflow rather than a claim of clinical diagnostic performance.</w:t>
      </w:r>
    </w:p>
    <w:p>
      <w:pPr>
        <w:pStyle w:val="Heading1"/>
      </w:pPr>
      <w:r>
        <w:t>II. RELATED WORK</w:t>
      </w:r>
    </w:p>
    <w:p>
      <w:r>
        <w:t>Convolutional neural networks (CNNs) have been widely applied to image classification because they learn hierarchical visual features. He et al. introduced residual learning, which enables the training of deeper networks and forms the basis of ResNet architectures [2]. A pretrained ResNet-50 can therefore provide general-purpose visual features that may be useful for downstream skin-lesion classification.</w:t>
      </w:r>
    </w:p>
    <w:p>
      <w:r>
        <w:t>Tschandl et al. introduced HAM10000, a publicly available collection of 10,015 dermoscopic images of common pigmented skin lesions gathered from multiple sources [1]. The dataset supports research on automated classification, but its class imbalance and variation in image acquisition must be considered during experimental design.</w:t>
      </w:r>
    </w:p>
    <w:p>
      <w:r>
        <w:t>Support Vector Machines are established supervised learning methods for classification. Cortes and Vapnik described support-vector networks that construct decision boundaries in a feature space [3]. In this project, the SVM is used after deep feature extraction, separating feature learning from the final classification stage.</w:t>
      </w:r>
    </w:p>
    <w:p>
      <w:r>
        <w:t>The project presentation also surveys earlier work using transfer learning, CNN architectures, and SVM-based methods. It identifies recurring challenges: limited dataset diversity, class imbalance, inconsistent evaluation procedures, and uncertainty about generalization to images from different devices or clinical settings. The proposed workflow addresses these concerns by specifying preprocessing, a consistent split, multiple evaluation metrics, and explicit limitations.</w:t>
      </w:r>
    </w:p>
    <w:p>
      <w:pPr>
        <w:pStyle w:val="Heading1"/>
      </w:pPr>
      <w:r>
        <w:t>III. PROBLEM STATEMENT AND RESEARCH GAP</w:t>
      </w:r>
    </w:p>
    <w:p>
      <w:r>
        <w:t>Skin-lesion images can contain overlapping visual patterns, while public datasets may contain unequal numbers of examples per class and differences in image quality. A model can consequently perform unevenly across diagnostic categories even if an aggregate metric appears strong. Results from one dataset may also fail to generalize to other populations, devices, or clinical environments.</w:t>
      </w:r>
    </w:p>
    <w:p>
      <w:r>
        <w:t>The research gap addressed by this student prototype is the need for a clearly described end-to-end workflow that combines image standardization, pretrained deep feature extraction, and a conventional classifier, while reporting class-sensitive metrics and limitations. The system is designed to make the experimental process easier to inspect and reproduce.</w:t>
      </w:r>
    </w:p>
    <w:p>
      <w:pPr>
        <w:pStyle w:val="Heading1"/>
      </w:pPr>
      <w:r>
        <w:t>IV. DATASET</w:t>
      </w:r>
    </w:p>
    <w:p>
      <w:r>
        <w:t>The primary dataset specified in the project presentation is HAM10000, consisting of 10,015 dermoscopic images covering seven diagnostic categories: melanocytic nevus, melanoma, basal cell carcinoma, actinic keratosis, benign keratosis, dermatofibroma, and vascular lesion [1]. The dataset is publicly available for academic machine-learning research through the International Skin Imaging Collaboration (ISIC) ecosystem.</w:t>
      </w:r>
    </w:p>
    <w:p>
      <w:r>
        <w:t>HAM10000 has a notable class imbalance. The dataset should be split into training, validation, and test subsets before fitting the classifier. Where multiple images may belong to the same lesion or patient, the split strategy should be selected carefully to reduce data leakage. The exact split proportions, random seed, and class counts used in the final experiment must be added by the authors.</w:t>
      </w:r>
    </w:p>
    <w:p>
      <w:pPr>
        <w:pStyle w:val="Heading1"/>
      </w:pPr>
      <w:r>
        <w:t>V. PROPOSED METHODOLOGY</w:t>
      </w:r>
    </w:p>
    <w:p>
      <w:pPr>
        <w:pStyle w:val="Heading1"/>
      </w:pPr>
      <w:r>
        <w:t>A. Image Loading and Quality Checks</w:t>
      </w:r>
    </w:p>
    <w:p>
      <w:r>
        <w:t>The image-handling module loads image files and their labels from the dataset metadata. Unreadable, corrupted, or unsuitable samples are identified according to documented quality-check rules. Label-to-image mapping is verified before training.</w:t>
      </w:r>
    </w:p>
    <w:p>
      <w:pPr>
        <w:pStyle w:val="Heading1"/>
      </w:pPr>
      <w:r>
        <w:t>B. Preprocessing</w:t>
      </w:r>
    </w:p>
    <w:p>
      <w:r>
        <w:t>Images are resized to the input dimensions required by the selected ResNet-50 implementation and normalized using the preprocessing expected by the pretrained weights. Controlled augmentation may be applied to training images to improve robustness to transformations. Augmentation must not be applied to validation or test images, and all preprocessing decisions should be fitted or selected using training/validation data only.</w:t>
      </w:r>
    </w:p>
    <w:p>
      <w:pPr>
        <w:pStyle w:val="Heading1"/>
      </w:pPr>
      <w:r>
        <w:t>C. Deep Feature Extraction with ResNet-50</w:t>
      </w:r>
    </w:p>
    <w:p>
      <w:r>
        <w:t>A pretrained ResNet-50 network is used as a feature extractor. Its final task-specific classification layer is removed or bypassed, and an intermediate representation is obtained for each image. Each image is thereby converted into a numerical feature vector that summarizes learned visual patterns. The network weights, chosen feature layer, input size, and preprocessing configuration should be recorded for reproducibility.</w:t>
      </w:r>
    </w:p>
    <w:p>
      <w:pPr>
        <w:pStyle w:val="Heading1"/>
      </w:pPr>
      <w:r>
        <w:t>D. SVM Classification</w:t>
      </w:r>
    </w:p>
    <w:p>
      <w:r>
        <w:t>The extracted feature vectors and corresponding labels are used to train a Support Vector Machine classifier. The SVM learns a decision boundary in the feature space. Hyperparameters, including the kernel and regularization parameter, should be selected using validation data or cross-validation restricted to the training portion. The test set must remain untouched until final evaluation.</w:t>
      </w:r>
    </w:p>
    <w:p>
      <w:pPr>
        <w:pStyle w:val="Heading1"/>
      </w:pPr>
      <w:r>
        <w:t>E. Prediction Workflow</w:t>
      </w:r>
    </w:p>
    <w:p>
      <w:r>
        <w:t>For a new image, the same resizing and normalization pipeline is applied, ResNet-50 extracts its feature vector, and the trained SVM returns a predicted class. If a score is displayed, it should be clearly described as a model score or calibrated probability only when the implementation supports that interpretation. A prediction is not a confirmed medical diagnosis.</w:t>
      </w:r>
    </w:p>
    <w:p>
      <w:pPr>
        <w:pStyle w:val="Heading1"/>
      </w:pPr>
      <w:r>
        <w:t>VI. SYSTEM ARCHITECTURE</w:t>
      </w:r>
    </w:p>
    <w:p>
      <w:r>
        <w:t>The proposed system consists of six connected stages: (1) dataset and label loading; (2) preprocessing and quality checks; (3) ResNet-50 feature extraction; (4) SVM training and prediction; (5) evaluation; and (6) result display. During training, labelled images are split appropriately, features are extracted, and the classifier is fitted. During evaluation, predictions on held-out data are compared with the true labels. During inference, a single input image passes through the same preprocessing and feature extraction steps before the predicted class is returned.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sz w:val="18"/>
              </w:rPr>
              <w:t>Stage</w:t>
            </w:r>
          </w:p>
        </w:tc>
        <w:tc>
          <w:tcPr>
            <w:tcW w:type="dxa" w:w="3312"/>
            <w:vAlign w:val="center"/>
          </w:tcPr>
          <w:p>
            <w:r>
              <w:rPr>
                <w:rFonts w:ascii="Times New Roman" w:hAnsi="Times New Roman"/>
                <w:b/>
                <w:sz w:val="18"/>
              </w:rPr>
              <w:t>Input / Operation</w:t>
            </w:r>
          </w:p>
        </w:tc>
        <w:tc>
          <w:tcPr>
            <w:tcW w:type="dxa" w:w="3312"/>
            <w:vAlign w:val="center"/>
          </w:tcPr>
          <w:p>
            <w:r>
              <w:rPr>
                <w:rFonts w:ascii="Times New Roman" w:hAnsi="Times New Roman"/>
                <w:b/>
                <w:sz w:val="18"/>
              </w:rPr>
              <w:t>Output</w:t>
            </w:r>
          </w:p>
        </w:tc>
      </w:tr>
      <w:tr>
        <w:tc>
          <w:tcPr>
            <w:tcW w:type="dxa" w:w="3312"/>
            <w:vAlign w:val="center"/>
          </w:tcPr>
          <w:p>
            <w:r>
              <w:rPr>
                <w:rFonts w:ascii="Times New Roman" w:hAnsi="Times New Roman"/>
                <w:sz w:val="18"/>
              </w:rPr>
              <w:t>Data preparation</w:t>
            </w:r>
          </w:p>
        </w:tc>
        <w:tc>
          <w:tcPr>
            <w:tcW w:type="dxa" w:w="3312"/>
            <w:vAlign w:val="center"/>
          </w:tcPr>
          <w:p>
            <w:r>
              <w:rPr>
                <w:rFonts w:ascii="Times New Roman" w:hAnsi="Times New Roman"/>
                <w:sz w:val="18"/>
              </w:rPr>
              <w:t>HAM10000 images and labels</w:t>
            </w:r>
          </w:p>
        </w:tc>
        <w:tc>
          <w:tcPr>
            <w:tcW w:type="dxa" w:w="3312"/>
            <w:vAlign w:val="center"/>
          </w:tcPr>
          <w:p>
            <w:r>
              <w:rPr>
                <w:rFonts w:ascii="Times New Roman" w:hAnsi="Times New Roman"/>
                <w:sz w:val="18"/>
              </w:rPr>
              <w:t>Validated image-label records</w:t>
            </w:r>
          </w:p>
        </w:tc>
      </w:tr>
      <w:tr>
        <w:tc>
          <w:tcPr>
            <w:tcW w:type="dxa" w:w="3312"/>
            <w:vAlign w:val="center"/>
          </w:tcPr>
          <w:p>
            <w:r>
              <w:rPr>
                <w:rFonts w:ascii="Times New Roman" w:hAnsi="Times New Roman"/>
                <w:sz w:val="18"/>
              </w:rPr>
              <w:t>Preprocessing</w:t>
            </w:r>
          </w:p>
        </w:tc>
        <w:tc>
          <w:tcPr>
            <w:tcW w:type="dxa" w:w="3312"/>
            <w:vAlign w:val="center"/>
          </w:tcPr>
          <w:p>
            <w:r>
              <w:rPr>
                <w:rFonts w:ascii="Times New Roman" w:hAnsi="Times New Roman"/>
                <w:sz w:val="18"/>
              </w:rPr>
              <w:t>Resize, normalize, quality check</w:t>
            </w:r>
          </w:p>
        </w:tc>
        <w:tc>
          <w:tcPr>
            <w:tcW w:type="dxa" w:w="3312"/>
            <w:vAlign w:val="center"/>
          </w:tcPr>
          <w:p>
            <w:r>
              <w:rPr>
                <w:rFonts w:ascii="Times New Roman" w:hAnsi="Times New Roman"/>
                <w:sz w:val="18"/>
              </w:rPr>
              <w:t>Standardized images</w:t>
            </w:r>
          </w:p>
        </w:tc>
      </w:tr>
      <w:tr>
        <w:tc>
          <w:tcPr>
            <w:tcW w:type="dxa" w:w="3312"/>
            <w:vAlign w:val="center"/>
          </w:tcPr>
          <w:p>
            <w:r>
              <w:rPr>
                <w:rFonts w:ascii="Times New Roman" w:hAnsi="Times New Roman"/>
                <w:sz w:val="18"/>
              </w:rPr>
              <w:t>Feature extraction</w:t>
            </w:r>
          </w:p>
        </w:tc>
        <w:tc>
          <w:tcPr>
            <w:tcW w:type="dxa" w:w="3312"/>
            <w:vAlign w:val="center"/>
          </w:tcPr>
          <w:p>
            <w:r>
              <w:rPr>
                <w:rFonts w:ascii="Times New Roman" w:hAnsi="Times New Roman"/>
                <w:sz w:val="18"/>
              </w:rPr>
              <w:t>Pretrained ResNet-50</w:t>
            </w:r>
          </w:p>
        </w:tc>
        <w:tc>
          <w:tcPr>
            <w:tcW w:type="dxa" w:w="3312"/>
            <w:vAlign w:val="center"/>
          </w:tcPr>
          <w:p>
            <w:r>
              <w:rPr>
                <w:rFonts w:ascii="Times New Roman" w:hAnsi="Times New Roman"/>
                <w:sz w:val="18"/>
              </w:rPr>
              <w:t>Deep feature vectors</w:t>
            </w:r>
          </w:p>
        </w:tc>
      </w:tr>
      <w:tr>
        <w:tc>
          <w:tcPr>
            <w:tcW w:type="dxa" w:w="3312"/>
            <w:vAlign w:val="center"/>
          </w:tcPr>
          <w:p>
            <w:r>
              <w:rPr>
                <w:rFonts w:ascii="Times New Roman" w:hAnsi="Times New Roman"/>
                <w:sz w:val="18"/>
              </w:rPr>
              <w:t>Classification</w:t>
            </w:r>
          </w:p>
        </w:tc>
        <w:tc>
          <w:tcPr>
            <w:tcW w:type="dxa" w:w="3312"/>
            <w:vAlign w:val="center"/>
          </w:tcPr>
          <w:p>
            <w:r>
              <w:rPr>
                <w:rFonts w:ascii="Times New Roman" w:hAnsi="Times New Roman"/>
                <w:sz w:val="18"/>
              </w:rPr>
              <w:t>SVM trained on feature vectors</w:t>
            </w:r>
          </w:p>
        </w:tc>
        <w:tc>
          <w:tcPr>
            <w:tcW w:type="dxa" w:w="3312"/>
            <w:vAlign w:val="center"/>
          </w:tcPr>
          <w:p>
            <w:r>
              <w:rPr>
                <w:rFonts w:ascii="Times New Roman" w:hAnsi="Times New Roman"/>
                <w:sz w:val="18"/>
              </w:rPr>
              <w:t>Predicted class labels</w:t>
            </w:r>
          </w:p>
        </w:tc>
      </w:tr>
      <w:tr>
        <w:tc>
          <w:tcPr>
            <w:tcW w:type="dxa" w:w="3312"/>
            <w:vAlign w:val="center"/>
          </w:tcPr>
          <w:p>
            <w:r>
              <w:rPr>
                <w:rFonts w:ascii="Times New Roman" w:hAnsi="Times New Roman"/>
                <w:sz w:val="18"/>
              </w:rPr>
              <w:t>Evaluation</w:t>
            </w:r>
          </w:p>
        </w:tc>
        <w:tc>
          <w:tcPr>
            <w:tcW w:type="dxa" w:w="3312"/>
            <w:vAlign w:val="center"/>
          </w:tcPr>
          <w:p>
            <w:r>
              <w:rPr>
                <w:rFonts w:ascii="Times New Roman" w:hAnsi="Times New Roman"/>
                <w:sz w:val="18"/>
              </w:rPr>
              <w:t>Held-out labels and predictions</w:t>
            </w:r>
          </w:p>
        </w:tc>
        <w:tc>
          <w:tcPr>
            <w:tcW w:type="dxa" w:w="3312"/>
            <w:vAlign w:val="center"/>
          </w:tcPr>
          <w:p>
            <w:r>
              <w:rPr>
                <w:rFonts w:ascii="Times New Roman" w:hAnsi="Times New Roman"/>
                <w:sz w:val="18"/>
              </w:rPr>
              <w:t>Metrics and confusion matrix</w:t>
            </w:r>
          </w:p>
        </w:tc>
      </w:tr>
      <w:tr>
        <w:tc>
          <w:tcPr>
            <w:tcW w:type="dxa" w:w="3312"/>
            <w:vAlign w:val="center"/>
          </w:tcPr>
          <w:p>
            <w:r>
              <w:rPr>
                <w:rFonts w:ascii="Times New Roman" w:hAnsi="Times New Roman"/>
                <w:sz w:val="18"/>
              </w:rPr>
              <w:t>Inference</w:t>
            </w:r>
          </w:p>
        </w:tc>
        <w:tc>
          <w:tcPr>
            <w:tcW w:type="dxa" w:w="3312"/>
            <w:vAlign w:val="center"/>
          </w:tcPr>
          <w:p>
            <w:r>
              <w:rPr>
                <w:rFonts w:ascii="Times New Roman" w:hAnsi="Times New Roman"/>
                <w:sz w:val="18"/>
              </w:rPr>
              <w:t>New skin-lesion image</w:t>
            </w:r>
          </w:p>
        </w:tc>
        <w:tc>
          <w:tcPr>
            <w:tcW w:type="dxa" w:w="3312"/>
            <w:vAlign w:val="center"/>
          </w:tcPr>
          <w:p>
            <w:r>
              <w:rPr>
                <w:rFonts w:ascii="Times New Roman" w:hAnsi="Times New Roman"/>
                <w:sz w:val="18"/>
              </w:rPr>
              <w:t>Predicted category and appropriate caveat</w:t>
            </w:r>
          </w:p>
        </w:tc>
      </w:tr>
    </w:tbl>
    <w:p>
      <w:pPr>
        <w:pStyle w:val="Heading1"/>
      </w:pPr>
      <w:r>
        <w:t>VII. TECHNOLOGY STACK</w:t>
      </w:r>
    </w:p>
    <w:p>
      <w:r>
        <w:t>Python is the primary programming language. TensorFlow/Keras provides access to the pretrained ResNet-50 model; OpenCV supports image loading and preprocessing; NumPy and Pandas support numerical operations and metadata handling; scikit-learn provides the SVM classifier and evaluation metrics; and Matplotlib/Seaborn can be used to visualize results, including the confusion matrix. Jupyter Notebook or Visual Studio Code may be used as the development environment. The final paper should state the exact software versions and hardware configuration used.</w:t>
      </w:r>
    </w:p>
    <w:p>
      <w:pPr>
        <w:pStyle w:val="Heading1"/>
      </w:pPr>
      <w:r>
        <w:t>VIII. EVALUATION PLAN</w:t>
      </w:r>
    </w:p>
    <w:p>
      <w:r>
        <w:t>The model should be evaluated on a held-out test set that was not used for feature selection, hyperparameter tuning, or model selection. Accuracy alone may conceal poor performance on minority classes, so precision, recall, and F1-score should also be reported for each class and as a clearly identified macro- or weighted average. A confusion matrix should be included to show which categories are most frequently confused.</w:t>
      </w:r>
    </w:p>
    <w:p>
      <w:r>
        <w:t>For a multiclass task, accuracy is the proportion of correctly classified test samples. Precision measures the fraction of predicted class instances that are correct; recall measures the fraction of true class instances recovered; and the F1-score is the harmonic mean of precision and recall. The averaging method, test-set size, class distribution, and any confidence intervals should be stated where applicable.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b/>
                <w:sz w:val="18"/>
              </w:rPr>
              <w:t>Metric</w:t>
            </w:r>
          </w:p>
        </w:tc>
        <w:tc>
          <w:tcPr>
            <w:tcW w:type="dxa" w:w="3312"/>
          </w:tcPr>
          <w:p>
            <w:r>
              <w:rPr>
                <w:rFonts w:ascii="Times New Roman" w:hAnsi="Times New Roman"/>
                <w:b/>
                <w:sz w:val="18"/>
              </w:rPr>
              <w:t>Purpose</w:t>
            </w:r>
          </w:p>
        </w:tc>
        <w:tc>
          <w:tcPr>
            <w:tcW w:type="dxa" w:w="3312"/>
          </w:tcPr>
          <w:p>
            <w:r>
              <w:rPr>
                <w:rFonts w:ascii="Times New Roman" w:hAnsi="Times New Roman"/>
                <w:b/>
                <w:sz w:val="18"/>
              </w:rPr>
              <w:t>Final value</w:t>
            </w:r>
          </w:p>
        </w:tc>
      </w:tr>
      <w:tr>
        <w:tc>
          <w:tcPr>
            <w:tcW w:type="dxa" w:w="3312"/>
          </w:tcPr>
          <w:p>
            <w:r>
              <w:rPr>
                <w:rFonts w:ascii="Times New Roman" w:hAnsi="Times New Roman"/>
                <w:sz w:val="18"/>
              </w:rPr>
              <w:t>Accuracy</w:t>
            </w:r>
          </w:p>
        </w:tc>
        <w:tc>
          <w:tcPr>
            <w:tcW w:type="dxa" w:w="3312"/>
          </w:tcPr>
          <w:p>
            <w:r>
              <w:rPr>
                <w:rFonts w:ascii="Times New Roman" w:hAnsi="Times New Roman"/>
                <w:sz w:val="18"/>
              </w:rPr>
              <w:t>Overall proportion of correct predictions</w:t>
            </w:r>
          </w:p>
        </w:tc>
        <w:tc>
          <w:tcPr>
            <w:tcW w:type="dxa" w:w="3312"/>
          </w:tcPr>
          <w:p>
            <w:r>
              <w:rPr>
                <w:rFonts w:ascii="Times New Roman" w:hAnsi="Times New Roman"/>
                <w:sz w:val="18"/>
              </w:rPr>
              <w:t>[Insert measured value]</w:t>
            </w:r>
          </w:p>
        </w:tc>
      </w:tr>
      <w:tr>
        <w:tc>
          <w:tcPr>
            <w:tcW w:type="dxa" w:w="3312"/>
          </w:tcPr>
          <w:p>
            <w:r>
              <w:rPr>
                <w:rFonts w:ascii="Times New Roman" w:hAnsi="Times New Roman"/>
                <w:sz w:val="18"/>
              </w:rPr>
              <w:t>Macro precision</w:t>
            </w:r>
          </w:p>
        </w:tc>
        <w:tc>
          <w:tcPr>
            <w:tcW w:type="dxa" w:w="3312"/>
          </w:tcPr>
          <w:p>
            <w:r>
              <w:rPr>
                <w:rFonts w:ascii="Times New Roman" w:hAnsi="Times New Roman"/>
                <w:sz w:val="18"/>
              </w:rPr>
              <w:t>Precision averaged equally across classes</w:t>
            </w:r>
          </w:p>
        </w:tc>
        <w:tc>
          <w:tcPr>
            <w:tcW w:type="dxa" w:w="3312"/>
          </w:tcPr>
          <w:p>
            <w:r>
              <w:rPr>
                <w:rFonts w:ascii="Times New Roman" w:hAnsi="Times New Roman"/>
                <w:sz w:val="18"/>
              </w:rPr>
              <w:t>[Insert measured value]</w:t>
            </w:r>
          </w:p>
        </w:tc>
      </w:tr>
      <w:tr>
        <w:tc>
          <w:tcPr>
            <w:tcW w:type="dxa" w:w="3312"/>
          </w:tcPr>
          <w:p>
            <w:r>
              <w:rPr>
                <w:rFonts w:ascii="Times New Roman" w:hAnsi="Times New Roman"/>
                <w:sz w:val="18"/>
              </w:rPr>
              <w:t>Macro recall</w:t>
            </w:r>
          </w:p>
        </w:tc>
        <w:tc>
          <w:tcPr>
            <w:tcW w:type="dxa" w:w="3312"/>
          </w:tcPr>
          <w:p>
            <w:r>
              <w:rPr>
                <w:rFonts w:ascii="Times New Roman" w:hAnsi="Times New Roman"/>
                <w:sz w:val="18"/>
              </w:rPr>
              <w:t>Recall averaged equally across classes</w:t>
            </w:r>
          </w:p>
        </w:tc>
        <w:tc>
          <w:tcPr>
            <w:tcW w:type="dxa" w:w="3312"/>
          </w:tcPr>
          <w:p>
            <w:r>
              <w:rPr>
                <w:rFonts w:ascii="Times New Roman" w:hAnsi="Times New Roman"/>
                <w:sz w:val="18"/>
              </w:rPr>
              <w:t>[Insert measured value]</w:t>
            </w:r>
          </w:p>
        </w:tc>
      </w:tr>
      <w:tr>
        <w:tc>
          <w:tcPr>
            <w:tcW w:type="dxa" w:w="3312"/>
          </w:tcPr>
          <w:p>
            <w:r>
              <w:rPr>
                <w:rFonts w:ascii="Times New Roman" w:hAnsi="Times New Roman"/>
                <w:sz w:val="18"/>
              </w:rPr>
              <w:t>Macro F1-score</w:t>
            </w:r>
          </w:p>
        </w:tc>
        <w:tc>
          <w:tcPr>
            <w:tcW w:type="dxa" w:w="3312"/>
          </w:tcPr>
          <w:p>
            <w:r>
              <w:rPr>
                <w:rFonts w:ascii="Times New Roman" w:hAnsi="Times New Roman"/>
                <w:sz w:val="18"/>
              </w:rPr>
              <w:t>Class-balanced summary of precision and recall</w:t>
            </w:r>
          </w:p>
        </w:tc>
        <w:tc>
          <w:tcPr>
            <w:tcW w:type="dxa" w:w="3312"/>
          </w:tcPr>
          <w:p>
            <w:r>
              <w:rPr>
                <w:rFonts w:ascii="Times New Roman" w:hAnsi="Times New Roman"/>
                <w:sz w:val="18"/>
              </w:rPr>
              <w:t>[Insert measured value]</w:t>
            </w:r>
          </w:p>
        </w:tc>
      </w:tr>
      <w:tr>
        <w:tc>
          <w:tcPr>
            <w:tcW w:type="dxa" w:w="3312"/>
          </w:tcPr>
          <w:p>
            <w:r>
              <w:rPr>
                <w:rFonts w:ascii="Times New Roman" w:hAnsi="Times New Roman"/>
                <w:sz w:val="18"/>
              </w:rPr>
              <w:t>Test-set size</w:t>
            </w:r>
          </w:p>
        </w:tc>
        <w:tc>
          <w:tcPr>
            <w:tcW w:type="dxa" w:w="3312"/>
          </w:tcPr>
          <w:p>
            <w:r>
              <w:rPr>
                <w:rFonts w:ascii="Times New Roman" w:hAnsi="Times New Roman"/>
                <w:sz w:val="18"/>
              </w:rPr>
              <w:t>Number of held-out images evaluated</w:t>
            </w:r>
          </w:p>
        </w:tc>
        <w:tc>
          <w:tcPr>
            <w:tcW w:type="dxa" w:w="3312"/>
          </w:tcPr>
          <w:p>
            <w:r>
              <w:rPr>
                <w:rFonts w:ascii="Times New Roman" w:hAnsi="Times New Roman"/>
                <w:sz w:val="18"/>
              </w:rPr>
              <w:t>[Insert count]</w:t>
            </w:r>
          </w:p>
        </w:tc>
      </w:tr>
    </w:tbl>
    <w:p>
      <w:r>
        <w:t>Note: The supplied project presentation describes collected and prepared images and a model workflow, but does not report final numerical test results. The placeholders above must be replaced with values generated by the actual implementation before submission.</w:t>
      </w:r>
    </w:p>
    <w:p>
      <w:pPr>
        <w:pStyle w:val="Heading1"/>
      </w:pPr>
      <w:r>
        <w:t>IX. CURRENT PROGRESS AND DISCUSSION</w:t>
      </w:r>
    </w:p>
    <w:p>
      <w:r>
        <w:t>According to the project presentation, the team has collected and prepared 10,015 dermoscopic images, resized and normalized images, and applied augmentation for training. The presentation describes using pretrained ResNet-50 features with an SVM classifier, monitoring evaluation measures, generating a confusion matrix, and producing predictions with class scores. However, no final numerical metrics, detailed split configuration, class-wise results, or confusion matrix values are supplied in the presentation. Consequently, this draft reports the documented workflow but does not claim that the classifier has achieved a particular accuracy or outperformed another method.</w:t>
      </w:r>
    </w:p>
    <w:p>
      <w:r>
        <w:t>The approach has practical advantages for a student prototype: the pretrained network reduces the need to train a deep feature extractor from scratch, while an SVM provides a separate classification stage. Important experimental risks include class imbalance, data leakage, hyperparameter overfitting, and differences between dermoscopic images and ordinary photographs. These issues should be addressed and documented in the final evaluation.</w:t>
      </w:r>
    </w:p>
    <w:p>
      <w:pPr>
        <w:pStyle w:val="Heading1"/>
      </w:pPr>
      <w:r>
        <w:t>X. LIMITATIONS AND ETHICAL CONSIDERATIONS</w:t>
      </w:r>
    </w:p>
    <w:p>
      <w:r>
        <w:t>The dataset contains a finite collection of dermoscopic images and may not represent the full diversity of skin tones, image-capture devices, age groups, and clinical environments. Performance on HAM10000 alone does not establish generalization to real-world clinical use. Labels and class frequencies may also affect learning and evaluation.</w:t>
      </w:r>
    </w:p>
    <w:p>
      <w:r>
        <w:t>The prototype is intended only for educational and research purposes. It must not be presented as a diagnostic tool or used to make treatment decisions. Any future clinical application would require independent external validation, evaluation by qualified medical professionals, privacy safeguards, and applicable regulatory review. Images should be handled according to dataset licensing and privacy requirements.</w:t>
      </w:r>
    </w:p>
    <w:p>
      <w:pPr>
        <w:pStyle w:val="Heading1"/>
      </w:pPr>
      <w:r>
        <w:t>XI. FUTURE ENHANCEMENTS</w:t>
      </w:r>
    </w:p>
    <w:p>
      <w:r>
        <w:t>Future work includes evaluating the model on a separate public dataset, improving class balance through suitable sampling or augmentation, comparing ResNet-50 plus SVM against alternative transfer-learning architectures, and applying explainability methods such as Grad-CAM to visualize image regions that influence predictions. Further work should assess performance across skin tones and acquisition conditions, document software and hardware settings, and build a secure interface only after the model's limitations are clearly communicated.</w:t>
      </w:r>
    </w:p>
    <w:p>
      <w:pPr>
        <w:pStyle w:val="Heading1"/>
      </w:pPr>
      <w:r>
        <w:t>XII. CONCLUSION</w:t>
      </w:r>
    </w:p>
    <w:p>
      <w:r>
        <w:t>This paper describes a skin-lesion image-classification research prototype that combines image preprocessing, deep feature extraction using pretrained ResNet-50, and SVM classification. The project workflow uses the HAM10000 dataset and proposes evaluation through accuracy, precision, recall, F1-score, and a confusion matrix. The approach provides a structured pipeline for experimentation, but its effectiveness cannot be quantified from the supplied presentation because final numerical results are not included. Future work should complete the evaluation, report reproducible settings and class-wise metrics, and test generalization on independent data. The system remains an educational research prototype and is not a substitute for assessment by a dermatologist.</w:t>
      </w:r>
    </w:p>
    <w:p>
      <w:pPr>
        <w:pStyle w:val="Heading1"/>
      </w:pPr>
      <w:r>
        <w:t>REFERENCES</w:t>
      </w:r>
    </w:p>
    <w:p>
      <w:r>
        <w:t>[1] P. Tschandl, C. Rosendahl, and H. Kittler, “The HAM10000 dataset, a large collection of multi-source dermatoscopic images of common pigmented skin lesions,” Scientific Data, vol. 5, article 180161, 2018, doi: 10.1038/sdata.2018.161.</w:t>
      </w:r>
    </w:p>
    <w:p>
      <w:r>
        <w:t>[2] K. He, X. Zhang, S. Ren, and J. Sun, “Deep Residual Learning for Image Recognition,” in Proceedings of the IEEE Conference on Computer Vision and Pattern Recognition (CVPR), 2016, pp. 770–778, doi: 10.1109/CVPR.2016.90.</w:t>
      </w:r>
    </w:p>
    <w:p>
      <w:r>
        <w:t>[3] C. Cortes and V. Vapnik, “Support-Vector Networks,” Machine Learning, vol. 20, pp. 273–297, 1995.</w:t>
      </w:r>
    </w:p>
    <w:p>
      <w:r>
        <w:t>Before submission, add and verify further references for the specific skin-lesion classification studies discussed in the literature survey, and ensure that every in-text citation corresponds to a complete reference.</w:t>
      </w:r>
    </w:p>
    <w:p>
      <w:pPr>
        <w:pStyle w:val="Heading1"/>
      </w:pPr>
      <w:r>
        <w:t>AUTHOR CHECKLIST BEFORE SUBMISSION</w:t>
      </w:r>
    </w:p>
    <w:p>
      <w:pPr>
        <w:pStyle w:val="ListBullet"/>
      </w:pPr>
      <w:r>
        <w:t>Confirm the author names, affiliations, guide details, and whether the conference permits the guide to be listed as an author.</w:t>
      </w:r>
    </w:p>
    <w:p>
      <w:pPr>
        <w:pStyle w:val="ListBullet"/>
      </w:pPr>
      <w:r>
        <w:t>Insert the exact train/validation/test split, class counts, random seed, model configuration, and software versions.</w:t>
      </w:r>
    </w:p>
    <w:p>
      <w:pPr>
        <w:pStyle w:val="ListBullet"/>
      </w:pPr>
      <w:r>
        <w:t>Replace all result placeholders with measurements from the actual test run; include the confusion matrix.</w:t>
      </w:r>
    </w:p>
    <w:p>
      <w:pPr>
        <w:pStyle w:val="ListBullet"/>
      </w:pPr>
      <w:r>
        <w:t>Verify every literature-survey citation and add full bibliographic details for each cited study.</w:t>
      </w:r>
    </w:p>
    <w:p>
      <w:pPr>
        <w:pStyle w:val="ListBullet"/>
      </w:pPr>
      <w:r>
        <w:t>Check the target conference's template, page limit, submission rules, publication fees, and presentation mode.</w:t>
      </w:r>
    </w:p>
    <w:p>
      <w:pPr>
        <w:pStyle w:val="ListBullet"/>
      </w:pPr>
      <w:r>
        <w:t>Review the conference's policies on originality, plagiarism, AI-assisted writing, and author responsibility. Do not submit the draft unchanged without verifying and revising it.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Conference Paper Draft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