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ZS601 3DGS 实验总记录</w:t>
      </w:r>
    </w:p>
    <w:p>
      <w:pPr>
        <w:jc w:val="center"/>
      </w:pPr>
      <w:r>
        <w:t>标准化数据预处理、验证协议与实验登记</w:t>
      </w:r>
    </w:p>
    <w:p/>
    <w:p>
      <w:pPr>
        <w:jc w:val="center"/>
      </w:pPr>
      <w:r>
        <w:rPr>
          <w:b/>
        </w:rPr>
        <w:t>生成时间：</w:t>
      </w:r>
      <w:r>
        <w:t>2026-09-16T23:07:51+08:00</w:t>
      </w:r>
    </w:p>
    <w:p>
      <w:pPr>
        <w:jc w:val="center"/>
      </w:pPr>
      <w:r>
        <w:rPr>
          <w:b/>
        </w:rPr>
        <w:t>证据规则：</w:t>
      </w:r>
      <w:r>
        <w:t>Only values backed by local logs, manifests, Drive readback, or experiment summaries may be marked verified. Missing values remain null.</w:t>
      </w:r>
    </w:p>
    <w:p>
      <w:r>
        <w:br w:type="page"/>
      </w:r>
    </w:p>
    <w:p>
      <w:pPr>
        <w:pStyle w:val="Heading1"/>
        <w:keepNext/>
      </w:pPr>
      <w:r>
        <w:t>1. 项目输入数据集</w:t>
      </w:r>
    </w:p>
    <w:p>
      <w:r>
        <w:t>原始数据来自 L2 PRO 与 LCC 流程，包括透视 RGB、mask、相机标定和已经在上游去除动态目标的彩色 LiDAR 点云。Drive 逻辑路径为 MyDrive/LCCDataset/zs601_output/&lt;scene_name&gt;/。原始数据只读，派生数据写入 processed_v3。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数据角色</w:t>
            </w:r>
          </w:p>
        </w:tc>
        <w:tc>
          <w:tcPr>
            <w:tcW w:type="dxa" w:w="3175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  <w:tc>
          <w:tcPr>
            <w:tcW w:type="dxa" w:w="3175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身份记录</w:t>
            </w:r>
          </w:p>
        </w:tc>
      </w:tr>
      <w:t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RGB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名称唯一、尺寸与相机模型一致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数量、格式、哈希</w:t>
            </w:r>
          </w:p>
        </w:tc>
      </w:tr>
      <w:tr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mask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 RGB 一一对应，显式记录有效语义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数量、编码、哈希</w:t>
            </w:r>
          </w:p>
        </w:tc>
      </w:tr>
      <w:t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相机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COLMAP world-to-camera；C=-R^Tt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模型、内外参、划分</w:t>
            </w:r>
          </w:p>
        </w:tc>
      </w:tr>
      <w:tr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LiDAR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已去动态目标；至少 x/y/z，通常含 RGB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来源、字段、单位、SHA-256</w:t>
            </w:r>
          </w:p>
        </w:tc>
      </w:tr>
    </w:tbl>
    <w:p/>
    <w:p>
      <w:pPr>
        <w:pStyle w:val="Heading1"/>
        <w:keepNext/>
      </w:pPr>
      <w:r>
        <w:t>2. SfM 数据预处理</w:t>
      </w:r>
    </w:p>
    <w:p>
      <w:pPr>
        <w:pStyle w:val="ListBullet"/>
      </w:pPr>
      <w:r>
        <w:t>读取图像与内外参，统一为 COLMAP world-to-camera，并计算相机中心。</w:t>
      </w:r>
    </w:p>
    <w:p>
      <w:pPr>
        <w:pStyle w:val="ListBullet"/>
      </w:pPr>
      <w:r>
        <w:t>按名称关联 RGB、mask 和姿态；检查重复、缺失和分辨率不一致。</w:t>
      </w:r>
    </w:p>
    <w:p>
      <w:pPr>
        <w:pStyle w:val="ListBullet"/>
      </w:pPr>
      <w:r>
        <w:t>核对 cameras/images/points3D 的 bin 与 txt，记录训练实际读取格式。</w:t>
      </w:r>
    </w:p>
    <w:p>
      <w:pPr>
        <w:pStyle w:val="ListBullet"/>
      </w:pPr>
      <w:r>
        <w:t>固化 train/val/test；val10 必须包含 10 个有效且不重复的相机。</w:t>
      </w:r>
    </w:p>
    <w:p>
      <w:pPr>
        <w:pStyle w:val="Heading1"/>
        <w:keepNext/>
      </w:pPr>
      <w:r>
        <w:t>3. 去动态目标 LiDAR 点云处理</w:t>
      </w:r>
    </w:p>
    <w:p>
      <w:r>
        <w:t>本流程接收已经去除动态目标的点云，不再次删除动态目标。仅剔除 NaN、Inf 或无法解析点；额外离群点过滤默认关闭。使用 KNN/PCA 估计法向，保存曲率、邻居数、法向可靠度和 normal_valid。</w:t>
      </w:r>
    </w:p>
    <w:p>
      <w:pPr>
        <w:pStyle w:val="Heading1"/>
        <w:keepNext/>
      </w:pPr>
      <w:r>
        <w:t>4. 法向定向与逐相机法向图</w:t>
      </w:r>
    </w:p>
    <w:p>
      <w:r>
        <w:t>只使用训练相机筛选可见候选，为每点选择最近的最多 8 个相机。以距离、观察角和可见性加权点到相机方向；加权点积为负时翻转 PCA 法向。低置信度点可执行邻域符号传播，仍不确定者标记 unresolved。</w:t>
      </w:r>
    </w:p>
    <w:p>
      <w:r>
        <w:t>定向后的世界法向通过 R 变换到相机坐标，与 z-depth 共用 z-buffer。浮点 NPY 保存 [-1,1]，PNG 使用 (n+1)/2 映射；独立 normal_valid 表示有效像素。报告区分未覆盖、mask 排除、低置信度和有效区近黑像素，避免把稀疏无效区误判为方向错误。</w:t>
      </w:r>
    </w:p>
    <w:p>
      <w:pPr>
        <w:pStyle w:val="Heading1"/>
        <w:keepNext/>
      </w:pPr>
      <w:r>
        <w:t>5. 深度生成与三维回投验证</w:t>
      </w:r>
    </w:p>
    <w:p>
      <w:r>
        <w:t>深度定义为相机坐标 z-depth。深度与法向使用同一次投影和 z-buffer。有效深度反投影到三维后，与其源 LiDAR 点比较，报告均值、中位数、P90、P95 和最大误差；阈值按场景单位和输入分辨率配置。</w:t>
      </w:r>
    </w:p>
    <w:p>
      <w:pPr>
        <w:pStyle w:val="Heading1"/>
        <w:keepNext/>
      </w:pPr>
      <w:r>
        <w:t>6. 实验背景与统一协议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762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协议值</w:t>
            </w:r>
          </w:p>
        </w:tc>
      </w:tr>
      <w:t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正式迭代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150000</w:t>
            </w:r>
          </w:p>
        </w:tc>
      </w:tr>
      <w:tr>
        <w:tc>
          <w:tcPr>
            <w:tcW w:type="dxa" w:w="476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验证间隔</w:t>
            </w:r>
          </w:p>
        </w:tc>
        <w:tc>
          <w:tcPr>
            <w:tcW w:type="dxa" w:w="476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5000</w:t>
            </w:r>
          </w:p>
        </w:tc>
      </w:tr>
      <w:t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预期验证时间点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31</w:t>
            </w:r>
          </w:p>
        </w:tc>
      </w:tr>
      <w:tr>
        <w:tc>
          <w:tcPr>
            <w:tcW w:type="dxa" w:w="476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checkpoint</w:t>
            </w:r>
          </w:p>
        </w:tc>
        <w:tc>
          <w:tcPr>
            <w:tcW w:type="dxa" w:w="476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[50000, 100000, 150000]</w:t>
            </w:r>
          </w:p>
        </w:tc>
      </w:tr>
      <w:t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固定验证相机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</w:tr>
      <w:tr>
        <w:tc>
          <w:tcPr>
            <w:tcW w:type="dxa" w:w="476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 GPU</w:t>
            </w:r>
          </w:p>
        </w:tc>
        <w:tc>
          <w:tcPr>
            <w:tcW w:type="dxa" w:w="476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NVIDIA L4</w:t>
            </w:r>
          </w:p>
        </w:tc>
      </w:tr>
      <w:t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冒烟步数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</w:t>
            </w:r>
          </w:p>
        </w:tc>
      </w:tr>
    </w:tbl>
    <w:p/>
    <w:p>
      <w:pPr>
        <w:pStyle w:val="Heading1"/>
        <w:keepNext/>
      </w:pPr>
      <w:r>
        <w:t>7. 各组原计划与真实运行状态</w:t>
      </w:r>
    </w:p>
    <w:p>
      <w:pPr>
        <w:sectPr>
          <w:footerReference w:type="default" r:id="rId9"/>
          <w:pgSz w:w="11906" w:h="16838"/>
          <w:pgMar w:top="1134" w:right="1191" w:bottom="1134" w:left="1191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组</w:t>
            </w:r>
          </w:p>
        </w:tc>
        <w:tc>
          <w:tcPr>
            <w:tcW w:type="dxa" w:w="1892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计划目标</w:t>
            </w:r>
          </w:p>
        </w:tc>
        <w:tc>
          <w:tcPr>
            <w:tcW w:type="dxa" w:w="1892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计划功能</w:t>
            </w:r>
          </w:p>
        </w:tc>
        <w:tc>
          <w:tcPr>
            <w:tcW w:type="dxa" w:w="1892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1892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运行 ID</w:t>
            </w:r>
          </w:p>
        </w:tc>
        <w:tc>
          <w:tcPr>
            <w:tcW w:type="dxa" w:w="1892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commit</w:t>
            </w:r>
          </w:p>
        </w:tc>
        <w:tc>
          <w:tcPr>
            <w:tcW w:type="dxa" w:w="1892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数据哈希</w:t>
            </w:r>
          </w:p>
        </w:tc>
        <w:tc>
          <w:tcPr>
            <w:tcW w:type="dxa" w:w="1892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证据</w:t>
            </w:r>
          </w:p>
        </w:tc>
      </w:tr>
      <w:tr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original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原始 3DGS 行为一致性对照；当前标准化 runner 仍需 200 步等价性验收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["validation_diagnostics"]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</w:tr>
      <w:tr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LiDAR 法向与扁平初始化、相机定向、仅剪枝的 v3 baseline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["init_normal", "init_flatten", "orient_cameras", "pruning", "validation_diagnostics"]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 步冒烟已完成，150000 步未核验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smoke_A_567d609871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619c126c11c1a7fb7c5784531b5b46508515e529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["experiments/2026-09-10/v3-ab-colab-smoke/summary.md"]</w:t>
            </w:r>
          </w:p>
        </w:tc>
      </w:tr>
      <w:tr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 加五项几何约束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["init_normal", "init_flatten", "orient_cameras", "pruning", "surface_loss", "tangent_loss", "normal_loss", "flatten_loss", "size_loss", "validation_diagnostics"]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150000 步已完成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zs601_B_5cc0cf5547/formal_B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d1df6c3e06f085abf2567b07eb78eef8a8ca1441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["experiments/2026-09-10/v3-ab-formal/summary.md", "experiments/2026-09-10/v3-ab-formal/b_final_verification.json"]</w:t>
            </w:r>
          </w:p>
        </w:tc>
      </w:tr>
      <w:tr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 加按 LiDAR 局部间距的硬尺度上限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["init_normal", "init_flatten", "orient_cameras", "pruning", "surface_loss", "tangent_loss", "normal_loss", "flatten_loss", "size_loss", "scale_bounds", "validation_diagnostics"]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150000 步已完成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zs601_C_fe210320ed/formal_C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4c81636bc0608add0d0401cc400fc207f6ed22dc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["experiments/2026-09-11/v3-c-scale-bounds/summary.md"]</w:t>
            </w:r>
          </w:p>
        </w:tc>
      </w:tr>
      <w:tr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 加 LiDAR 平面约束的受控增密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["init_normal", "init_flatten", "orient_cameras", "pruning", "surface_loss", "tangent_loss", "normal_loss", "flatten_loss", "size_loss", "scale_bounds", "surface_densify", "validation_diagnostics"]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 步通过；正式运行最后核验到 24500 步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zs601_D_cli_20260911_162905_splitfix1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ca00a4eda08e8967a47ad7002060f0c8cce1e18c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["experiments/2026-09-11/v3-d-formal-cli/summary.md"]</w:t>
            </w:r>
          </w:p>
        </w:tc>
      </w:tr>
      <w:tr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 加遮挡感知的 LiDAR camera-z 深度监督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["init_normal", "init_flatten", "orient_cameras", "pruning", "surface_loss", "tangent_loss", "normal_loss", "flatten_loss", "size_loss", "scale_bounds", "lidar_depth_loss", "validation_diagnostics"]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待跑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189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</w:tr>
    </w:tbl>
    <w:p/>
    <w:p>
      <w:r>
        <w:t>说明：状态、commit、数据哈希、Drive 路径和指标只有在 evidence 中存在可回查证据时才可改为已核验。</w:t>
      </w:r>
    </w:p>
    <w:p>
      <w:r>
        <w:t>original 组目前仍需与原始 train_mask.py 做 200 步逐项等价性验收；在该验收通过前，不能把新增 runner 中全部开关关闭直接写成原始 3DGS 等价。</w:t>
      </w:r>
    </w:p>
    <w:p>
      <w:pPr>
        <w:pStyle w:val="Heading1"/>
        <w:keepNext/>
      </w:pPr>
      <w:r>
        <w:t>8. 过程实验分析</w:t>
      </w:r>
    </w:p>
    <w:p>
      <w:r>
        <w:t>正式分析按 iteration 0、随后每 5000 步和最终步读取 val_metrics.csv、loss_log.csv、geometry_metrics.csv、training_progress.csv 及同轮次 RGB、1σ 椭球、深度和法向图。只有文件存在、迭代连续且运行身份一致时才写入下表。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组</w:t>
            </w:r>
          </w:p>
        </w:tc>
        <w:tc>
          <w:tcPr>
            <w:tcW w:type="dxa" w:w="2523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iteration</w:t>
            </w:r>
          </w:p>
        </w:tc>
        <w:tc>
          <w:tcPr>
            <w:tcW w:type="dxa" w:w="2523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loss</w:t>
            </w:r>
          </w:p>
        </w:tc>
        <w:tc>
          <w:tcPr>
            <w:tcW w:type="dxa" w:w="2523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高斯数量</w:t>
            </w:r>
          </w:p>
        </w:tc>
        <w:tc>
          <w:tcPr>
            <w:tcW w:type="dxa" w:w="2523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几何指标</w:t>
            </w:r>
          </w:p>
        </w:tc>
        <w:tc>
          <w:tcPr>
            <w:tcW w:type="dxa" w:w="2523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证据</w:t>
            </w:r>
          </w:p>
        </w:tc>
      </w:tr>
      <w:tr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original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</w:tr>
      <w:tr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</w:tr>
      <w:tr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</w:tr>
      <w:tr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</w:tr>
      <w:tr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</w:tr>
      <w:tr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</w:tr>
    </w:tbl>
    <w:p/>
    <w:p>
      <w:pPr>
        <w:pStyle w:val="Heading1"/>
        <w:keepNext/>
      </w:pPr>
      <w:r>
        <w:t>9. 最终量化对比</w:t>
      </w:r>
    </w:p>
    <w:p>
      <w:r>
        <w:t>150000 步完成后，对全部显式 test 相机计算逐相机指标，保存 test_metrics_per_camera.csv；按 masked PSNR 升序保存最差 10 个相机的 RGB、1σ 椭球、深度和法向，并生成 CSV、Markdown 和 LaTeX 结果表。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组</w:t>
            </w:r>
          </w:p>
        </w:tc>
        <w:tc>
          <w:tcPr>
            <w:tcW w:type="dxa" w:w="2523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gaussian_count</w:t>
            </w:r>
          </w:p>
        </w:tc>
        <w:tc>
          <w:tcPr>
            <w:tcW w:type="dxa" w:w="2523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val_masked_mae</w:t>
            </w:r>
          </w:p>
        </w:tc>
        <w:tc>
          <w:tcPr>
            <w:tcW w:type="dxa" w:w="2523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val_masked_psnr</w:t>
            </w:r>
          </w:p>
        </w:tc>
        <w:tc>
          <w:tcPr>
            <w:tcW w:type="dxa" w:w="2523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val_ssim_zero_mask_full_image</w:t>
            </w:r>
          </w:p>
        </w:tc>
        <w:tc>
          <w:tcPr>
            <w:tcW w:type="dxa" w:w="2523"/>
            <w:vAlign w:val="center"/>
            <w:shd w:fill="D9EA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证据状态</w:t>
            </w:r>
          </w:p>
        </w:tc>
      </w:tr>
      <w:tr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original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</w:tr>
      <w:tr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已登记</w:t>
            </w:r>
          </w:p>
        </w:tc>
      </w:tr>
      <w:tr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190888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0.04467417802661657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24.08066588277148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0.8277297258377075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已登记</w:t>
            </w:r>
          </w:p>
        </w:tc>
      </w:tr>
      <w:tr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193943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已登记</w:t>
            </w:r>
          </w:p>
        </w:tc>
      </w:tr>
      <w:tr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已登记</w:t>
            </w:r>
          </w:p>
        </w:tc>
      </w:tr>
      <w:tr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  <w:tc>
          <w:tcPr>
            <w:tcW w:type="dxa" w:w="252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待核验</w:t>
            </w:r>
          </w:p>
        </w:tc>
      </w:tr>
    </w:tbl>
    <w:p/>
    <w:p>
      <w:pPr>
        <w:sectPr>
          <w:pgSz w:w="16838" w:h="11906" w:orient="landscape"/>
          <w:pgMar w:top="964" w:right="850" w:bottom="964" w:left="850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10. 下一步启发</w:t>
      </w:r>
    </w:p>
    <w:p>
      <w:pPr>
        <w:pStyle w:val="ListBullet"/>
      </w:pPr>
      <w:r>
        <w:t>先完成数据 manifest、投影叠加和深度反投影验证，再进入正式训练。</w:t>
      </w:r>
    </w:p>
    <w:p>
      <w:pPr>
        <w:pStyle w:val="ListBullet"/>
      </w:pPr>
      <w:r>
        <w:t>用 iteration 0 的法向有效覆盖、近黑比例和邻域一致性验证相机辅助定向。</w:t>
      </w:r>
    </w:p>
    <w:p>
      <w:pPr>
        <w:pStyle w:val="ListBullet"/>
      </w:pPr>
      <w:r>
        <w:t>每个新实验只改变登记中的控制变量，并预先写明成功标准和停止条件。</w:t>
      </w:r>
    </w:p>
    <w:p>
      <w:pPr>
        <w:pStyle w:val="ListBullet"/>
      </w:pPr>
      <w:r>
        <w:t>正式运行完成后先回读 Drive 关键产物，再更新状态、指标和结论。</w:t>
      </w:r>
    </w:p>
    <w:p>
      <w:pPr>
        <w:pStyle w:val="Heading1"/>
        <w:keepNext/>
      </w:pPr>
      <w:r>
        <w:t>附录 A：文档与证据来源</w:t>
      </w:r>
    </w:p>
    <w:p>
      <w:pPr>
        <w:pStyle w:val="ListBullet"/>
      </w:pPr>
      <w:r>
        <w:t>docs/DATASET_INPUT.md</w:t>
      </w:r>
    </w:p>
    <w:p>
      <w:pPr>
        <w:pStyle w:val="ListBullet"/>
      </w:pPr>
      <w:r>
        <w:t>docs/DATA_PREPROCESSING.md</w:t>
      </w:r>
    </w:p>
    <w:p>
      <w:pPr>
        <w:pStyle w:val="ListBullet"/>
      </w:pPr>
      <w:r>
        <w:t>docs/VAL_DIAGNOSTICS.md</w:t>
      </w:r>
    </w:p>
    <w:p>
      <w:pPr>
        <w:pStyle w:val="ListBullet"/>
      </w:pPr>
      <w:r>
        <w:t>experiments/experiment_registry.json</w:t>
      </w:r>
    </w:p>
    <w:p>
      <w:pPr>
        <w:pStyle w:val="ListBullet"/>
      </w:pPr>
      <w:r>
        <w:t>仓库根目录 prompt/registers/experiment-state.md（更新 registry 前核验）</w:t>
      </w:r>
    </w:p>
    <w:p>
      <w:pPr>
        <w:pStyle w:val="ListBullet"/>
      </w:pPr>
      <w:r>
        <w:t>仓库根目录 experiments/INDEX.md 与对应 summary（更新 registry 前核验）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ZS601 3DGS v3 · 证据驱动实验记录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