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52"/>
        </w:rPr>
        <w:t>CodeInsight-AI: Comprehensive Technical Study Guide</w:t>
      </w:r>
    </w:p>
    <w:p>
      <w:pPr>
        <w:spacing w:before="0" w:after="280"/>
      </w:pPr>
      <w:r>
        <w:rPr>
          <w:rFonts w:ascii="Calibri" w:hAnsi="Calibri"/>
          <w:color w:val="475569"/>
          <w:sz w:val="24"/>
        </w:rPr>
        <w:t>Deep-Dive Architecture, Vector Intelligence (pgvector/RAG), Server-Sent Events, Rate Limiting &amp; System Design Cheatsheet</w:t>
      </w:r>
    </w:p>
    <w:p>
      <w:pPr>
        <w:spacing w:after="280"/>
      </w:pPr>
      <w:r>
        <w:rPr>
          <w:color w:val="94A3B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E3A8A"/>
          <w:sz w:val="34"/>
        </w:rPr>
        <w:t>1. Executive Summary &amp; Production Architecture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CodeInsight-AI is an enterprise-grade developer intelligence platform engineered with Spring Boot 3.4 (Java 21) and React 18 (TypeScript, Tailwind CSS). The system tracks candidate problem-solving analytics across platforms (LeetCode, Codeforces, HackerRank), detects algorithmic weaknesses, and synthesizes context-grounded AI recommendations and structured study roadmaps.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Core Architectural Pillars: </w:t>
      </w:r>
      <w:r>
        <w:rPr>
          <w:rFonts w:ascii="Calibri" w:hAnsi="Calibri"/>
          <w:i w:val="0"/>
          <w:color w:val="334155"/>
          <w:sz w:val="21"/>
        </w:rPr>
        <w:t>In this release, five core architectural pillars were designed, implemented, and pushed to production: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Vector Intelligence (RAG): </w:t>
      </w:r>
      <w:r>
        <w:rPr>
          <w:rFonts w:ascii="Calibri" w:hAnsi="Calibri"/>
          <w:color w:val="334155"/>
          <w:sz w:val="21"/>
        </w:rPr>
        <w:t>Retrieval-Augmented Generation (RAG) using PostgreSQL pgvector cosine similarity search (&lt;=&gt;) across 1536-dimensional problem embeddings.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Real-time Streaming (SSE): </w:t>
      </w:r>
      <w:r>
        <w:rPr>
          <w:rFonts w:ascii="Calibri" w:hAnsi="Calibri"/>
          <w:color w:val="334155"/>
          <w:sz w:val="21"/>
        </w:rPr>
        <w:t>Server-Sent Events (SSE) for sub-second, token-by-token streaming AI generation with typewriter UI.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Traffic Governance: </w:t>
      </w:r>
      <w:r>
        <w:rPr>
          <w:rFonts w:ascii="Calibri" w:hAnsi="Calibri"/>
          <w:color w:val="334155"/>
          <w:sz w:val="21"/>
        </w:rPr>
        <w:t>Token Bucket rate limiting using Bucket4j to prevent LLM quota exhaustion and API abuse.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4. Resilient Caching: </w:t>
      </w:r>
      <w:r>
        <w:rPr>
          <w:rFonts w:ascii="Calibri" w:hAnsi="Calibri"/>
          <w:color w:val="334155"/>
          <w:sz w:val="21"/>
        </w:rPr>
        <w:t>Graceful fallback from distributed Redis to high-throughput In-Memory ConcurrentMapCache.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5. Cloud Reliability: </w:t>
      </w:r>
      <w:r>
        <w:rPr>
          <w:rFonts w:ascii="Calibri" w:hAnsi="Calibri"/>
          <w:color w:val="334155"/>
          <w:sz w:val="21"/>
        </w:rPr>
        <w:t>Automatic extraction and normalization of cloud-provider DATABASE_URL strings into HikariCP JDBC standard.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FF6FF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0F172A"/>
                <w:sz w:val="21"/>
              </w:rPr>
              <w:t>System Design Key Principle: Graceful Degradation</w:t>
              <w:br/>
            </w:r>
            <w:r>
              <w:rPr>
                <w:rFonts w:ascii="Calibri" w:hAnsi="Calibri"/>
                <w:color w:val="334155"/>
                <w:sz w:val="19"/>
              </w:rPr>
              <w:t>A resilient distributed system must never fail catastrophically when an auxiliary resource experiences degradation. In CodeInsight-AI: if Redis goes down, in-memory caching activates instantly; if vector embedding APIs timeout, system prompts fall back to heuristic problem matching; if an SSE stream breaks, standard polling can recover.</w:t>
            </w:r>
          </w:p>
        </w:tc>
      </w:tr>
    </w:tbl>
    <w:p>
      <w:pPr>
        <w:spacing w:before="40" w:after="6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E3A8A"/>
          <w:sz w:val="34"/>
        </w:rPr>
        <w:t>2. AI RAG &amp; PostgreSQL pgvector Architecture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2.1 The Problem with Naive LLM Prompts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Standard LLM implementations suffer from two critical production flaws: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Hallucinations: </w:t>
      </w:r>
      <w:r>
        <w:rPr>
          <w:rFonts w:ascii="Calibri" w:hAnsi="Calibri"/>
          <w:color w:val="334155"/>
          <w:sz w:val="21"/>
        </w:rPr>
        <w:t>LLMs frequently hallucinate problem titles, LeetCode problem numbers, or non-existent algorithmic constraints when asked to suggest practice problems.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Lack of Grounding: </w:t>
      </w:r>
      <w:r>
        <w:rPr>
          <w:rFonts w:ascii="Calibri" w:hAnsi="Calibri"/>
          <w:color w:val="334155"/>
          <w:sz w:val="21"/>
        </w:rPr>
        <w:t>An ungrounded LLM produces vague advice (e.g. 'practice two pointers') rather than verified, high-yield problems that directly address the candidate's exact failure patterns.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Retrieval-Augmented Generation (RAG) overcomes this by querying a verified database of coding problems using vector similarity before prompting the LLM. The LLM acts purely as a synthesizer over ground-truth retrieved data.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2.2 Mathematical Foundations of Vector Search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Every coding problem's semantic profile (title, category, difficulty, algorithmic pattern, concepts) is transformed into a dense vector of dimension d = 1536.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Given a user weakness vector u and a candidate problem vector v: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Cosine Similarity: </w:t>
      </w:r>
      <w:r>
        <w:rPr>
          <w:rFonts w:ascii="Calibri" w:hAnsi="Calibri"/>
          <w:color w:val="334155"/>
          <w:sz w:val="21"/>
        </w:rPr>
        <w:t>cos(theta) = (u . v) / (||u|| * ||v||). Measures the cosine of the angle between vectors. When vectors are L2-normalized, ||u|| = ||v|| = 1, so cos(theta) = u . v.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Cosine Distance: </w:t>
      </w:r>
      <w:r>
        <w:rPr>
          <w:rFonts w:ascii="Calibri" w:hAnsi="Calibri"/>
          <w:color w:val="334155"/>
          <w:sz w:val="21"/>
        </w:rPr>
        <w:t>D_cos(u, v) = 1 - cos(theta). Ranges from 0 (identical orientation) to 2 (opposite orientation). In pgvector, the &lt;=&gt; operator computes this distance directly in SQL.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2.3 PostgreSQL pgvector Operators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Operator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Distance Metric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Ideal Use Case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&lt;=&gt;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Cosine Distance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1 - (u . v) / (||u|| ||v||)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Normalized text embeddings (Gemini/OpenAI), semantic search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&lt;-&gt;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Euclidean (L2)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sqrt(sum((u_i - v_i)^2))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Spatial coordinates, absolute distance clustering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&lt;#&gt;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Negative Inner Product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- (u . v)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Fastest math when embeddings are pre-normalized to unit length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2.4 Database Schema &amp; Vector Query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-- Enable pgvector in Neon PostgreSQL</w:t>
              <w:br/>
              <w:t>CREATE EXTENSION IF NOT EXISTS vector;</w:t>
              <w:br/>
              <w:br/>
              <w:t>-- Table definition for ground-truth coding problems</w:t>
              <w:br/>
              <w:t>CREATE TABLE IF NOT EXISTS coding_problems (</w:t>
              <w:br/>
              <w:t xml:space="preserve">    id BIGSERIAL PRIMARY KEY,</w:t>
              <w:br/>
              <w:t xml:space="preserve">    title VARCHAR(255) NOT NULL,</w:t>
              <w:br/>
              <w:t xml:space="preserve">    category VARCHAR(100) NOT NULL,</w:t>
              <w:br/>
              <w:t xml:space="preserve">    difficulty VARCHAR(50) NOT NULL,</w:t>
              <w:br/>
              <w:t xml:space="preserve">    pattern VARCHAR(100) NOT NULL,</w:t>
              <w:br/>
              <w:t xml:space="preserve">    description TEXT,</w:t>
              <w:br/>
              <w:t xml:space="preserve">    embedding vector(1536)</w:t>
              <w:br/>
              <w:t>);</w:t>
              <w:br/>
              <w:br/>
              <w:t>-- Cosine distance similarity query (Top 5 nearest neighbors)</w:t>
              <w:br/>
              <w:t>SELECT id, title, category, difficulty, pattern,</w:t>
              <w:br/>
              <w:t xml:space="preserve">       (1 - (embedding &lt;=&gt; ?::vector)) AS similarity_score</w:t>
              <w:br/>
              <w:t>FROM coding_problems</w:t>
              <w:br/>
              <w:t>ORDER BY embedding &lt;=&gt; ?::vector ASC</w:t>
              <w:br/>
              <w:t>LIMIT 5;</w:t>
            </w:r>
          </w:p>
        </w:tc>
      </w:tr>
    </w:tbl>
    <w:p>
      <w:pPr>
        <w:spacing w:before="40" w:after="60"/>
      </w:pP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2.5 Vector Indexing: HNSW vs IVFFlat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Index Type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Build Time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Query Speed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Recall Quality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RAM Consumption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HNSW (Hierarchical Navigable Small World)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Slower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Sub-millisecond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High (98%+)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Higher (graph nodes in memory)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IVFFlat (Inverted File Flat)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Faster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Fast (needs nprobes tuning)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Moderate to High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Low (lists inverted lists)</w:t>
            </w:r>
          </w:p>
        </w:tc>
      </w:tr>
    </w:tbl>
    <w:p>
      <w:pPr>
        <w:spacing w:before="60" w:after="6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E3A8A"/>
          <w:sz w:val="34"/>
        </w:rPr>
        <w:t>3. Real-Time Server-Sent Events (SSE) Streaming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3.1 Latency Analysis: Traditional HTTP vs SSE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Full multi-paragraph LLM generation typically requires 6 to 18 seconds. Under standard synchronous HTTP: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High TTFB (Time to First Byte): </w:t>
      </w:r>
      <w:r>
        <w:rPr>
          <w:rFonts w:ascii="Calibri" w:hAnsi="Calibri"/>
          <w:color w:val="334155"/>
          <w:sz w:val="21"/>
        </w:rPr>
        <w:t>The user stares at an empty loading spinner for 15 seconds. Perceived latency is intolerable.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Gateway Timeouts: </w:t>
      </w:r>
      <w:r>
        <w:rPr>
          <w:rFonts w:ascii="Calibri" w:hAnsi="Calibri"/>
          <w:color w:val="334155"/>
          <w:sz w:val="21"/>
        </w:rPr>
        <w:t>Cloud gateways (Render, Cloudflare, AWS ALB) drop idle connections exceeding standard 30s-100s timeouts.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Blocked Reading: </w:t>
      </w:r>
      <w:r>
        <w:rPr>
          <w:rFonts w:ascii="Calibri" w:hAnsi="Calibri"/>
          <w:color w:val="334155"/>
          <w:sz w:val="21"/>
        </w:rPr>
        <w:t>Users cannot read or interact with the initial paragraphs while subsequent sections are generating.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3.2 Protocol Tradeoff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Transport Protocol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Auto-Reconnect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Overhead / Suitability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Short Polling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Bidirectional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Repeated HTTP GETs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Client logic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High CPU &amp; redundant TCP handshake overhead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Long Polling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Half-Duplex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Held HTTP connection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Client logic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High connection holding bottlenecks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WebSockets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Full-Duplex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WS Protocol Upgrade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Manual handshake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Heavyweight; overkill for one-way streaming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Server-Sent Events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Server -&gt; Client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Standard HTTP/HTTPS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Native in browser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Lightweight, text/event-stream, zero protocol switching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DF4FF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A855F7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0F172A"/>
                <w:sz w:val="21"/>
              </w:rPr>
              <w:t>Design Rationale: Why SSE over WebSockets for AI Text Streaming?</w:t>
              <w:br/>
            </w:r>
            <w:r>
              <w:rPr>
                <w:rFonts w:ascii="Calibri" w:hAnsi="Calibri"/>
                <w:color w:val="334155"/>
                <w:sz w:val="19"/>
              </w:rPr>
              <w:t>Generative AI output is fundamentally UNIDIRECTIONAL: the server generates tokens and pushes them to the client. WebSockets introduce unnecessary full-duplex overhead, firewall traversal complexity, and custom ping/pong heartbeats. SSE operates over standard HTTPS, passes through enterprise proxies, has native browser auto-reconnect, and works out-of-the-box with Spring SseEmitter.</w:t>
            </w:r>
          </w:p>
        </w:tc>
      </w:tr>
    </w:tbl>
    <w:p>
      <w:pPr>
        <w:spacing w:before="40" w:after="60"/>
      </w:pP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3.3 The HTML5 EventSource Custom Header Challenge &amp; Dual JWT Solution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The HTML5 EventSource specification does not allow custom request headers. It cannot transmit Authorization: Bearer &lt;jwt&gt;.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Engineering Fix: </w:t>
      </w:r>
      <w:r>
        <w:rPr>
          <w:rFonts w:ascii="Calibri" w:hAnsi="Calibri"/>
          <w:i w:val="0"/>
          <w:color w:val="334155"/>
          <w:sz w:val="21"/>
        </w:rPr>
        <w:t>Our Solution: Dual-Mode JWT Resolution in JwtAuthenticationFilter.java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Channel 1 (Header): </w:t>
      </w:r>
      <w:r>
        <w:rPr>
          <w:rFonts w:ascii="Calibri" w:hAnsi="Calibri"/>
          <w:color w:val="334155"/>
          <w:sz w:val="21"/>
        </w:rPr>
        <w:t>Standard REST endpoints parse Authorization: Bearer &lt;token&gt;.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Channel 2 (Query Param): </w:t>
      </w:r>
      <w:r>
        <w:rPr>
          <w:rFonts w:ascii="Calibri" w:hAnsi="Calibri"/>
          <w:color w:val="334155"/>
          <w:sz w:val="21"/>
        </w:rPr>
        <w:t>If header is empty, parse query parameter ?token=&lt;jwt&gt;. If valid, authenticate and bind to SecurityContextHolder.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// Dual-Mode JWT Authentication in JwtAuthenticationFilter.java:</w:t>
              <w:br/>
              <w:t>String jwt = parseJwt(request);</w:t>
              <w:br/>
              <w:t>if (jwt == null) {</w:t>
              <w:br/>
              <w:t xml:space="preserve">    // HTML5 EventSource fallback</w:t>
              <w:br/>
              <w:t xml:space="preserve">    String queryToken = request.getParameter("token");</w:t>
              <w:br/>
              <w:t xml:space="preserve">    if (StringUtils.hasText(queryToken)) {</w:t>
              <w:br/>
              <w:t xml:space="preserve">        jwt = queryToken;</w:t>
              <w:br/>
              <w:t xml:space="preserve">    }</w:t>
              <w:br/>
              <w:t>}</w:t>
              <w:br/>
              <w:t>if (jwt != null &amp;&amp; jwtUtils.validateJwtToken(jwt)) {</w:t>
              <w:br/>
              <w:t xml:space="preserve">    String username = jwtUtils.getUserNameFromJwtToken(jwt);</w:t>
              <w:br/>
              <w:t xml:space="preserve">    UserDetails userDetails = userDetailsService.loadUserByUsername(username);</w:t>
              <w:br/>
              <w:t xml:space="preserve">    UsernamePasswordAuthenticationToken auth =</w:t>
              <w:br/>
              <w:t xml:space="preserve">        new UsernamePasswordAuthenticationToken(userDetails, null, userDetails.getAuthorities());</w:t>
              <w:br/>
              <w:t xml:space="preserve">    SecurityContextHolder.getContext().setAuthentication(auth);</w:t>
              <w:br/>
              <w:t>}</w:t>
            </w:r>
          </w:p>
        </w:tc>
      </w:tr>
    </w:tbl>
    <w:p>
      <w:pPr>
        <w:spacing w:before="40" w:after="6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E3A8A"/>
          <w:sz w:val="34"/>
        </w:rPr>
        <w:t>4. Token Bucket Rate Limiting (Bucket4j)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4.1 Rate Limiting Algorithms Compared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Burst Tolerance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Memory Footprint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Complexity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Behavior Under Load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Fixed Window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Poor (2x bursts at boundaries)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O(1)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Very Simple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Sharp resets cause resource spikes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Sliding Window Log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Accurate (no boundary spikes)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O(N) per client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Moderate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High memory overhead for high traffic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Leaky Bucket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Strict smoothing, no bursts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O(1)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Moderate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Penalizes legitimate short bursts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Token Bucket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Accommodates bursts up to capacity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O(1)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Standard (Bucket4j)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Optimal balance of burst flexibility &amp; strict rate enforcement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4.2 Mathematical Model of Token Bucket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Let C = bucket capacity (max burst size), R = refill rate (tokens per second).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Refill Formula: </w:t>
      </w:r>
      <w:r>
        <w:rPr>
          <w:rFonts w:ascii="Calibri" w:hAnsi="Calibri"/>
          <w:i/>
          <w:color w:val="334155"/>
          <w:sz w:val="21"/>
        </w:rPr>
        <w:t>Available tokens at time t:  T(t) = min(C, T(t_last) + (t - t_last) * R)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Admission Decision: </w:t>
      </w:r>
      <w:r>
        <w:rPr>
          <w:rFonts w:ascii="Calibri" w:hAnsi="Calibri"/>
          <w:color w:val="334155"/>
          <w:sz w:val="21"/>
        </w:rPr>
        <w:t>If T(t) &gt;= 1: Allow request, decrement tokens to T(t) - 1, and return HTTP 200 OK.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Rejection Decision: </w:t>
      </w:r>
      <w:r>
        <w:rPr>
          <w:rFonts w:ascii="Calibri" w:hAnsi="Calibri"/>
          <w:color w:val="334155"/>
          <w:sz w:val="21"/>
        </w:rPr>
        <w:t>If T(t) &lt; 1: Deny request, calculate delay delta_t = (1 - T(t)) / R, and return HTTP 429 Too Many Requests with Retry-After: ceil(delta_t).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4.3 CodeInsight-AI Multi-Tier Policies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Category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Burst Capacity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Refill Rate</w:t>
            </w:r>
          </w:p>
        </w:tc>
        <w:tc>
          <w:tcPr>
            <w:tcW w:type="dxa" w:w="273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Protection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Standard API (/api/**)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30 tokens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30 tokens / 1 minute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Authenticated user general navigation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AI Streaming (/api/ai/stream-*)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10 tokens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10 tokens / 1 minute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Heavy LLM generation &amp; vector search defense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Public / Anonymous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5 tokens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5 tokens / 1 minute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Brute force and unauthenticated bot mitigation</w:t>
            </w:r>
          </w:p>
        </w:tc>
      </w:tr>
    </w:tbl>
    <w:p>
      <w:pPr>
        <w:spacing w:before="60" w:after="6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E3A8A"/>
          <w:sz w:val="34"/>
        </w:rPr>
        <w:t>5. Resilient Caching &amp; Cloud URL Normalization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5.1 Dynamic Redis Fallback Architecture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In cloud microservice deployments, Redis instances can crash or undergo maintenance. Without resilience, Spring Boot fails health checks and terminates the container.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Startup Ping: </w:t>
      </w:r>
      <w:r>
        <w:rPr>
          <w:rFonts w:ascii="Calibri" w:hAnsi="Calibri"/>
          <w:color w:val="334155"/>
          <w:sz w:val="21"/>
        </w:rPr>
        <w:t>During application startup, RedisConfig attempts a ping with a 1500ms timeout.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Primary Cache: </w:t>
      </w:r>
      <w:r>
        <w:rPr>
          <w:rFonts w:ascii="Calibri" w:hAnsi="Calibri"/>
          <w:color w:val="334155"/>
          <w:sz w:val="21"/>
        </w:rPr>
        <w:t>If successful, registers RedisCacheManager with JSON serialization and 10-minute TTL.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Fallback Cache: </w:t>
      </w:r>
      <w:r>
        <w:rPr>
          <w:rFonts w:ascii="Calibri" w:hAnsi="Calibri"/>
          <w:color w:val="334155"/>
          <w:sz w:val="21"/>
        </w:rPr>
        <w:t>If Redis throws RedisConnectionFailureException, logs a warning and initializes ConcurrentMapCacheManager.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4. Business Outcome: </w:t>
      </w:r>
      <w:r>
        <w:rPr>
          <w:rFonts w:ascii="Calibri" w:hAnsi="Calibri"/>
          <w:color w:val="334155"/>
          <w:sz w:val="21"/>
        </w:rPr>
        <w:t>Zero downtime: The application starts normally, caches in memory, and serves all API traffic seamlessly.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5.2 Cloud JDBC URL Normalization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Cloud platforms (Render, Supabase, Neon) pass database credentials in standard URI format: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Cloud URI: </w:t>
      </w:r>
      <w:r>
        <w:rPr>
          <w:rFonts w:ascii="Calibri" w:hAnsi="Calibri"/>
          <w:i w:val="0"/>
          <w:color w:val="334155"/>
          <w:sz w:val="21"/>
        </w:rPr>
        <w:t>postgres://username:password@ep-cold-lake.us-east-2.aws.neon.tech/neondb?sslmode=require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HikariCP and the PostgreSQL JDBC driver require standard JDBC format: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Standard JDBC: </w:t>
      </w:r>
      <w:r>
        <w:rPr>
          <w:rFonts w:ascii="Calibri" w:hAnsi="Calibri"/>
          <w:i w:val="0"/>
          <w:color w:val="334155"/>
          <w:sz w:val="21"/>
        </w:rPr>
        <w:t>jdbc:postgresql://ep-cold-lake.us-east-2.aws.neon.tech:5432/neondb?sslmode=require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DataSourceConfig.java parses the URI with java.net.URI, extracts credentials, converts the scheme, and binds clean parameters to HikariConfig. This eliminates deployment crashes caused by cloud URL mismatches.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E3A8A"/>
          <w:sz w:val="34"/>
        </w:rPr>
        <w:t>6. System Design &amp; Coding Interview Cheatsheet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Q1: How did you design the LLM recommendation engine to minimize latency and eliminate hallucinations?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We used a two-part architecture: 1) Retrieval-Augmented Generation (RAG) with PostgreSQL pgvector. When a user needs practice recommendations, we generate an embedding of their detected weaknesses and run a cosine similarity query (&lt;=&gt;) to retrieve the 5 most relevant coding problems. These problems are injected into the system prompt as verified ground truth, completely eliminating hallucinated problems. 2) To address latency, we implemented Server-Sent Events (SSE). Instead of waiting 12 seconds for the full response, tokens stream to the client every 50ms, rendering an immediate live typewriter effect.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Q2: Why use pgvector in PostgreSQL instead of a dedicated vector database like Pinecone or Milvus?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1) Zero Infrastructure Overhead: We avoid managing, syncing, and paying for a separate vector cluster. 2) Transactional Consistency (ACID): Problem records, metadata, user stats, and vector embeddings reside in the exact same database with atomic updates. 3) Cost Efficiency: Neon serverless PostgreSQL natively supports pgvector at zero marginal cost. For our scale (tens of thousands of problems), pgvector with HNSW indexing provides sub-10ms similarity queries, matching dedicated vector engines.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Q3: How did you solve SSE authentication given that HTML5 EventSource doesn't support custom headers?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The browser EventSource API cannot send an Authorization: Bearer &lt;jwt&gt; header. In our JwtAuthenticationFilter, we implemented dual-mode resolution: we first check the HTTP Authorization header. If absent, we inspect the URL query parameter ?token=&lt;jwt&gt;. We validate the token signature, extract user claims, and bind the user to Spring's SecurityContextHolder before allowing the SSE stream to establish.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Q4: How does your Token Bucket rate limiter protect expensive AI endpoints?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We integrated Bucket4j via a Spring Web MVC HandlerInterceptor. We implemented a multi-tiered policy: standard APIs allow 30 requests/minute, while AI streaming endpoints are capped at 10 requests/minute. The token bucket allows burst traffic up to the bucket capacity while enforcing a strict refill rate. When tokens are exhausted, the interceptor immediately aborts the request with HTTP 429 and returns a Retry-After header, protecting LLM quotas and database CPU.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Q5: How does your system guarantee zero-downtime resilience if Redis crashes?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In RedisConfig, we implemented an automated fallback pattern. During startup, we ping the Redis instance with a strict timeout. If Redis is unreachable or fails, we catch the exception and immediately register Spring's ConcurrentMapCacheManager (in-memory JVM cache). The application remains fully functional, logs an alert, and degrades gracefully without failing container health checks or crashing pods.</w:t>
      </w:r>
    </w:p>
    <w:p>
      <w:pPr>
        <w:pStyle w:val="Heading2"/>
        <w:keepNext/>
        <w:spacing w:before="220" w:after="80"/>
      </w:pPr>
      <w:r>
        <w:rPr>
          <w:rFonts w:ascii="Calibri" w:hAnsi="Calibri"/>
          <w:b/>
          <w:color w:val="0284C7"/>
          <w:sz w:val="26"/>
        </w:rPr>
        <w:t>Q6: What are the differences between Cosine Distance and Euclidean Distance in vector embeddings?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Cosine distance measures the cosine of the angle between vectors, making it scale-invariant and ideal for text embeddings where document length variations shouldn't distort semantic similarity. Euclidean distance measures straight-line distance, which is sensitive to vector magnitude. Because our embeddings are L2-normalized (length = 1), cosine distance (1 - u . v) directly mirrors normalized Euclidean distance while being computationally faster to evaluate.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