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E3A8A"/>
          <w:sz w:val="24"/>
          <w:szCs w:val="24"/>
        </w:rPr>
        <w:t xml:space="preserve">SECRETARIA MUNICIPAL DE EDUCAÇÃO - SEMED</w:t>
      </w:r>
    </w:p>
    <w:p>
      <w:pPr>
        <w:spacing w:after="240"/>
        <w:jc w:val="center"/>
      </w:pPr>
      <w:r>
        <w:rPr>
          <w:rFonts w:ascii="Calibri" w:cs="Calibri" w:eastAsia="Calibri" w:hAnsi="Calibri"/>
          <w:color w:val="4B5563"/>
          <w:sz w:val="20"/>
          <w:szCs w:val="20"/>
        </w:rPr>
        <w:t xml:space="preserve">PREFEITURA MUNICIPAL DE GONÇALVES DIAS - MA</w:t>
      </w:r>
      <w:r>
        <w:rPr>
          <w:rFonts w:ascii="Calibri" w:cs="Calibri" w:eastAsia="Calibri" w:hAnsi="Calibri"/>
          <w:b/>
          <w:bCs/>
          <w:color w:val="0D9488"/>
          <w:sz w:val="22"/>
          <w:szCs w:val="22"/>
        </w:rPr>
        <w:t xml:space="preserve">
PLATAFORMA EDUCACIONAL IDEB NA PRÁTICA</w:t>
      </w:r>
    </w:p>
    <w:p>
      <w:pPr>
        <w:pBdr>
          <w:bottom w:val="single" w:color="2563EB" w:sz="12" w:space="4"/>
        </w:pBdr>
        <w:spacing w:after="300"/>
        <w:jc w:val="center"/>
      </w:pPr>
      <w:r>
        <w:rPr>
          <w:rFonts w:ascii="Calibri" w:cs="Calibri" w:eastAsia="Calibri" w:hAnsi="Calibri"/>
          <w:b/>
          <w:bCs/>
          <w:color w:val="1E3A8A"/>
          <w:sz w:val="26"/>
          <w:szCs w:val="26"/>
        </w:rPr>
        <w:t xml:space="preserve">COMUNICADO TÉCNICO E INFORMATIVO Nº 01/2026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F3F4F6" w:val="clear"/>
          </w:tcPr>
          <w:p>
            <w:r>
              <w:rPr>
                <w:rFonts w:ascii="Calibri" w:cs="Calibri" w:eastAsia="Calibri" w:hAnsi="Calibri"/>
                <w:b/>
                <w:bCs/>
                <w:color w:val="1F2937"/>
                <w:sz w:val="20"/>
                <w:szCs w:val="20"/>
              </w:rPr>
              <w:t xml:space="preserve">Para:</w:t>
            </w:r>
          </w:p>
        </w:tc>
        <w:tc>
          <w:tcPr>
            <w:tcW w:type="pct" w:w="75%"/>
          </w:tcPr>
          <w:p>
            <w:r>
              <w:rPr>
                <w:rFonts w:ascii="Calibri" w:cs="Calibri" w:eastAsia="Calibri" w:hAnsi="Calibri"/>
                <w:color w:val="1F2937"/>
                <w:sz w:val="20"/>
                <w:szCs w:val="20"/>
              </w:rPr>
              <w:t xml:space="preserve">Gestão Educacional, Equipe Pedagógica, Diretores e Professores</w:t>
            </w:r>
          </w:p>
        </w:tc>
      </w:tr>
      <w:tr>
        <w:tc>
          <w:tcPr>
            <w:tcW w:type="pct" w:w="25%"/>
            <w:shd w:fill="F3F4F6" w:val="clear"/>
          </w:tcPr>
          <w:p>
            <w:r>
              <w:rPr>
                <w:rFonts w:ascii="Calibri" w:cs="Calibri" w:eastAsia="Calibri" w:hAnsi="Calibri"/>
                <w:b/>
                <w:bCs/>
                <w:color w:val="1F2937"/>
                <w:sz w:val="20"/>
                <w:szCs w:val="20"/>
              </w:rPr>
              <w:t xml:space="preserve">Assunto:</w:t>
            </w:r>
          </w:p>
        </w:tc>
        <w:tc>
          <w:tcPr>
            <w:tcW w:type="pct" w:w="75%"/>
          </w:tcPr>
          <w:p>
            <w:r>
              <w:rPr>
                <w:rFonts w:ascii="Calibri" w:cs="Calibri" w:eastAsia="Calibri" w:hAnsi="Calibri"/>
                <w:b/>
                <w:bCs/>
                <w:color w:val="1F2937"/>
                <w:sz w:val="20"/>
                <w:szCs w:val="20"/>
              </w:rPr>
              <w:t xml:space="preserve">Estabilização de Conexão, Conclusão de Auditoria de Segurança e Monitoramento Contínuo</w:t>
            </w:r>
          </w:p>
        </w:tc>
      </w:tr>
      <w:tr>
        <w:tc>
          <w:tcPr>
            <w:tcW w:type="pct" w:w="25%"/>
            <w:shd w:fill="F3F4F6" w:val="clear"/>
          </w:tcPr>
          <w:p>
            <w:r>
              <w:rPr>
                <w:rFonts w:ascii="Calibri" w:cs="Calibri" w:eastAsia="Calibri" w:hAnsi="Calibri"/>
                <w:b/>
                <w:bCs/>
                <w:color w:val="1F2937"/>
                <w:sz w:val="20"/>
                <w:szCs w:val="20"/>
              </w:rPr>
              <w:t xml:space="preserve">Data:</w:t>
            </w:r>
          </w:p>
        </w:tc>
        <w:tc>
          <w:tcPr>
            <w:tcW w:type="pct" w:w="75%"/>
          </w:tcPr>
          <w:p>
            <w:r>
              <w:rPr>
                <w:rFonts w:ascii="Calibri" w:cs="Calibri" w:eastAsia="Calibri" w:hAnsi="Calibri"/>
                <w:color w:val="1F2937"/>
                <w:sz w:val="20"/>
                <w:szCs w:val="20"/>
              </w:rPr>
              <w:t xml:space="preserve">12 de Setembro de 2026</w:t>
            </w:r>
          </w:p>
        </w:tc>
      </w:tr>
    </w:tbl>
    <w:p>
      <w:pPr>
        <w:pStyle w:val="Heading2"/>
        <w:spacing w:after="120" w:before="240"/>
      </w:pPr>
      <w:r>
        <w:rPr>
          <w:rFonts w:ascii="Calibri" w:cs="Calibri" w:eastAsia="Calibri" w:hAnsi="Calibri"/>
          <w:b/>
          <w:bCs/>
          <w:color w:val="1E3A8A"/>
          <w:sz w:val="22"/>
          <w:szCs w:val="22"/>
        </w:rPr>
        <w:t xml:space="preserve">1. Contexto e Esclarecimento sobre Relatos de Instabilidade</w:t>
      </w:r>
    </w:p>
    <w:p>
      <w:pPr>
        <w:spacing w:after="160" w:line="276"/>
      </w:pPr>
      <w:r>
        <w:rPr>
          <w:rFonts w:ascii="Calibri" w:cs="Calibri" w:eastAsia="Calibri" w:hAnsi="Calibri"/>
          <w:color w:val="1F2937"/>
          <w:sz w:val="21"/>
          <w:szCs w:val="21"/>
        </w:rPr>
        <w:t xml:space="preserve">Prezados Gestores e Educadores,
</w:t>
      </w:r>
      <w:r>
        <w:rPr>
          <w:rFonts w:ascii="Calibri" w:cs="Calibri" w:eastAsia="Calibri" w:hAnsi="Calibri"/>
          <w:color w:val="1F2937"/>
          <w:sz w:val="21"/>
          <w:szCs w:val="21"/>
        </w:rPr>
        <w:t xml:space="preserve">Informamos que foi identificado e completamente solucionado um ajuste de infraestrutura de rede que afetou a sincronização de dados da plataforma </w:t>
      </w:r>
      <w:r>
        <w:rPr>
          <w:rFonts w:ascii="Calibri" w:cs="Calibri" w:eastAsia="Calibri" w:hAnsi="Calibri"/>
          <w:b/>
          <w:bCs/>
          <w:color w:val="1F2937"/>
          <w:sz w:val="21"/>
          <w:szCs w:val="21"/>
        </w:rPr>
        <w:t xml:space="preserve">IDEB na Prática</w:t>
      </w:r>
      <w:r>
        <w:rPr>
          <w:rFonts w:ascii="Calibri" w:cs="Calibri" w:eastAsia="Calibri" w:hAnsi="Calibri"/>
          <w:color w:val="1F2937"/>
          <w:sz w:val="21"/>
          <w:szCs w:val="21"/>
        </w:rPr>
        <w:t xml:space="preserve"> entre os dias </w:t>
      </w:r>
      <w:r>
        <w:rPr>
          <w:rFonts w:ascii="Calibri" w:cs="Calibri" w:eastAsia="Calibri" w:hAnsi="Calibri"/>
          <w:b/>
          <w:bCs/>
          <w:color w:val="1F2937"/>
          <w:sz w:val="21"/>
          <w:szCs w:val="21"/>
        </w:rPr>
        <w:t xml:space="preserve">12 de agosto de 2026 e 12 de setembro de 2026 (~31 dias)</w:t>
      </w:r>
      <w:r>
        <w:rPr>
          <w:rFonts w:ascii="Calibri" w:cs="Calibri" w:eastAsia="Calibri" w:hAnsi="Calibri"/>
          <w:color w:val="1F2937"/>
          <w:sz w:val="21"/>
          <w:szCs w:val="21"/>
        </w:rPr>
        <w:t xml:space="preserve">.</w:t>
      </w:r>
    </w:p>
    <w:p>
      <w:pPr>
        <w:spacing w:after="160" w:line="276"/>
      </w:pPr>
      <w:r>
        <w:rPr>
          <w:rFonts w:ascii="Calibri" w:cs="Calibri" w:eastAsia="Calibri" w:hAnsi="Calibri"/>
          <w:color w:val="1F2937"/>
          <w:sz w:val="21"/>
          <w:szCs w:val="21"/>
        </w:rPr>
        <w:t xml:space="preserve">Durante esse intervalo, a comunicação entre o endereço de acesso web e os serviços de processamento em nuvem apresentou interrupções intermitentes. Essa oscilação explica eventuais relatos pontuais de usuários sobre lentidão no salvamento de formulários, dificuldades momentâneas de login ou mensagens de erro de sincronização.</w:t>
      </w:r>
    </w:p>
    <w:p>
      <w:pPr>
        <w:pStyle w:val="Heading2"/>
        <w:spacing w:after="120" w:before="240"/>
      </w:pPr>
      <w:r>
        <w:rPr>
          <w:rFonts w:ascii="Calibri" w:cs="Calibri" w:eastAsia="Calibri" w:hAnsi="Calibri"/>
          <w:b/>
          <w:bCs/>
          <w:color w:val="1E3A8A"/>
          <w:sz w:val="22"/>
          <w:szCs w:val="22"/>
        </w:rPr>
        <w:t xml:space="preserve">2. Diagnóstico e Resolução Técnica</w:t>
      </w:r>
    </w:p>
    <w:p>
      <w:pPr>
        <w:spacing w:after="160" w:line="276"/>
      </w:pPr>
      <w:r>
        <w:rPr>
          <w:rFonts w:ascii="Calibri" w:cs="Calibri" w:eastAsia="Calibri" w:hAnsi="Calibri"/>
          <w:color w:val="1F2937"/>
          <w:sz w:val="21"/>
          <w:szCs w:val="21"/>
        </w:rPr>
        <w:t xml:space="preserve">A causa raiz foi uma divergência de apontamento no roteamento de nuvem após uma modernização dos servidores. O ajuste foi executado, testado e validado em ambiente de produção com 100% de sucesso. A plataforma encontra-se </w:t>
      </w:r>
      <w:r>
        <w:rPr>
          <w:rFonts w:ascii="Calibri" w:cs="Calibri" w:eastAsia="Calibri" w:hAnsi="Calibri"/>
          <w:b/>
          <w:bCs/>
          <w:color w:val="1F2937"/>
          <w:sz w:val="21"/>
          <w:szCs w:val="21"/>
        </w:rPr>
        <w:t xml:space="preserve">plenamente estabilizada, com tempos de resposta imediatos e conexões seguras restabelecidas.</w:t>
      </w:r>
    </w:p>
    <w:p>
      <w:pPr>
        <w:pStyle w:val="Heading2"/>
        <w:spacing w:after="120" w:before="240"/>
      </w:pPr>
      <w:r>
        <w:rPr>
          <w:rFonts w:ascii="Calibri" w:cs="Calibri" w:eastAsia="Calibri" w:hAnsi="Calibri"/>
          <w:b/>
          <w:bCs/>
          <w:color w:val="1E3A8A"/>
          <w:sz w:val="22"/>
          <w:szCs w:val="22"/>
        </w:rPr>
        <w:t xml:space="preserve">3. Implantação de Monitoramento Automático em Tempo Real</w:t>
      </w:r>
    </w:p>
    <w:p>
      <w:pPr>
        <w:spacing w:after="160" w:line="276"/>
      </w:pPr>
      <w:r>
        <w:rPr>
          <w:rFonts w:ascii="Calibri" w:cs="Calibri" w:eastAsia="Calibri" w:hAnsi="Calibri"/>
          <w:color w:val="1F2937"/>
          <w:sz w:val="21"/>
          <w:szCs w:val="21"/>
        </w:rPr>
        <w:t xml:space="preserve">Para assegurar máxima confiabilidade e prevenir qualquer recorrência futura, foi ativado um sistema de </w:t>
      </w:r>
      <w:r>
        <w:rPr>
          <w:rFonts w:ascii="Calibri" w:cs="Calibri" w:eastAsia="Calibri" w:hAnsi="Calibri"/>
          <w:b/>
          <w:bCs/>
          <w:color w:val="1F2937"/>
          <w:sz w:val="21"/>
          <w:szCs w:val="21"/>
        </w:rPr>
        <w:t xml:space="preserve">monitoramento contínuo de disponibilidade (Health Check)</w:t>
      </w:r>
      <w:r>
        <w:rPr>
          <w:rFonts w:ascii="Calibri" w:cs="Calibri" w:eastAsia="Calibri" w:hAnsi="Calibri"/>
          <w:color w:val="1F2937"/>
          <w:sz w:val="21"/>
          <w:szCs w:val="21"/>
        </w:rPr>
        <w:t xml:space="preserve">. Esse mecanismo testa automaticamente a integridade do sistema a cada 30 minutos e dispara alertas automáticos e instantâneos para a equipe técnica caso qualquer instabilidade venha a ocorrer, garantindo atendimento em minutos e não mais em dias ou semanas.</w:t>
      </w:r>
    </w:p>
    <w:p>
      <w:pPr>
        <w:pStyle w:val="Heading2"/>
        <w:spacing w:after="120" w:before="240"/>
      </w:pPr>
      <w:r>
        <w:rPr>
          <w:rFonts w:ascii="Calibri" w:cs="Calibri" w:eastAsia="Calibri" w:hAnsi="Calibri"/>
          <w:b/>
          <w:bCs/>
          <w:color w:val="1E3A8A"/>
          <w:sz w:val="22"/>
          <w:szCs w:val="22"/>
        </w:rPr>
        <w:t xml:space="preserve">4. Conclusão da Auditoria Abrangente de Segurança e LGPD</w:t>
      </w:r>
    </w:p>
    <w:p>
      <w:pPr>
        <w:spacing w:after="160" w:line="276"/>
      </w:pPr>
      <w:r>
        <w:rPr>
          <w:rFonts w:ascii="Calibri" w:cs="Calibri" w:eastAsia="Calibri" w:hAnsi="Calibri"/>
          <w:color w:val="1F2937"/>
          <w:sz w:val="21"/>
          <w:szCs w:val="21"/>
        </w:rPr>
        <w:t xml:space="preserve">Paralelamente à correção de estabilidade, foi concluído com êxito um ciclo rigoroso de </w:t>
      </w:r>
      <w:r>
        <w:rPr>
          <w:rFonts w:ascii="Calibri" w:cs="Calibri" w:eastAsia="Calibri" w:hAnsi="Calibri"/>
          <w:b/>
          <w:bCs/>
          <w:color w:val="1F2937"/>
          <w:sz w:val="21"/>
          <w:szCs w:val="21"/>
        </w:rPr>
        <w:t xml:space="preserve">auditoria de segurança da informação</w:t>
      </w:r>
      <w:r>
        <w:rPr>
          <w:rFonts w:ascii="Calibri" w:cs="Calibri" w:eastAsia="Calibri" w:hAnsi="Calibri"/>
          <w:color w:val="1F2937"/>
          <w:sz w:val="21"/>
          <w:szCs w:val="21"/>
        </w:rPr>
        <w:t xml:space="preserve">. Foram implementadas camadas adicionais de proteção de dados, controle de acesso estrito e criptografia de ponta a ponta para blindar os cadastros de alunos, notas e informações escolares, em conformidade com as melhores práticas institucionais e regulatórias.</w:t>
      </w:r>
    </w:p>
    <w:p>
      <w:pPr>
        <w:pStyle w:val="Heading2"/>
        <w:spacing w:after="120" w:before="240"/>
      </w:pPr>
      <w:r>
        <w:rPr>
          <w:rFonts w:ascii="Calibri" w:cs="Calibri" w:eastAsia="Calibri" w:hAnsi="Calibri"/>
          <w:b/>
          <w:bCs/>
          <w:color w:val="1E3A8A"/>
          <w:sz w:val="22"/>
          <w:szCs w:val="22"/>
        </w:rPr>
        <w:t xml:space="preserve">5. Orientações aos Usuários</w:t>
      </w:r>
    </w:p>
    <w:p>
      <w:pPr>
        <w:spacing w:after="360" w:line="276"/>
      </w:pPr>
      <w:r>
        <w:rPr>
          <w:rFonts w:ascii="Calibri" w:cs="Calibri" w:eastAsia="Calibri" w:hAnsi="Calibri"/>
          <w:color w:val="1F2937"/>
          <w:sz w:val="21"/>
          <w:szCs w:val="21"/>
        </w:rPr>
        <w:t xml:space="preserve">• Os usuários podem continuar utilizando a plataforma normalmente pelo link oficial.
</w:t>
      </w:r>
      <w:r>
        <w:rPr>
          <w:rFonts w:ascii="Calibri" w:cs="Calibri" w:eastAsia="Calibri" w:hAnsi="Calibri"/>
          <w:color w:val="1F2937"/>
          <w:sz w:val="21"/>
          <w:szCs w:val="21"/>
        </w:rPr>
        <w:t xml:space="preserve">• Não é necessária nenhuma ação técnica por parte dos professores ou gestores.
</w:t>
      </w:r>
      <w:r>
        <w:rPr>
          <w:rFonts w:ascii="Calibri" w:cs="Calibri" w:eastAsia="Calibri" w:hAnsi="Calibri"/>
          <w:color w:val="1F2937"/>
          <w:sz w:val="21"/>
          <w:szCs w:val="21"/>
        </w:rPr>
        <w:t xml:space="preserve">• Caso algum usuário tenha deixado de registrar alguma informação no período citado, recomendamos verificar se seus lançamentos foram concluídos com sucesso.
</w:t>
      </w:r>
      <w:r>
        <w:rPr>
          <w:rFonts w:ascii="Calibri" w:cs="Calibri" w:eastAsia="Calibri" w:hAnsi="Calibri"/>
          <w:color w:val="1F2937"/>
          <w:sz w:val="21"/>
          <w:szCs w:val="21"/>
        </w:rPr>
        <w:t xml:space="preserve">• O canal de suporte técnico da SEMED permanece à disposição para qualquer auxílio.</w:t>
      </w:r>
    </w:p>
    <w:p>
      <w:pPr>
        <w:spacing w:after="60" w:before="400"/>
        <w:jc w:val="center"/>
      </w:pPr>
      <w:r>
        <w:rPr>
          <w:rFonts w:ascii="Calibri" w:cs="Calibri" w:eastAsia="Calibri" w:hAnsi="Calibri"/>
          <w:b/>
          <w:bCs/>
          <w:color w:val="1E3A8A"/>
          <w:sz w:val="20"/>
          <w:szCs w:val="20"/>
        </w:rPr>
        <w:t xml:space="preserve">EQUIPE TÉCNICA E DE TECNOLOGIA EDUCACIONAL</w:t>
      </w:r>
    </w:p>
    <w:p>
      <w:pPr>
        <w:jc w:val="center"/>
      </w:pPr>
      <w:r>
        <w:rPr>
          <w:rFonts w:ascii="Calibri" w:cs="Calibri" w:eastAsia="Calibri" w:hAnsi="Calibri"/>
          <w:color w:val="6B7280"/>
          <w:sz w:val="18"/>
          <w:szCs w:val="18"/>
        </w:rPr>
        <w:t xml:space="preserve">Plataforma IDEB na Prática | SEMED Gonçalves Dias - 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2026-09-12T17:03:25.331Z</dcterms:created>
  <dcterms:modified xsi:type="dcterms:W3CDTF">2026-09-12T17:03:25.332Z</dcterms:modified>
</cp:coreProperties>
</file>

<file path=docProps/custom.xml><?xml version="1.0" encoding="utf-8"?>
<Properties xmlns="http://schemas.openxmlformats.org/officeDocument/2006/custom-properties" xmlns:vt="http://schemas.openxmlformats.org/officeDocument/2006/docPropsVTypes"/>
</file>