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Style w:val="Heading1"/>
      </w:pPr>
      <w:r>
        <w:rPr>
          <w:b/>
          <w:sz w:val="36"/>
          <w:color w:val="185ABD"/>
        </w:rPr>
        <w:t>Caderno de Fluência Leitora &amp; Alfabetização • 2º Ano EF</w:t>
      </w:r>
    </w:p>
    <w:p>
      <w:pPr>
        <w:jc w:val="center"/>
      </w:pPr>
      <w:r>
        <w:rPr>
          <w:i/>
          <w:sz w:val="24"/>
          <w:color w:val="555555"/>
        </w:rPr>
        <w:t>Avaliação Diagnóstica SEAMA / Compromisso Criança Alfabetizada</w:t>
      </w:r>
    </w:p>
    <w:p>
      <w:r>
        <w:t/>
      </w:r>
    </w:p>
    <w:p>
      <w:r>
        <w:rPr>
          <w:b/>
          <w:sz w:val="22"/>
          <w:color w:val="222222"/>
        </w:rPr>
        <w:t>SEMED Gonçalves Dias • Acervo Pedagógico Oficial 2026</w:t>
      </w:r>
    </w:p>
    <w:p>
      <w:r>
        <w:rPr>
          <w:sz w:val="22"/>
        </w:rPr>
        <w:t>Conjunto estruturado de parlendas, cantigas e textos de fluência leitora para monitoramento no 2º ano.</w:t>
      </w:r>
    </w:p>
    <w:p>
      <w:r>
        <w:rPr>
          <w:sz w:val="20"/>
          <w:color w:val="666666"/>
        </w:rPr>
        <w:t>Orientações para o Professor: Utilize este material nas rotinas semanais de recomposição da aprendizagem e preparação para os simulados do IDEB.</w:t>
      </w:r>
    </w:p>
  </w:body>
</w:document>
</file>