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Style w:val="Heading1"/>
      </w:pPr>
      <w:r>
        <w:rPr>
          <w:b/>
          <w:sz w:val="36"/>
          <w:color w:val="185ABD"/>
        </w:rPr>
        <w:t>Oficinas de Cálculo Mental &amp; Resolução de Problemas</w:t>
      </w:r>
    </w:p>
    <w:p>
      <w:pPr>
        <w:jc w:val="center"/>
      </w:pPr>
      <w:r>
        <w:rPr>
          <w:i/>
          <w:sz w:val="24"/>
          <w:color w:val="555555"/>
        </w:rPr>
        <w:t>Caderno de Atividades Práticas para 4º e 5º Anos</w:t>
      </w:r>
    </w:p>
    <w:p>
      <w:r>
        <w:t/>
      </w:r>
    </w:p>
    <w:p>
      <w:r>
        <w:rPr>
          <w:b/>
          <w:sz w:val="22"/>
          <w:color w:val="222222"/>
        </w:rPr>
        <w:t>SEMED Gonçalves Dias • Acervo Pedagógico Oficial 2026</w:t>
      </w:r>
    </w:p>
    <w:p>
      <w:r>
        <w:rPr>
          <w:sz w:val="22"/>
        </w:rPr>
        <w:t>Atividades práticas de cálculo mental, situações problema de adição, subtração, multiplicação e raciocínio lógico.</w:t>
      </w:r>
    </w:p>
    <w:p>
      <w:r>
        <w:rPr>
          <w:sz w:val="20"/>
          <w:color w:val="666666"/>
        </w:rPr>
        <w:t>Orientações para o Professor: Utilize este material nas rotinas semanais de recomposição da aprendizagem e preparação para os simulados do IDEB.</w:t>
      </w:r>
    </w:p>
  </w:body>
</w:document>
</file>