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IMPLEMENTACIÓN DE UN TRADUctor automÁticO CON REDES NEURONALES RECURRENTES BAJO EL ESTÁNDAR CRISP-ML(Q)</w:t>
      </w:r>
    </w:p>
    <w:p>
      <w:r>
        <w:t>Universidad Autónoma del Caribe</w:t>
      </w:r>
    </w:p>
    <w:p>
      <w:r>
        <w:t>Facultad de Ingeniería</w:t>
      </w:r>
    </w:p>
    <w:p>
      <w:r>
        <w:t>Programa de Ingeniería de Sistemas</w:t>
      </w:r>
    </w:p>
    <w:p/>
    <w:p>
      <w:r>
        <w:t>Proyecto de Investigación</w:t>
      </w:r>
    </w:p>
    <w:p>
      <w:r>
        <w:t>Taller 2.5</w:t>
      </w:r>
    </w:p>
    <w:p/>
    <w:p>
      <w:pPr>
        <w:pStyle w:val="Heading1"/>
      </w:pPr>
      <w:r>
        <w:t>Resumen</w:t>
      </w:r>
    </w:p>
    <w:p>
      <w:r>
        <w:t>El presente informe documenta el desarrollo de un prototipo de traductor automático ingles-español utilizando arquitecturas de Redes Neuronales Recurrentes (RNN/LSTM) bajo la metodología CRISP-ML(Q). El sistema implementa una arquitectura Seq2Seq (Encoder-Decoder) con células LSTM, alcanzando un BLEU Score de 0.79 sobrepasando el objetivo mínimo de 0.30 establecido en la fase de negocio. El corpus de entrenamiento comprende 899 frases paralelas del dominio universitario, con un vocabulario de 879 palabras únicas. El modelo cuenta con 8,257,391 parámetros entrenables y fue entrenado durante 150 épocas en aproximadamente 4 minutos usando GPU CUDA.</w:t>
      </w:r>
    </w:p>
    <w:p/>
    <w:p>
      <w:r>
        <w:t>Palabras clave: RNN, LSTM, Seq2Seq, BLEU Score, CRISP-ML(Q), Traducción automática, Procesamiento de lenguaje natural</w:t>
      </w:r>
    </w:p>
    <w:p>
      <w:pPr>
        <w:pStyle w:val="Heading1"/>
      </w:pPr>
      <w:r>
        <w:t>1. Introducción</w:t>
      </w:r>
    </w:p>
    <w:p>
      <w:pPr>
        <w:pStyle w:val="Heading2"/>
      </w:pPr>
      <w:r>
        <w:t>1.1 Identificación del Problema</w:t>
      </w:r>
    </w:p>
    <w:p>
      <w:r>
        <w:t>La comunicación intercultural entre estudiantes angloparlantes y hispanohablantes en el contexto universitario representa un desafío significativo. Los estudiantes de intercambio y la comunidad universitaria de la Universidad Autónoma del Caribe (UAC) requieren herramientas de traducción automática confiables para facilitar el aprendizaje y la integración académico-social.</w:t>
      </w:r>
    </w:p>
    <w:p>
      <w:pPr>
        <w:pStyle w:val="Heading2"/>
      </w:pPr>
      <w:r>
        <w:t>1.2 Objetivos</w:t>
      </w:r>
    </w:p>
    <w:p>
      <w:pPr>
        <w:pStyle w:val="ListNumber"/>
      </w:pPr>
      <w:r>
        <w:t>Objetivo general:</w:t>
      </w:r>
    </w:p>
    <w:p>
      <w:r>
        <w:t>Desarrollar un prototipo funcional de traductor automático inglés-español utilizando Redes Neuronales Recurrentes bajo la metodología CRISP-ML(Q), orientado a la comunidad universitaria de la UAC.</w:t>
      </w:r>
    </w:p>
    <w:p>
      <w:pPr>
        <w:pStyle w:val="ListNumber"/>
      </w:pPr>
      <w:r>
        <w:t>Objetivos específicos:</w:t>
      </w:r>
    </w:p>
    <w:p>
      <w:pPr>
        <w:pStyle w:val="ListNumber"/>
      </w:pPr>
      <w:r>
        <w:t>Implementar arquitectura Seq2Seq con células LSTM</w:t>
      </w:r>
    </w:p>
    <w:p>
      <w:pPr>
        <w:pStyle w:val="ListNumber"/>
      </w:pPr>
      <w:r>
        <w:t>Entrenar con corpus paralelo del dominio universitario</w:t>
      </w:r>
    </w:p>
    <w:p>
      <w:pPr>
        <w:pStyle w:val="ListNumber"/>
      </w:pPr>
      <w:r>
        <w:t>Alcanzar BLEU Score ≥ 0.30</w:t>
      </w:r>
    </w:p>
    <w:p>
      <w:pPr>
        <w:pStyle w:val="ListNumber"/>
      </w:pPr>
      <w:r>
        <w:t>Desplegar interfaz Gradio para interacción usuario</w:t>
      </w:r>
    </w:p>
    <w:p>
      <w:pPr>
        <w:pStyle w:val="ListNumber"/>
      </w:pPr>
      <w:r>
        <w:t>Implementar sistema de feedback para monitoreo de calidad</w:t>
      </w:r>
    </w:p>
    <w:p>
      <w:pPr>
        <w:pStyle w:val="Heading2"/>
      </w:pPr>
      <w:r>
        <w:t>1.3 Alcance</w:t>
      </w:r>
    </w:p>
    <w:p>
      <w:r>
        <w:t>El proyecto contempla el desarrollo completo del pipeline de ML incluyendo: (1) análisis de negocio y datos, (2) preparación de datos con tokenización, (3) construcción del modelo Seq2Seq, (4) entrenamiento y evaluación, (5) despliegue con interfaz Gradio, y (6) sistema de monitoreo y mantenimiento para control de calidad.</w:t>
      </w:r>
    </w:p>
    <w:p>
      <w:pPr>
        <w:pStyle w:val="Heading1"/>
      </w:pPr>
      <w:r>
        <w:t>2. Marco Teórico</w:t>
      </w:r>
    </w:p>
    <w:p>
      <w:pPr>
        <w:pStyle w:val="Heading2"/>
      </w:pPr>
      <w:r>
        <w:t>2.1 Redes Neuronales Recurrentes</w:t>
      </w:r>
    </w:p>
    <w:p>
      <w:r>
        <w:t>Las Redes Neuronales Recurrentes (RNN) son un tipo de arquitectura neuronal diseñada para procesar secuencias de datos. A diferencia de las redes Feedforward, las RNN tienen conexiones que forman ciclos, permitiendo que la información persista en la memoria (Goodfellow et al., 2016).</w:t>
      </w:r>
    </w:p>
    <w:p>
      <w:pPr>
        <w:pStyle w:val="Heading2"/>
      </w:pPr>
      <w:r>
        <w:t>2.2 LSTM (Long Short-Term Memory)</w:t>
      </w:r>
    </w:p>
    <w:p>
      <w:r>
        <w:t>Las células LSTM resuelven el problema del gradiente desvaneciente mediante compuertas de entrada, salida y olvido que regulan el flujo de información (Hochreiter &amp; Schmidhuber, 1997).</w:t>
      </w:r>
    </w:p>
    <w:p>
      <w:pPr>
        <w:pStyle w:val="Heading2"/>
      </w:pPr>
      <w:r>
        <w:t>2.3 Arquitectura Seq2Seq</w:t>
      </w:r>
    </w:p>
    <w:p>
      <w:r>
        <w:t>La arquitectura Encoder-Decoder permite traducir secuencias de longitud variable. El Encoder procesa la secuencia fuente y produce un vector de contexto; el Decoder genera la secuencia objetivo token por token (Sutskever et al., 2014).</w:t>
      </w:r>
    </w:p>
    <w:p>
      <w:pPr>
        <w:pStyle w:val="Heading2"/>
      </w:pPr>
      <w:r>
        <w:t>2.4 CRISP-ML(Q)</w:t>
      </w:r>
    </w:p>
    <w:p>
      <w:r>
        <w:t>CRISP-ML (Cross-Industry Standard Process for Machine Learning) es una metodología iterativa para proyectos de ML que incluye seis fases: Business/Data Understanding, Modeling, Evaluation, Deployment y Monitoring (Q).</w:t>
      </w:r>
    </w:p>
    <w:p>
      <w:pPr>
        <w:pStyle w:val="Heading2"/>
      </w:pPr>
      <w:r>
        <w:t>2.5 Métricas de Evaluación</w:t>
      </w:r>
    </w:p>
    <w:p>
      <w:r>
        <w:t>BLEU (Bilingual Evaluation Understudy) es la métrica estándar para traducción automática. Mide la similitud entre la traducción generada y las referencias humanas mediante precisión de n-gramas (Papineni et al., 2002).</w:t>
      </w:r>
    </w:p>
    <w:p>
      <w:pPr>
        <w:pStyle w:val="Heading1"/>
      </w:pPr>
      <w:r>
        <w:t>3. Desarrollo del Proyecto (CRISP-ML(Q))</w:t>
      </w:r>
    </w:p>
    <w:p>
      <w:pPr>
        <w:pStyle w:val="Heading2"/>
      </w:pPr>
      <w:r>
        <w:t>3.1 Fase 1: Business and Data Understanding</w:t>
      </w:r>
    </w:p>
    <w:p>
      <w:r>
        <w:t>En esta fase se definieron los requisitos del negocio y se evaluó la disponibilidad de datos. Se estableció como métrica principal el BLEU Score con objetivo ≥ 0.30 y latencia máxima de 2 segundos.</w:t>
      </w:r>
    </w:p>
    <w:tbl>
      <w:tblPr>
        <w:tblStyle w:val="TableGrid"/>
        <w:tblW w:type="auto" w:w="0"/>
        <w:tblLook w:firstColumn="1" w:firstRow="1" w:lastColumn="0" w:lastRow="0" w:noHBand="0" w:noVBand="1" w:val="04A0"/>
      </w:tblPr>
      <w:tblGrid>
        <w:gridCol w:w="4320"/>
        <w:gridCol w:w="4320"/>
      </w:tblGrid>
      <w:tr>
        <w:tc>
          <w:tcPr>
            <w:tcW w:type="dxa" w:w="4320"/>
          </w:tcPr>
          <w:p>
            <w:r>
              <w:t>Parámetro</w:t>
            </w:r>
          </w:p>
        </w:tc>
        <w:tc>
          <w:tcPr>
            <w:tcW w:type="dxa" w:w="4320"/>
          </w:tcPr>
          <w:p>
            <w:r>
              <w:t>Valor</w:t>
            </w:r>
          </w:p>
        </w:tc>
      </w:tr>
      <w:tr>
        <w:tc>
          <w:tcPr>
            <w:tcW w:type="dxa" w:w="4320"/>
          </w:tcPr>
          <w:p>
            <w:r>
              <w:t>BLEU Score objetivo</w:t>
            </w:r>
          </w:p>
        </w:tc>
        <w:tc>
          <w:tcPr>
            <w:tcW w:type="dxa" w:w="4320"/>
          </w:tcPr>
          <w:p>
            <w:r>
              <w:t>≥ 0.30</w:t>
            </w:r>
          </w:p>
        </w:tc>
      </w:tr>
      <w:tr>
        <w:tc>
          <w:tcPr>
            <w:tcW w:type="dxa" w:w="4320"/>
          </w:tcPr>
          <w:p>
            <w:r>
              <w:t>Latencia máxima</w:t>
            </w:r>
          </w:p>
        </w:tc>
        <w:tc>
          <w:tcPr>
            <w:tcW w:type="dxa" w:w="4320"/>
          </w:tcPr>
          <w:p>
            <w:r>
              <w:t>2 segundos</w:t>
            </w:r>
          </w:p>
        </w:tc>
      </w:tr>
      <w:tr>
        <w:tc>
          <w:tcPr>
            <w:tcW w:type="dxa" w:w="4320"/>
          </w:tcPr>
          <w:p>
            <w:r>
              <w:t>Dirección</w:t>
            </w:r>
          </w:p>
        </w:tc>
        <w:tc>
          <w:tcPr>
            <w:tcW w:type="dxa" w:w="4320"/>
          </w:tcPr>
          <w:p>
            <w:r>
              <w:t>EN ↔ ES</w:t>
            </w:r>
          </w:p>
        </w:tc>
      </w:tr>
    </w:tbl>
    <w:p/>
    <w:p>
      <w:pPr>
        <w:pStyle w:val="Heading2"/>
      </w:pPr>
      <w:r>
        <w:t>3.2 Fase 2: Data Preparation</w:t>
      </w:r>
    </w:p>
    <w:p>
      <w:r>
        <w:t>Se construyó un corpus paralelo de 899 frases inglés-español del dominio universitario, incluyendo: saludos, familia, university términos, exámenes, materiales, verbos comunes, y preguntas frecuentes.</w:t>
      </w:r>
    </w:p>
    <w:tbl>
      <w:tblPr>
        <w:tblStyle w:val="TableGrid"/>
        <w:tblW w:type="auto" w:w="0"/>
        <w:tblLook w:firstColumn="1" w:firstRow="1" w:lastColumn="0" w:lastRow="0" w:noHBand="0" w:noVBand="1" w:val="04A0"/>
      </w:tblPr>
      <w:tblGrid>
        <w:gridCol w:w="4320"/>
        <w:gridCol w:w="4320"/>
      </w:tblGrid>
      <w:tr>
        <w:tc>
          <w:tcPr>
            <w:tcW w:type="dxa" w:w="4320"/>
          </w:tcPr>
          <w:p>
            <w:r>
              <w:t>Métrica</w:t>
            </w:r>
          </w:p>
        </w:tc>
        <w:tc>
          <w:tcPr>
            <w:tcW w:type="dxa" w:w="4320"/>
          </w:tcPr>
          <w:p>
            <w:r>
              <w:t>Valor</w:t>
            </w:r>
          </w:p>
        </w:tc>
      </w:tr>
      <w:tr>
        <w:tc>
          <w:tcPr>
            <w:tcW w:type="dxa" w:w="4320"/>
          </w:tcPr>
          <w:p>
            <w:r>
              <w:t>Parejas de frases</w:t>
            </w:r>
          </w:p>
        </w:tc>
        <w:tc>
          <w:tcPr>
            <w:tcW w:type="dxa" w:w="4320"/>
          </w:tcPr>
          <w:p>
            <w:r>
              <w:t>899</w:t>
            </w:r>
          </w:p>
        </w:tc>
      </w:tr>
      <w:tr>
        <w:tc>
          <w:tcPr>
            <w:tcW w:type="dxa" w:w="4320"/>
          </w:tcPr>
          <w:p>
            <w:r>
              <w:t>Vocabulario fuente</w:t>
            </w:r>
          </w:p>
        </w:tc>
        <w:tc>
          <w:tcPr>
            <w:tcW w:type="dxa" w:w="4320"/>
          </w:tcPr>
          <w:p>
            <w:r>
              <w:t>879 palabras</w:t>
            </w:r>
          </w:p>
        </w:tc>
      </w:tr>
      <w:tr>
        <w:tc>
          <w:tcPr>
            <w:tcW w:type="dxa" w:w="4320"/>
          </w:tcPr>
          <w:p>
            <w:r>
              <w:t>Vocabulario objetivo</w:t>
            </w:r>
          </w:p>
        </w:tc>
        <w:tc>
          <w:tcPr>
            <w:tcW w:type="dxa" w:w="4320"/>
          </w:tcPr>
          <w:p>
            <w:r>
              <w:t>879 palabras</w:t>
            </w:r>
          </w:p>
        </w:tc>
      </w:tr>
      <w:tr>
        <w:tc>
          <w:tcPr>
            <w:tcW w:type="dxa" w:w="4320"/>
          </w:tcPr>
          <w:p>
            <w:r>
              <w:t>Longitud máxima</w:t>
            </w:r>
          </w:p>
        </w:tc>
        <w:tc>
          <w:tcPr>
            <w:tcW w:type="dxa" w:w="4320"/>
          </w:tcPr>
          <w:p>
            <w:r>
              <w:t>25 tokens</w:t>
            </w:r>
          </w:p>
        </w:tc>
      </w:tr>
    </w:tbl>
    <w:p/>
    <w:p>
      <w:pPr>
        <w:pStyle w:val="Heading2"/>
      </w:pPr>
      <w:r>
        <w:t>3.3 Fase 3: Modeling</w:t>
      </w:r>
    </w:p>
    <w:p>
      <w:r>
        <w:t>Se implementó una arquitectura Seq2Seq con LSTM utilizando PyTorch. El Encoder procesa la secuencia de entrada y el Decoder genera la traducción token por token.</w:t>
      </w:r>
    </w:p>
    <w:tbl>
      <w:tblPr>
        <w:tblStyle w:val="TableGrid"/>
        <w:tblW w:type="auto" w:w="0"/>
        <w:tblLook w:firstColumn="1" w:firstRow="1" w:lastColumn="0" w:lastRow="0" w:noHBand="0" w:noVBand="1" w:val="04A0"/>
      </w:tblPr>
      <w:tblGrid>
        <w:gridCol w:w="4320"/>
        <w:gridCol w:w="4320"/>
      </w:tblGrid>
      <w:tr>
        <w:tc>
          <w:tcPr>
            <w:tcW w:type="dxa" w:w="4320"/>
          </w:tcPr>
          <w:p>
            <w:r>
              <w:t>Componente</w:t>
            </w:r>
          </w:p>
        </w:tc>
        <w:tc>
          <w:tcPr>
            <w:tcW w:type="dxa" w:w="4320"/>
          </w:tcPr>
          <w:p>
            <w:r>
              <w:t>Configuración</w:t>
            </w:r>
          </w:p>
        </w:tc>
      </w:tr>
      <w:tr>
        <w:tc>
          <w:tcPr>
            <w:tcW w:type="dxa" w:w="4320"/>
          </w:tcPr>
          <w:p>
            <w:r>
              <w:t>Embedding Dim</w:t>
            </w:r>
          </w:p>
        </w:tc>
        <w:tc>
          <w:tcPr>
            <w:tcW w:type="dxa" w:w="4320"/>
          </w:tcPr>
          <w:p>
            <w:r>
              <w:t>256</w:t>
            </w:r>
          </w:p>
        </w:tc>
      </w:tr>
      <w:tr>
        <w:tc>
          <w:tcPr>
            <w:tcW w:type="dxa" w:w="4320"/>
          </w:tcPr>
          <w:p>
            <w:r>
              <w:t>Hidden Dim</w:t>
            </w:r>
          </w:p>
        </w:tc>
        <w:tc>
          <w:tcPr>
            <w:tcW w:type="dxa" w:w="4320"/>
          </w:tcPr>
          <w:p>
            <w:r>
              <w:t>512</w:t>
            </w:r>
          </w:p>
        </w:tc>
      </w:tr>
      <w:tr>
        <w:tc>
          <w:tcPr>
            <w:tcW w:type="dxa" w:w="4320"/>
          </w:tcPr>
          <w:p>
            <w:r>
              <w:t>Capas LSTM</w:t>
            </w:r>
          </w:p>
        </w:tc>
        <w:tc>
          <w:tcPr>
            <w:tcW w:type="dxa" w:w="4320"/>
          </w:tcPr>
          <w:p>
            <w:r>
              <w:t>2</w:t>
            </w:r>
          </w:p>
        </w:tc>
      </w:tr>
      <w:tr>
        <w:tc>
          <w:tcPr>
            <w:tcW w:type="dxa" w:w="4320"/>
          </w:tcPr>
          <w:p>
            <w:r>
              <w:t>Dropout</w:t>
            </w:r>
          </w:p>
        </w:tc>
        <w:tc>
          <w:tcPr>
            <w:tcW w:type="dxa" w:w="4320"/>
          </w:tcPr>
          <w:p>
            <w:r>
              <w:t>0.3</w:t>
            </w:r>
          </w:p>
        </w:tc>
      </w:tr>
      <w:tr>
        <w:tc>
          <w:tcPr>
            <w:tcW w:type="dxa" w:w="4320"/>
          </w:tcPr>
          <w:p>
            <w:r>
              <w:t>Parámetros totales</w:t>
            </w:r>
          </w:p>
        </w:tc>
        <w:tc>
          <w:tcPr>
            <w:tcW w:type="dxa" w:w="4320"/>
          </w:tcPr>
          <w:p>
            <w:r>
              <w:t>8,257,391</w:t>
            </w:r>
          </w:p>
        </w:tc>
      </w:tr>
    </w:tbl>
    <w:p/>
    <w:p>
      <w:pPr>
        <w:pStyle w:val="Heading2"/>
      </w:pPr>
      <w:r>
        <w:t>3.4 Fase 4: Training</w:t>
      </w:r>
    </w:p>
    <w:p>
      <w:r>
        <w:t>El entrenamiento se realizó durante 150 épocas utilizando Adam optimizer con learning rate 0.001 y función de pérdida CrossEntropyLoss. Se aplicó gradiente clipping para estabilidad.</w:t>
      </w:r>
    </w:p>
    <w:p>
      <w:pPr>
        <w:pStyle w:val="IntenseQuote"/>
      </w:pPr>
      <w:r>
        <w:t>Hiperparámetros de entrenamiento:</w:t>
      </w:r>
    </w:p>
    <w:tbl>
      <w:tblPr>
        <w:tblStyle w:val="TableGrid"/>
        <w:tblW w:type="auto" w:w="0"/>
        <w:tblLook w:firstColumn="1" w:firstRow="1" w:lastColumn="0" w:lastRow="0" w:noHBand="0" w:noVBand="1" w:val="04A0"/>
      </w:tblPr>
      <w:tblGrid>
        <w:gridCol w:w="4320"/>
        <w:gridCol w:w="4320"/>
      </w:tblGrid>
      <w:tr>
        <w:tc>
          <w:tcPr>
            <w:tcW w:type="dxa" w:w="4320"/>
          </w:tcPr>
          <w:p>
            <w:r>
              <w:t>Hiperparámetro</w:t>
            </w:r>
          </w:p>
        </w:tc>
        <w:tc>
          <w:tcPr>
            <w:tcW w:type="dxa" w:w="4320"/>
          </w:tcPr>
          <w:p>
            <w:r>
              <w:t>Valor</w:t>
            </w:r>
          </w:p>
        </w:tc>
      </w:tr>
      <w:tr>
        <w:tc>
          <w:tcPr>
            <w:tcW w:type="dxa" w:w="4320"/>
          </w:tcPr>
          <w:p>
            <w:r>
              <w:t>Épocas</w:t>
            </w:r>
          </w:p>
        </w:tc>
        <w:tc>
          <w:tcPr>
            <w:tcW w:type="dxa" w:w="4320"/>
          </w:tcPr>
          <w:p>
            <w:r>
              <w:t>150</w:t>
            </w:r>
          </w:p>
        </w:tc>
      </w:tr>
      <w:tr>
        <w:tc>
          <w:tcPr>
            <w:tcW w:type="dxa" w:w="4320"/>
          </w:tcPr>
          <w:p>
            <w:r>
              <w:t>Batch size</w:t>
            </w:r>
          </w:p>
        </w:tc>
        <w:tc>
          <w:tcPr>
            <w:tcW w:type="dxa" w:w="4320"/>
          </w:tcPr>
          <w:p>
            <w:r>
              <w:t>32</w:t>
            </w:r>
          </w:p>
        </w:tc>
      </w:tr>
      <w:tr>
        <w:tc>
          <w:tcPr>
            <w:tcW w:type="dxa" w:w="4320"/>
          </w:tcPr>
          <w:p>
            <w:r>
              <w:t>Learning rate</w:t>
            </w:r>
          </w:p>
        </w:tc>
        <w:tc>
          <w:tcPr>
            <w:tcW w:type="dxa" w:w="4320"/>
          </w:tcPr>
          <w:p>
            <w:r>
              <w:t>0.001</w:t>
            </w:r>
          </w:p>
        </w:tc>
      </w:tr>
      <w:tr>
        <w:tc>
          <w:tcPr>
            <w:tcW w:type="dxa" w:w="4320"/>
          </w:tcPr>
          <w:p>
            <w:r>
              <w:t>Tiempo de entrenamiento</w:t>
            </w:r>
          </w:p>
        </w:tc>
        <w:tc>
          <w:tcPr>
            <w:tcW w:type="dxa" w:w="4320"/>
          </w:tcPr>
          <w:p>
            <w:r>
              <w:t>~4 minutos</w:t>
            </w:r>
          </w:p>
        </w:tc>
      </w:tr>
    </w:tbl>
    <w:p/>
    <w:p>
      <w:pPr>
        <w:pStyle w:val="Heading2"/>
      </w:pPr>
      <w:r>
        <w:t>3.5 Fase 5: Evaluation</w:t>
      </w:r>
    </w:p>
    <w:p>
      <w:r>
        <w:t>Se evaluó el modelo con conjunto de prueba de 14 frases representativas utilizando BLEU Score.</w:t>
      </w:r>
    </w:p>
    <w:tbl>
      <w:tblPr>
        <w:tblStyle w:val="TableGrid"/>
        <w:tblW w:type="auto" w:w="0"/>
        <w:tblLook w:firstColumn="1" w:firstRow="1" w:lastColumn="0" w:lastRow="0" w:noHBand="0" w:noVBand="1" w:val="04A0"/>
      </w:tblPr>
      <w:tblGrid>
        <w:gridCol w:w="2880"/>
        <w:gridCol w:w="2880"/>
        <w:gridCol w:w="2880"/>
      </w:tblGrid>
      <w:tr>
        <w:tc>
          <w:tcPr>
            <w:tcW w:type="dxa" w:w="2880"/>
          </w:tcPr>
          <w:p>
            <w:r>
              <w:t>Entrada</w:t>
            </w:r>
          </w:p>
        </w:tc>
        <w:tc>
          <w:tcPr>
            <w:tcW w:type="dxa" w:w="2880"/>
          </w:tcPr>
          <w:p>
            <w:r>
              <w:t>Traducción</w:t>
            </w:r>
          </w:p>
        </w:tc>
        <w:tc>
          <w:tcPr>
            <w:tcW w:type="dxa" w:w="2880"/>
          </w:tcPr>
          <w:p>
            <w:r>
              <w:t>BLEU</w:t>
            </w:r>
          </w:p>
        </w:tc>
      </w:tr>
      <w:tr>
        <w:tc>
          <w:tcPr>
            <w:tcW w:type="dxa" w:w="2880"/>
          </w:tcPr>
          <w:p>
            <w:r>
              <w:t>hello</w:t>
            </w:r>
          </w:p>
        </w:tc>
        <w:tc>
          <w:tcPr>
            <w:tcW w:type="dxa" w:w="2880"/>
          </w:tcPr>
          <w:p>
            <w:r>
              <w:t>hola</w:t>
            </w:r>
          </w:p>
        </w:tc>
        <w:tc>
          <w:tcPr>
            <w:tcW w:type="dxa" w:w="2880"/>
          </w:tcPr>
          <w:p>
            <w:r>
              <w:t>1.00</w:t>
            </w:r>
          </w:p>
        </w:tc>
      </w:tr>
      <w:tr>
        <w:tc>
          <w:tcPr>
            <w:tcW w:type="dxa" w:w="2880"/>
          </w:tcPr>
          <w:p>
            <w:r>
              <w:t>thank you</w:t>
            </w:r>
          </w:p>
        </w:tc>
        <w:tc>
          <w:tcPr>
            <w:tcW w:type="dxa" w:w="2880"/>
          </w:tcPr>
          <w:p>
            <w:r>
              <w:t>gracias</w:t>
            </w:r>
          </w:p>
        </w:tc>
        <w:tc>
          <w:tcPr>
            <w:tcW w:type="dxa" w:w="2880"/>
          </w:tcPr>
          <w:p>
            <w:r>
              <w:t>1.00</w:t>
            </w:r>
          </w:p>
        </w:tc>
      </w:tr>
      <w:tr>
        <w:tc>
          <w:tcPr>
            <w:tcW w:type="dxa" w:w="2880"/>
          </w:tcPr>
          <w:p>
            <w:r>
              <w:t>i am a student</w:t>
            </w:r>
          </w:p>
        </w:tc>
        <w:tc>
          <w:tcPr>
            <w:tcW w:type="dxa" w:w="2880"/>
          </w:tcPr>
          <w:p>
            <w:r>
              <w:t>soy estudiante</w:t>
            </w:r>
          </w:p>
        </w:tc>
        <w:tc>
          <w:tcPr>
            <w:tcW w:type="dxa" w:w="2880"/>
          </w:tcPr>
          <w:p>
            <w:r>
              <w:t>1.00</w:t>
            </w:r>
          </w:p>
        </w:tc>
      </w:tr>
      <w:tr>
        <w:tc>
          <w:tcPr>
            <w:tcW w:type="dxa" w:w="2880"/>
          </w:tcPr>
          <w:p>
            <w:r>
              <w:t>where is the library</w:t>
            </w:r>
          </w:p>
        </w:tc>
        <w:tc>
          <w:tcPr>
            <w:tcW w:type="dxa" w:w="2880"/>
          </w:tcPr>
          <w:p>
            <w:r>
              <w:t>donde esta la biblioteca</w:t>
            </w:r>
          </w:p>
        </w:tc>
        <w:tc>
          <w:tcPr>
            <w:tcW w:type="dxa" w:w="2880"/>
          </w:tcPr>
          <w:p>
            <w:r>
              <w:t>1.00</w:t>
            </w:r>
          </w:p>
        </w:tc>
      </w:tr>
      <w:tr>
        <w:tc>
          <w:tcPr>
            <w:tcW w:type="dxa" w:w="2880"/>
          </w:tcPr>
          <w:p>
            <w:r>
              <w:t>the exam is difficult</w:t>
            </w:r>
          </w:p>
        </w:tc>
        <w:tc>
          <w:tcPr>
            <w:tcW w:type="dxa" w:w="2880"/>
          </w:tcPr>
          <w:p>
            <w:r>
              <w:t>el examen es dificil</w:t>
            </w:r>
          </w:p>
        </w:tc>
        <w:tc>
          <w:tcPr>
            <w:tcW w:type="dxa" w:w="2880"/>
          </w:tcPr>
          <w:p>
            <w:r>
              <w:t>1.00</w:t>
            </w:r>
          </w:p>
        </w:tc>
      </w:tr>
      <w:tr>
        <w:tc>
          <w:tcPr>
            <w:tcW w:type="dxa" w:w="2880"/>
          </w:tcPr>
          <w:p>
            <w:r>
              <w:t>i study at the university</w:t>
            </w:r>
          </w:p>
        </w:tc>
        <w:tc>
          <w:tcPr>
            <w:tcW w:type="dxa" w:w="2880"/>
          </w:tcPr>
          <w:p>
            <w:r>
              <w:t>estudio en la universidad</w:t>
            </w:r>
          </w:p>
        </w:tc>
        <w:tc>
          <w:tcPr>
            <w:tcW w:type="dxa" w:w="2880"/>
          </w:tcPr>
          <w:p>
            <w:r>
              <w:t>1.00</w:t>
            </w:r>
          </w:p>
        </w:tc>
      </w:tr>
    </w:tbl>
    <w:p/>
    <w:p>
      <w:r>
        <w:rPr>
          <w:b/>
        </w:rPr>
        <w:t xml:space="preserve">BLEU Score promedio: </w:t>
      </w:r>
      <w:r>
        <w:t>0.79</w:t>
      </w:r>
    </w:p>
    <w:p/>
    <w:p>
      <w:pPr>
        <w:pStyle w:val="Heading2"/>
      </w:pPr>
      <w:r>
        <w:t>3.6 Fase 6: Deployment</w:t>
      </w:r>
    </w:p>
    <w:p>
      <w:r>
        <w:t>Se desplegó una interfaz Gradio interactiva que permite al usuario ingresar texto y obtener la traducción. También se preparó una API con FastAPI.</w:t>
      </w:r>
    </w:p>
    <w:p>
      <w:pPr>
        <w:pStyle w:val="Heading2"/>
      </w:pPr>
      <w:r>
        <w:t>3.7 Fase 6(Q): Monitoring and Maintenance</w:t>
      </w:r>
    </w:p>
    <w:p>
      <w:r>
        <w:t>Se implementó un sistema de feedback que permite a los usuarios reportar traducciones incorrectas. Este feedback se usa para reentrenar el modelo y detectar deriva (drift) en el performance.</w:t>
      </w:r>
    </w:p>
    <w:p>
      <w:pPr>
        <w:pStyle w:val="Heading1"/>
      </w:pPr>
      <w:r>
        <w:t>4. Resultados</w:t>
      </w:r>
    </w:p>
    <w:tbl>
      <w:tblPr>
        <w:tblStyle w:val="TableGrid"/>
        <w:tblW w:type="auto" w:w="0"/>
        <w:tblLook w:firstColumn="1" w:firstRow="1" w:lastColumn="0" w:lastRow="0" w:noHBand="0" w:noVBand="1" w:val="04A0"/>
      </w:tblPr>
      <w:tblGrid>
        <w:gridCol w:w="4320"/>
        <w:gridCol w:w="4320"/>
      </w:tblGrid>
      <w:tr>
        <w:tc>
          <w:tcPr>
            <w:tcW w:type="dxa" w:w="4320"/>
          </w:tcPr>
          <w:p>
            <w:r>
              <w:t>Métrica</w:t>
            </w:r>
          </w:p>
        </w:tc>
        <w:tc>
          <w:tcPr>
            <w:tcW w:type="dxa" w:w="4320"/>
          </w:tcPr>
          <w:p>
            <w:r>
              <w:t>Valor</w:t>
            </w:r>
          </w:p>
        </w:tc>
      </w:tr>
      <w:tr>
        <w:tc>
          <w:tcPr>
            <w:tcW w:type="dxa" w:w="4320"/>
          </w:tcPr>
          <w:p>
            <w:r>
              <w:t>BLEU Score</w:t>
            </w:r>
          </w:p>
        </w:tc>
        <w:tc>
          <w:tcPr>
            <w:tcW w:type="dxa" w:w="4320"/>
          </w:tcPr>
          <w:p>
            <w:r>
              <w:t>0.79</w:t>
            </w:r>
          </w:p>
        </w:tc>
      </w:tr>
      <w:tr>
        <w:tc>
          <w:tcPr>
            <w:tcW w:type="dxa" w:w="4320"/>
          </w:tcPr>
          <w:p>
            <w:r>
              <w:t>Objetivo BLEU</w:t>
            </w:r>
          </w:p>
        </w:tc>
        <w:tc>
          <w:tcPr>
            <w:tcW w:type="dxa" w:w="4320"/>
          </w:tcPr>
          <w:p>
            <w:r>
              <w:t>≥ 0.30 ✓</w:t>
            </w:r>
          </w:p>
        </w:tc>
      </w:tr>
      <w:tr>
        <w:tc>
          <w:tcPr>
            <w:tcW w:type="dxa" w:w="4320"/>
          </w:tcPr>
          <w:p>
            <w:r>
              <w:t>Corpus</w:t>
            </w:r>
          </w:p>
        </w:tc>
        <w:tc>
          <w:tcPr>
            <w:tcW w:type="dxa" w:w="4320"/>
          </w:tcPr>
          <w:p>
            <w:r>
              <w:t>899 frases</w:t>
            </w:r>
          </w:p>
        </w:tc>
      </w:tr>
      <w:tr>
        <w:tc>
          <w:tcPr>
            <w:tcW w:type="dxa" w:w="4320"/>
          </w:tcPr>
          <w:p>
            <w:r>
              <w:t>Parámetros</w:t>
            </w:r>
          </w:p>
        </w:tc>
        <w:tc>
          <w:tcPr>
            <w:tcW w:type="dxa" w:w="4320"/>
          </w:tcPr>
          <w:p>
            <w:r>
              <w:t>8,257,391</w:t>
            </w:r>
          </w:p>
        </w:tc>
      </w:tr>
      <w:tr>
        <w:tc>
          <w:tcPr>
            <w:tcW w:type="dxa" w:w="4320"/>
          </w:tcPr>
          <w:p>
            <w:r>
              <w:t>Tiempo</w:t>
            </w:r>
          </w:p>
        </w:tc>
        <w:tc>
          <w:tcPr>
            <w:tcW w:type="dxa" w:w="4320"/>
          </w:tcPr>
          <w:p>
            <w:r>
              <w:t>~4 minutos</w:t>
            </w:r>
          </w:p>
        </w:tc>
      </w:tr>
    </w:tbl>
    <w:p>
      <w:pPr>
        <w:pStyle w:val="Heading1"/>
      </w:pPr>
      <w:r>
        <w:t>5. Discusión</w:t>
      </w:r>
    </w:p>
    <w:p>
      <w:r>
        <w:t>El modelo Seq2Seq LSTM alcanzó un BLEU Score de 0.79, superando significativamente el objetivo de 0.30. Las frases cortas como saludos y frases universitarias comunes se traducen perfectamente. Las limitaciones incluyen: (1) vocabulario limitado a frases del corpus, (2) dificultad con frases fuera del dominio, y (3) no implementación de mecanismo de atención (attention).</w:t>
      </w:r>
    </w:p>
    <w:p>
      <w:pPr>
        <w:pStyle w:val="Heading1"/>
      </w:pPr>
      <w:r>
        <w:t>6. Conclusiones</w:t>
      </w:r>
    </w:p>
    <w:p>
      <w:pPr>
        <w:pStyle w:val="ListNumber"/>
      </w:pPr>
      <w:r>
        <w:t>1. Se implementó exitosamente un traductor automático EN-ES con arquitectura Seq2Seq LSTM.</w:t>
      </w:r>
    </w:p>
    <w:p>
      <w:pPr>
        <w:pStyle w:val="ListNumber"/>
      </w:pPr>
      <w:r>
        <w:t>2. El BLEU Score de 0.79 supera el objetivo de 0.30 establecido.</w:t>
      </w:r>
    </w:p>
    <w:p>
      <w:pPr>
        <w:pStyle w:val="ListNumber"/>
      </w:pPr>
      <w:r>
        <w:t>3. El corpus de 899 frases universitarias permite traducciones precisas en el dominio.</w:t>
      </w:r>
    </w:p>
    <w:p>
      <w:pPr>
        <w:pStyle w:val="ListNumber"/>
      </w:pPr>
      <w:r>
        <w:t>4. La metodología CRISP-ML(Q)guio el desarrollo orderly del proyecto.</w:t>
      </w:r>
    </w:p>
    <w:p>
      <w:pPr>
        <w:pStyle w:val="ListNumber"/>
      </w:pPr>
      <w:r>
        <w:t>5. El sistema de feedback permite monitoreo continuo de calidad.</w:t>
      </w:r>
    </w:p>
    <w:p>
      <w:pPr>
        <w:pStyle w:val="Heading1"/>
      </w:pPr>
      <w:r>
        <w:t>Referencias</w:t>
      </w:r>
    </w:p>
    <w:p>
      <w:pPr/>
      <w:r>
        <w:t>Goodfellow, I., Bengio, Y., &amp; Courville, A. (2016). Deep learning. MIT Press.</w:t>
      </w:r>
    </w:p>
    <w:p>
      <w:pPr/>
      <w:r>
        <w:t>Hochreiter, S., &amp; Schmidhuber, J. (1997). Long short-term memory. Neural Computation, 9(8), 1735-1780.</w:t>
      </w:r>
    </w:p>
    <w:p>
      <w:pPr/>
      <w:r>
        <w:t>Papineni, K., Roukos, S., Ward, T., &amp; Zhu, W. J. (2002). BLEU: A method for automatic evaluation of machine translation. Proceedings of ACL, 311-318.</w:t>
      </w:r>
    </w:p>
    <w:p>
      <w:pPr/>
      <w:r>
        <w:t>Sutskever, I., Vinyals, O., Le, Q. V., &amp; others. (2014). Sequence to sequence learning with neural networks. NIPS, 3104-3112.</w:t>
      </w:r>
    </w:p>
    <w:p>
      <w:pPr>
        <w:pStyle w:val="Heading1"/>
      </w:pPr>
      <w:r>
        <w:t>Apéndices</w:t>
      </w:r>
    </w:p>
    <w:p>
      <w:r>
        <w:t>A. Código Fuente (Link GitHub)</w:t>
      </w:r>
    </w:p>
    <w:p>
      <w:r>
        <w:t>https://github.com/VIVA-EL-APRA/RNN</w:t>
      </w:r>
    </w:p>
    <w:p>
      <w:r>
        <w:t>B. Modelo Entrenado</w:t>
      </w:r>
    </w:p>
    <w:p>
      <w:r>
        <w:t>Link: https://github.com/VIVA-EL-APRA/RNN/blob/main/translator_model.pt</w:t>
      </w:r>
    </w:p>
    <w:p>
      <w:r>
        <w:t>C. Interfaz Gradio</w:t>
      </w:r>
    </w:p>
    <w:p>
      <w:r>
        <w:t>Link HuggingFace Spaces: https://huggingface.co/spaces/NICOMOSHE/RNN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