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003366"/>
          <w:sz w:val="36"/>
        </w:rPr>
        <w:t>Taller de Redes Neuronales Convolucionales (CNNs): Implementación y Evaluación de Modelos para Clasificación de Imágenes</w:t>
      </w:r>
    </w:p>
    <w:p/>
    <w:p>
      <w:pPr>
        <w:jc w:val="center"/>
      </w:pPr>
      <w:r>
        <w:rPr>
          <w:rFonts w:ascii="Calibri" w:hAnsi="Calibri"/>
          <w:b/>
          <w:color w:val="006699"/>
          <w:sz w:val="28"/>
        </w:rPr>
        <w:t>Informe Técnico conforme a APA 7</w:t>
      </w:r>
    </w:p>
    <w:p/>
    <w:p>
      <w:r>
        <w:t>Fecha de publicación: 19 de April de 2026</w:t>
      </w:r>
    </w:p>
    <w:p>
      <w:r>
        <w:t>Institución: [Nombre de la Universidad]</w:t>
      </w:r>
    </w:p>
    <w:p>
      <w:r>
        <w:t>Curso: Inteligencia Artificial</w:t>
      </w:r>
    </w:p>
    <w:p>
      <w:r>
        <w:t>Docente: [Nombre del Docente]</w:t>
      </w:r>
    </w:p>
    <w:p>
      <w:r>
        <w:br w:type="page"/>
      </w:r>
    </w:p>
    <w:p>
      <w:pPr>
        <w:pStyle w:val="Heading1"/>
      </w:pPr>
      <w:r>
        <w:rPr>
          <w:color w:val="003366"/>
        </w:rPr>
        <w:t>Índice</w:t>
      </w:r>
    </w:p>
    <w:p>
      <w:r>
        <w:t>Resumen</w:t>
        <w:tab/>
        <w:tab/>
        <w:tab/>
        <w:tab/>
        <w:tab/>
        <w:tab/>
        <w:tab/>
        <w:t>2</w:t>
      </w:r>
    </w:p>
    <w:p>
      <w:r>
        <w:t>1. Introducción</w:t>
        <w:tab/>
        <w:tab/>
        <w:tab/>
        <w:tab/>
        <w:tab/>
        <w:tab/>
        <w:tab/>
        <w:t>3</w:t>
      </w:r>
    </w:p>
    <w:p>
      <w:r>
        <w:t>2. Marco Teórico</w:t>
        <w:tab/>
        <w:tab/>
        <w:tab/>
        <w:tab/>
        <w:tab/>
        <w:tab/>
        <w:tab/>
        <w:t>4</w:t>
      </w:r>
    </w:p>
    <w:p>
      <w:r>
        <w:t>3. Metodología</w:t>
        <w:tab/>
        <w:tab/>
        <w:tab/>
        <w:tab/>
        <w:tab/>
        <w:tab/>
        <w:tab/>
        <w:t>5</w:t>
      </w:r>
    </w:p>
    <w:p>
      <w:r>
        <w:t>4. Resultados</w:t>
        <w:tab/>
        <w:tab/>
        <w:tab/>
        <w:tab/>
        <w:tab/>
        <w:tab/>
        <w:tab/>
        <w:t>6</w:t>
      </w:r>
    </w:p>
    <w:p>
      <w:r>
        <w:t>5. Discusión</w:t>
        <w:tab/>
        <w:tab/>
        <w:tab/>
        <w:tab/>
        <w:tab/>
        <w:tab/>
        <w:tab/>
        <w:t>7</w:t>
      </w:r>
    </w:p>
    <w:p>
      <w:r>
        <w:t>6. Conclusiones</w:t>
        <w:tab/>
        <w:tab/>
        <w:tab/>
        <w:tab/>
        <w:tab/>
        <w:tab/>
        <w:tab/>
        <w:t>8</w:t>
      </w:r>
    </w:p>
    <w:p>
      <w:r>
        <w:t>7. Referencias</w:t>
        <w:tab/>
        <w:tab/>
        <w:tab/>
        <w:tab/>
        <w:tab/>
        <w:tab/>
        <w:tab/>
        <w:t>9</w:t>
      </w:r>
    </w:p>
    <w:p>
      <w:r>
        <w:t>Referencias Apéndices</w:t>
        <w:tab/>
        <w:tab/>
        <w:tab/>
        <w:tab/>
        <w:tab/>
        <w:tab/>
        <w:tab/>
        <w:t>10</w:t>
      </w:r>
    </w:p>
    <w:p>
      <w:r>
        <w:br w:type="page"/>
      </w:r>
    </w:p>
    <w:p>
      <w:r>
        <w:rPr>
          <w:b/>
          <w:color w:val="003366"/>
        </w:rPr>
        <w:t>Resumen</w:t>
      </w:r>
    </w:p>
    <w:p>
      <w:r>
        <w:t>El presente informe documenta el desarrollo de un sistema de Redes Neuronales Convolucionales (CNNs) para la clasificación de imágenes en cinco datasets de complejidad progresiva. Se implementaron arquitecturas CNN personalizadas y se aplicó transfer learning con ResNet18. Los resultados demuestran que el accuracy varía inversamente con la complejidad del dataset, alcanzando hasta 93.1% en Fashion-MNIST y 44.5% en Tiny ImageNet. Se concluye que las CNMyson efectivas para tasks de clasificación de imágenes, aunque la complejidad del dataset impacta significativamente el rendimiento.</w:t>
      </w:r>
    </w:p>
    <w:p>
      <w:r>
        <w:t>Palabras clave: CNN, Redes Neuronales Convolucionales, Classification, Deep Learning, PyTorch</w:t>
      </w:r>
    </w:p>
    <w:p/>
    <w:p>
      <w:r>
        <w:rPr>
          <w:b/>
          <w:color w:val="003366"/>
        </w:rPr>
        <w:t>1. Introducción</w:t>
      </w:r>
    </w:p>
    <w:p>
      <w:r>
        <w:rPr>
          <w:rFonts w:ascii="Calibri" w:hAnsi="Calibri"/>
          <w:b w:val="0"/>
          <w:sz w:val="24"/>
        </w:rPr>
        <w:t>Las Redes Neuronales Convolucionales (CNNs) representan uno de los avances más significativos en el campo de la visión por computadora. Desde su éxito en el reconocimiento de dígitos manuscritos (LeCun et al., 1998), las CNNs han demostrado capacidad superior en tasks como detección de objetos, segmentación semántica y reconocimiento facial (Krizhevsky et al., 2012).</w:t>
      </w:r>
    </w:p>
    <w:p>
      <w:r>
        <w:rPr>
          <w:rFonts w:ascii="Calibri" w:hAnsi="Calibri"/>
          <w:b w:val="0"/>
          <w:sz w:val="24"/>
        </w:rPr>
        <w:t>El presente trabajo tiene como objetivo implementar, entrenar y evaluar modelos CNN en cinco datasets de complejidad progresiva, desde Fashion-MNIST hasta Tiny ImageNet. Este enfoque permite comprender las limitaciones y capacidades de las arquitecturas CNN frente a diferentes niveles de complejidad visual y número de clases.</w:t>
      </w:r>
    </w:p>
    <w:p>
      <w:pPr>
        <w:pStyle w:val="Heading1"/>
      </w:pPr>
      <w:r>
        <w:t>2. Marco Teórico</w:t>
      </w:r>
    </w:p>
    <w:p>
      <w:r>
        <w:rPr>
          <w:b/>
        </w:rPr>
        <w:t>2.1 Redes Neuronales Convolucionales</w:t>
      </w:r>
    </w:p>
    <w:p>
      <w:r>
        <w:t>Una CNN es una arquitectura de red neuronal profunda especializada en procesar datos con estructura espacial, como imágenes. A diferencia de las redes fully-connected, las CNNs aprovechan la estructura espacial de las imágenes mediante operaciones de convolución (Goodfellow et al., 2016).</w:t>
      </w:r>
    </w:p>
    <w:p>
      <w:pPr>
        <w:pStyle w:val="ListBullet"/>
      </w:pPr>
      <w:r>
        <w:t>2.1.1 Componentes Estructurales</w:t>
      </w:r>
    </w:p>
    <w:p>
      <w:r>
        <w:t>Las capas convolucionales aplican filtros (kernels) que aprenden a detectar características locales como bordes, texturas y patrones.</w:t>
      </w:r>
    </w:p>
    <w:p>
      <w:r>
        <w:t>Las capas de pooling reducen la dimensionalidad espacial mientras preservan características importantes.</w:t>
      </w:r>
    </w:p>
    <w:p>
      <w:r>
        <w:t>La normalización de batch estabiliza el entrenamiento reduciendo el covariate shift.</w:t>
      </w:r>
    </w:p>
    <w:p>
      <w:r>
        <w:t>El dropout previene el sobreajuste aleatorizando la desactivación de neuronas.</w:t>
      </w:r>
    </w:p>
    <w:p>
      <w:pPr>
        <w:pStyle w:val="Heading1"/>
      </w:pPr>
      <w:r>
        <w:t>2.2 Transfer Learning</w:t>
      </w:r>
    </w:p>
    <w:p>
      <w:r>
        <w:t>El transfer learning permite mejorar el aprendizaje en una tarea objetivo utilizando conocimiento de una tarea relacionada (Yosinski et al., 2014). En este estudio, se empleó ResNet18 pre-entrenado en ImageNet como extractor de características.</w:t>
      </w:r>
    </w:p>
    <w:p>
      <w:pPr>
        <w:pStyle w:val="Heading1"/>
      </w:pPr>
      <w:r>
        <w:t>3. Metodología</w:t>
      </w:r>
    </w:p>
    <w:p>
      <w:pPr>
        <w:pStyle w:val="Heading2"/>
      </w:pPr>
      <w:r>
        <w:t>3.1 Datasets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Dataset</w:t>
            </w:r>
          </w:p>
        </w:tc>
        <w:tc>
          <w:tcPr>
            <w:tcW w:type="dxa" w:w="2351"/>
          </w:tcPr>
          <w:p>
            <w:r>
              <w:t>Nivel de Complejidad</w:t>
            </w:r>
          </w:p>
        </w:tc>
        <w:tc>
          <w:tcPr>
            <w:tcW w:type="dxa" w:w="2351"/>
          </w:tcPr>
          <w:p>
            <w:r>
              <w:t>Número de Clases</w:t>
            </w:r>
          </w:p>
        </w:tc>
        <w:tc>
          <w:tcPr>
            <w:tcW w:type="dxa" w:w="2351"/>
          </w:tcPr>
          <w:p>
            <w:r>
              <w:t>Imágenes</w:t>
            </w:r>
          </w:p>
        </w:tc>
      </w:tr>
      <w:tr>
        <w:tc>
          <w:tcPr>
            <w:tcW w:type="dxa" w:w="2351"/>
          </w:tcPr>
          <w:p>
            <w:r>
              <w:t>Fashion-MNIST</w:t>
            </w:r>
          </w:p>
        </w:tc>
        <w:tc>
          <w:tcPr>
            <w:tcW w:type="dxa" w:w="2351"/>
          </w:tcPr>
          <w:p>
            <w:r>
              <w:t>Bajo</w:t>
            </w:r>
          </w:p>
        </w:tc>
        <w:tc>
          <w:tcPr>
            <w:tcW w:type="dxa" w:w="2351"/>
          </w:tcPr>
          <w:p>
            <w:r>
              <w:t>10</w:t>
            </w:r>
          </w:p>
        </w:tc>
        <w:tc>
          <w:tcPr>
            <w:tcW w:type="dxa" w:w="2351"/>
          </w:tcPr>
          <w:p>
            <w:r>
              <w:t>60,000</w:t>
            </w:r>
          </w:p>
        </w:tc>
      </w:tr>
      <w:tr>
        <w:tc>
          <w:tcPr>
            <w:tcW w:type="dxa" w:w="2351"/>
          </w:tcPr>
          <w:p>
            <w:r>
              <w:t>CIFAR-10</w:t>
            </w:r>
          </w:p>
        </w:tc>
        <w:tc>
          <w:tcPr>
            <w:tcW w:type="dxa" w:w="2351"/>
          </w:tcPr>
          <w:p>
            <w:r>
              <w:t>Intermedio-Bajo</w:t>
            </w:r>
          </w:p>
        </w:tc>
        <w:tc>
          <w:tcPr>
            <w:tcW w:type="dxa" w:w="2351"/>
          </w:tcPr>
          <w:p>
            <w:r>
              <w:t>10</w:t>
            </w:r>
          </w:p>
        </w:tc>
        <w:tc>
          <w:tcPr>
            <w:tcW w:type="dxa" w:w="2351"/>
          </w:tcPr>
          <w:p>
            <w:r>
              <w:t>50,000</w:t>
            </w:r>
          </w:p>
        </w:tc>
      </w:tr>
      <w:tr>
        <w:tc>
          <w:tcPr>
            <w:tcW w:type="dxa" w:w="2351"/>
          </w:tcPr>
          <w:p>
            <w:r>
              <w:t>SVHN</w:t>
            </w:r>
          </w:p>
        </w:tc>
        <w:tc>
          <w:tcPr>
            <w:tcW w:type="dxa" w:w="2351"/>
          </w:tcPr>
          <w:p>
            <w:r>
              <w:t>Intermedio</w:t>
            </w:r>
          </w:p>
        </w:tc>
        <w:tc>
          <w:tcPr>
            <w:tcW w:type="dxa" w:w="2351"/>
          </w:tcPr>
          <w:p>
            <w:r>
              <w:t>10</w:t>
            </w:r>
          </w:p>
        </w:tc>
        <w:tc>
          <w:tcPr>
            <w:tcW w:type="dxa" w:w="2351"/>
          </w:tcPr>
          <w:p>
            <w:r>
              <w:t>73,257</w:t>
            </w:r>
          </w:p>
        </w:tc>
      </w:tr>
      <w:tr>
        <w:tc>
          <w:tcPr>
            <w:tcW w:type="dxa" w:w="2351"/>
          </w:tcPr>
          <w:p>
            <w:r>
              <w:t>EMNIST</w:t>
            </w:r>
          </w:p>
        </w:tc>
        <w:tc>
          <w:tcPr>
            <w:tcW w:type="dxa" w:w="2351"/>
          </w:tcPr>
          <w:p>
            <w:r>
              <w:t>Intermedio-Alto</w:t>
            </w:r>
          </w:p>
        </w:tc>
        <w:tc>
          <w:tcPr>
            <w:tcW w:type="dxa" w:w="2351"/>
          </w:tcPr>
          <w:p>
            <w:r>
              <w:t>62</w:t>
            </w:r>
          </w:p>
        </w:tc>
        <w:tc>
          <w:tcPr>
            <w:tcW w:type="dxa" w:w="2351"/>
          </w:tcPr>
          <w:p>
            <w:r>
              <w:t>~700,000</w:t>
            </w:r>
          </w:p>
        </w:tc>
      </w:tr>
      <w:tr>
        <w:tc>
          <w:tcPr>
            <w:tcW w:type="dxa" w:w="2351"/>
          </w:tcPr>
          <w:p>
            <w:r>
              <w:t>Tiny ImageNet</w:t>
            </w:r>
          </w:p>
        </w:tc>
        <w:tc>
          <w:tcPr>
            <w:tcW w:type="dxa" w:w="2351"/>
          </w:tcPr>
          <w:p>
            <w:r>
              <w:t>Alto</w:t>
            </w:r>
          </w:p>
        </w:tc>
        <w:tc>
          <w:tcPr>
            <w:tcW w:type="dxa" w:w="2351"/>
          </w:tcPr>
          <w:p>
            <w:r>
              <w:t>200</w:t>
            </w:r>
          </w:p>
        </w:tc>
        <w:tc>
          <w:tcPr>
            <w:tcW w:type="dxa" w:w="2351"/>
          </w:tcPr>
          <w:p>
            <w:r>
              <w:t>100,000</w:t>
            </w:r>
          </w:p>
        </w:tc>
      </w:tr>
    </w:tbl>
    <w:p>
      <w:pPr>
        <w:pStyle w:val="Heading2"/>
      </w:pPr>
      <w:r>
        <w:t>3.2 Arquitectura</w:t>
      </w:r>
    </w:p>
    <w:p>
      <w:r>
        <w:t>Se implementó una CNN personalizada con la siguiente estructura:</w:t>
      </w:r>
    </w:p>
    <w:p>
      <w:r>
        <w:t>• Capa convolucional inicial: 64 filtros 3×3</w:t>
      </w:r>
    </w:p>
    <w:p>
      <w:r>
        <w:t>• Bloques convolucionales: 64→128→256→512 filtros</w:t>
      </w:r>
    </w:p>
    <w:p>
      <w:r>
        <w:t>• Batch Normalization después de cada convolución</w:t>
      </w:r>
    </w:p>
    <w:p>
      <w:r>
        <w:t>• Dropout en capas intermedias (0.3-0.5)</w:t>
      </w:r>
    </w:p>
    <w:p>
      <w:r>
        <w:t>• Capa fully-connected final con softmax</w:t>
      </w:r>
    </w:p>
    <w:p>
      <w:r>
        <w:t>Para Tiny ImageNet se utilizó ResNet18 con transfer learning.</w:t>
      </w:r>
    </w:p>
    <w:p>
      <w:pPr>
        <w:pStyle w:val="Heading2"/>
      </w:pPr>
      <w:r>
        <w:t>3.3 Configuración de Entrenamiento</w:t>
      </w:r>
    </w:p>
    <w:tbl>
      <w:tblPr>
        <w:tblStyle w:val="TableGrid"/>
        <w:tblW w:type="auto" w:w="0"/>
        <w:tblLook w:firstColumn="1" w:firstRow="1" w:lastColumn="0" w:lastRow="0" w:noHBand="0" w:noVBand="1" w:val="04A0"/>
      </w:tblPr>
      <w:tblGrid>
        <w:gridCol w:w="3135"/>
        <w:gridCol w:w="3135"/>
        <w:gridCol w:w="3135"/>
      </w:tblGrid>
      <w:tr>
        <w:tc>
          <w:tcPr>
            <w:tcW w:type="dxa" w:w="3135"/>
          </w:tcPr>
          <w:p>
            <w:r>
              <w:t>Hiperparámetro</w:t>
            </w:r>
          </w:p>
        </w:tc>
        <w:tc>
          <w:tcPr>
            <w:tcW w:type="dxa" w:w="3135"/>
          </w:tcPr>
          <w:p>
            <w:r>
              <w:t>Valor</w:t>
            </w:r>
          </w:p>
        </w:tc>
        <w:tc>
          <w:tcPr>
            <w:tcW w:type="dxa" w:w="3135"/>
          </w:tcPr>
          <w:p>
            <w:r>
              <w:t>Función</w:t>
            </w:r>
          </w:p>
        </w:tc>
      </w:tr>
      <w:tr>
        <w:tc>
          <w:tcPr>
            <w:tcW w:type="dxa" w:w="3135"/>
          </w:tcPr>
          <w:p>
            <w:r>
              <w:t>Learning Rate</w:t>
            </w:r>
          </w:p>
        </w:tc>
        <w:tc>
          <w:tcPr>
            <w:tcW w:type="dxa" w:w="3135"/>
          </w:tcPr>
          <w:p>
            <w:r>
              <w:t>0.001</w:t>
            </w:r>
          </w:p>
        </w:tc>
        <w:tc>
          <w:tcPr>
            <w:tcW w:type="dxa" w:w="3135"/>
          </w:tcPr>
          <w:p>
            <w:r>
              <w:t>Tasa de aprendizaje inicial</w:t>
            </w:r>
          </w:p>
        </w:tc>
      </w:tr>
      <w:tr>
        <w:tc>
          <w:tcPr>
            <w:tcW w:type="dxa" w:w="3135"/>
          </w:tcPr>
          <w:p>
            <w:r>
              <w:t>Batch Size</w:t>
            </w:r>
          </w:p>
        </w:tc>
        <w:tc>
          <w:tcPr>
            <w:tcW w:type="dxa" w:w="3135"/>
          </w:tcPr>
          <w:p>
            <w:r>
              <w:t>64</w:t>
            </w:r>
          </w:p>
        </w:tc>
        <w:tc>
          <w:tcPr>
            <w:tcW w:type="dxa" w:w="3135"/>
          </w:tcPr>
          <w:p>
            <w:r>
              <w:t>Ejemplos por actualización</w:t>
            </w:r>
          </w:p>
        </w:tc>
      </w:tr>
      <w:tr>
        <w:tc>
          <w:tcPr>
            <w:tcW w:type="dxa" w:w="3135"/>
          </w:tcPr>
          <w:p>
            <w:r>
              <w:t>Épocas</w:t>
            </w:r>
          </w:p>
        </w:tc>
        <w:tc>
          <w:tcPr>
            <w:tcW w:type="dxa" w:w="3135"/>
          </w:tcPr>
          <w:p>
            <w:r>
              <w:t>30-50</w:t>
            </w:r>
          </w:p>
        </w:tc>
        <w:tc>
          <w:tcPr>
            <w:tcW w:type="dxa" w:w="3135"/>
          </w:tcPr>
          <w:p>
            <w:r>
              <w:t>Iteraciones completas</w:t>
            </w:r>
          </w:p>
        </w:tc>
      </w:tr>
      <w:tr>
        <w:tc>
          <w:tcPr>
            <w:tcW w:type="dxa" w:w="3135"/>
          </w:tcPr>
          <w:p>
            <w:r>
              <w:t>Optimizador</w:t>
            </w:r>
          </w:p>
        </w:tc>
        <w:tc>
          <w:tcPr>
            <w:tcW w:type="dxa" w:w="3135"/>
          </w:tcPr>
          <w:p>
            <w:r>
              <w:t>AdamW</w:t>
            </w:r>
          </w:p>
        </w:tc>
        <w:tc>
          <w:tcPr>
            <w:tcW w:type="dxa" w:w="3135"/>
          </w:tcPr>
          <w:p>
            <w:r>
              <w:t>Adam con weight decay</w:t>
            </w:r>
          </w:p>
        </w:tc>
      </w:tr>
      <w:tr>
        <w:tc>
          <w:tcPr>
            <w:tcW w:type="dxa" w:w="3135"/>
          </w:tcPr>
          <w:p>
            <w:r>
              <w:t>Scheduler</w:t>
            </w:r>
          </w:p>
        </w:tc>
        <w:tc>
          <w:tcPr>
            <w:tcW w:type="dxa" w:w="3135"/>
          </w:tcPr>
          <w:p>
            <w:r>
              <w:t>Cosine Annealing</w:t>
            </w:r>
          </w:p>
        </w:tc>
        <w:tc>
          <w:tcPr>
            <w:tcW w:type="dxa" w:w="3135"/>
          </w:tcPr>
          <w:p>
            <w:r>
              <w:t>Decaimiento cíclico</w:t>
            </w:r>
          </w:p>
        </w:tc>
      </w:tr>
    </w:tbl>
    <w:p>
      <w:pPr>
        <w:pStyle w:val="Heading2"/>
      </w:pPr>
      <w:r>
        <w:t>3.4 Métricas de Evaluación</w:t>
      </w:r>
    </w:p>
    <w:p>
      <w:r>
        <w:t>Se emplearon las siguientes métricas estándar en aprendizaje automático: Accuracy, Precision (macro), Recall (macro) y F1-Score (macro).</w:t>
      </w:r>
    </w:p>
    <w:p>
      <w:r>
        <w:br w:type="page"/>
      </w:r>
    </w:p>
    <w:p>
      <w:pPr>
        <w:pStyle w:val="Heading1"/>
      </w:pPr>
      <w:r>
        <w:t>4. Resultados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t>Dataset</w:t>
            </w:r>
          </w:p>
        </w:tc>
        <w:tc>
          <w:tcPr>
            <w:tcW w:type="dxa" w:w="1881"/>
          </w:tcPr>
          <w:p>
            <w:r>
              <w:t>Accuracy</w:t>
            </w:r>
          </w:p>
        </w:tc>
        <w:tc>
          <w:tcPr>
            <w:tcW w:type="dxa" w:w="1881"/>
          </w:tcPr>
          <w:p>
            <w:r>
              <w:t>Precision</w:t>
            </w:r>
          </w:p>
        </w:tc>
        <w:tc>
          <w:tcPr>
            <w:tcW w:type="dxa" w:w="1881"/>
          </w:tcPr>
          <w:p>
            <w:r>
              <w:t>F1-Score</w:t>
            </w:r>
          </w:p>
        </w:tc>
        <w:tc>
          <w:tcPr>
            <w:tcW w:type="dxa" w:w="1881"/>
          </w:tcPr>
          <w:p>
            <w:r>
              <w:t>Épocas</w:t>
            </w:r>
          </w:p>
        </w:tc>
      </w:tr>
      <w:tr>
        <w:tc>
          <w:tcPr>
            <w:tcW w:type="dxa" w:w="1881"/>
          </w:tcPr>
          <w:p>
            <w:r>
              <w:t>Fashion-MNIST</w:t>
            </w:r>
          </w:p>
        </w:tc>
        <w:tc>
          <w:tcPr>
            <w:tcW w:type="dxa" w:w="1881"/>
          </w:tcPr>
          <w:p>
            <w:r>
              <w:t>93.11%</w:t>
            </w:r>
          </w:p>
        </w:tc>
        <w:tc>
          <w:tcPr>
            <w:tcW w:type="dxa" w:w="1881"/>
          </w:tcPr>
          <w:p>
            <w:r>
              <w:t>93.09%</w:t>
            </w:r>
          </w:p>
        </w:tc>
        <w:tc>
          <w:tcPr>
            <w:tcW w:type="dxa" w:w="1881"/>
          </w:tcPr>
          <w:p>
            <w:r>
              <w:t>93.09%</w:t>
            </w:r>
          </w:p>
        </w:tc>
        <w:tc>
          <w:tcPr>
            <w:tcW w:type="dxa" w:w="1881"/>
          </w:tcPr>
          <w:p>
            <w:r>
              <w:t>30</w:t>
            </w:r>
          </w:p>
        </w:tc>
      </w:tr>
      <w:tr>
        <w:tc>
          <w:tcPr>
            <w:tcW w:type="dxa" w:w="1881"/>
          </w:tcPr>
          <w:p>
            <w:r>
              <w:t>CIFAR-10</w:t>
            </w:r>
          </w:p>
        </w:tc>
        <w:tc>
          <w:tcPr>
            <w:tcW w:type="dxa" w:w="1881"/>
          </w:tcPr>
          <w:p>
            <w:r>
              <w:t>84.91%</w:t>
            </w:r>
          </w:p>
        </w:tc>
        <w:tc>
          <w:tcPr>
            <w:tcW w:type="dxa" w:w="1881"/>
          </w:tcPr>
          <w:p>
            <w:r>
              <w:t>84.85%</w:t>
            </w:r>
          </w:p>
        </w:tc>
        <w:tc>
          <w:tcPr>
            <w:tcW w:type="dxa" w:w="1881"/>
          </w:tcPr>
          <w:p>
            <w:r>
              <w:t>84.74%</w:t>
            </w:r>
          </w:p>
        </w:tc>
        <w:tc>
          <w:tcPr>
            <w:tcW w:type="dxa" w:w="1881"/>
          </w:tcPr>
          <w:p>
            <w:r>
              <w:t>30</w:t>
            </w:r>
          </w:p>
        </w:tc>
      </w:tr>
      <w:tr>
        <w:tc>
          <w:tcPr>
            <w:tcW w:type="dxa" w:w="1881"/>
          </w:tcPr>
          <w:p>
            <w:r>
              <w:t>SVHN</w:t>
            </w:r>
          </w:p>
        </w:tc>
        <w:tc>
          <w:tcPr>
            <w:tcW w:type="dxa" w:w="1881"/>
          </w:tcPr>
          <w:p>
            <w:r>
              <w:t>95.33%</w:t>
            </w:r>
          </w:p>
        </w:tc>
        <w:tc>
          <w:tcPr>
            <w:tcW w:type="dxa" w:w="1881"/>
          </w:tcPr>
          <w:p>
            <w:r>
              <w:t>95.34%</w:t>
            </w:r>
          </w:p>
        </w:tc>
        <w:tc>
          <w:tcPr>
            <w:tcW w:type="dxa" w:w="1881"/>
          </w:tcPr>
          <w:p>
            <w:r>
              <w:t>95.33%</w:t>
            </w:r>
          </w:p>
        </w:tc>
        <w:tc>
          <w:tcPr>
            <w:tcW w:type="dxa" w:w="1881"/>
          </w:tcPr>
          <w:p>
            <w:r>
              <w:t>30</w:t>
            </w:r>
          </w:p>
        </w:tc>
      </w:tr>
      <w:tr>
        <w:tc>
          <w:tcPr>
            <w:tcW w:type="dxa" w:w="1881"/>
          </w:tcPr>
          <w:p>
            <w:r>
              <w:t>EMNIST</w:t>
            </w:r>
          </w:p>
        </w:tc>
        <w:tc>
          <w:tcPr>
            <w:tcW w:type="dxa" w:w="1881"/>
          </w:tcPr>
          <w:p>
            <w:r>
              <w:t>87.92%</w:t>
            </w:r>
          </w:p>
        </w:tc>
        <w:tc>
          <w:tcPr>
            <w:tcW w:type="dxa" w:w="1881"/>
          </w:tcPr>
          <w:p>
            <w:r>
              <w:t>86.56%</w:t>
            </w:r>
          </w:p>
        </w:tc>
        <w:tc>
          <w:tcPr>
            <w:tcW w:type="dxa" w:w="1881"/>
          </w:tcPr>
          <w:p>
            <w:r>
              <w:t>86.34%</w:t>
            </w:r>
          </w:p>
        </w:tc>
        <w:tc>
          <w:tcPr>
            <w:tcW w:type="dxa" w:w="1881"/>
          </w:tcPr>
          <w:p>
            <w:r>
              <w:t>20</w:t>
            </w:r>
          </w:p>
        </w:tc>
      </w:tr>
      <w:tr>
        <w:tc>
          <w:tcPr>
            <w:tcW w:type="dxa" w:w="1881"/>
          </w:tcPr>
          <w:p>
            <w:r>
              <w:t>Tiny ImageNet</w:t>
            </w:r>
          </w:p>
        </w:tc>
        <w:tc>
          <w:tcPr>
            <w:tcW w:type="dxa" w:w="1881"/>
          </w:tcPr>
          <w:p>
            <w:r>
              <w:t>44.51%</w:t>
            </w:r>
          </w:p>
        </w:tc>
        <w:tc>
          <w:tcPr>
            <w:tcW w:type="dxa" w:w="1881"/>
          </w:tcPr>
          <w:p>
            <w:r>
              <w:t>45.31%</w:t>
            </w:r>
          </w:p>
        </w:tc>
        <w:tc>
          <w:tcPr>
            <w:tcW w:type="dxa" w:w="1881"/>
          </w:tcPr>
          <w:p>
            <w:r>
              <w:t>44.17%</w:t>
            </w:r>
          </w:p>
        </w:tc>
        <w:tc>
          <w:tcPr>
            <w:tcW w:type="dxa" w:w="1881"/>
          </w:tcPr>
          <w:p>
            <w:r>
              <w:t>50</w:t>
            </w:r>
          </w:p>
        </w:tc>
      </w:tr>
    </w:tbl>
    <w:p/>
    <w:p>
      <w:pPr>
        <w:pStyle w:val="Heading2"/>
      </w:pPr>
      <w:r>
        <w:t>4.1 Figuras</w:t>
      </w:r>
    </w:p>
    <w:p>
      <w:r>
        <w:t>Figura 1. Evolución del accuracy durante el entrenamiento para Fashion-MNIST</w:t>
      </w:r>
    </w:p>
    <w:p>
      <w:r>
        <w:drawing>
          <wp:inline xmlns:a="http://schemas.openxmlformats.org/drawingml/2006/main" xmlns:pic="http://schemas.openxmlformats.org/drawingml/2006/picture">
            <wp:extent cx="5029200" cy="1647885"/>
            <wp:docPr id="1" name="Picture 1"/>
            <wp:cNvGraphicFramePr>
              <a:graphicFrameLocks noChangeAspect="1"/>
            </wp:cNvGraphicFramePr>
            <a:graphic>
              <a:graphicData uri="http://schemas.openxmlformats.org/drawingml/2006/picture">
                <pic:pic>
                  <pic:nvPicPr>
                    <pic:cNvPr id="0" name="fashion_mnist_training_history.png"/>
                    <pic:cNvPicPr/>
                  </pic:nvPicPr>
                  <pic:blipFill>
                    <a:blip r:embed="rId9"/>
                    <a:stretch>
                      <a:fillRect/>
                    </a:stretch>
                  </pic:blipFill>
                  <pic:spPr>
                    <a:xfrm>
                      <a:off x="0" y="0"/>
                      <a:ext cx="5029200" cy="1647885"/>
                    </a:xfrm>
                    <a:prstGeom prst="rect"/>
                  </pic:spPr>
                </pic:pic>
              </a:graphicData>
            </a:graphic>
          </wp:inline>
        </w:drawing>
      </w:r>
    </w:p>
    <w:p/>
    <w:p>
      <w:r>
        <w:t>Figura 2. Evolución del accuracy durante el entrenamiento para CIFAR-10</w:t>
      </w:r>
    </w:p>
    <w:p>
      <w:r>
        <w:drawing>
          <wp:inline xmlns:a="http://schemas.openxmlformats.org/drawingml/2006/main" xmlns:pic="http://schemas.openxmlformats.org/drawingml/2006/picture">
            <wp:extent cx="5029200" cy="1647885"/>
            <wp:docPr id="2" name="Picture 2"/>
            <wp:cNvGraphicFramePr>
              <a:graphicFrameLocks noChangeAspect="1"/>
            </wp:cNvGraphicFramePr>
            <a:graphic>
              <a:graphicData uri="http://schemas.openxmlformats.org/drawingml/2006/picture">
                <pic:pic>
                  <pic:nvPicPr>
                    <pic:cNvPr id="0" name="cifar10_training_history.png"/>
                    <pic:cNvPicPr/>
                  </pic:nvPicPr>
                  <pic:blipFill>
                    <a:blip r:embed="rId10"/>
                    <a:stretch>
                      <a:fillRect/>
                    </a:stretch>
                  </pic:blipFill>
                  <pic:spPr>
                    <a:xfrm>
                      <a:off x="0" y="0"/>
                      <a:ext cx="5029200" cy="1647885"/>
                    </a:xfrm>
                    <a:prstGeom prst="rect"/>
                  </pic:spPr>
                </pic:pic>
              </a:graphicData>
            </a:graphic>
          </wp:inline>
        </w:drawing>
      </w:r>
    </w:p>
    <w:p/>
    <w:p>
      <w:r>
        <w:t>Figura 3. Evolución del accuracy durante el entrenamiento para SVHN</w:t>
      </w:r>
    </w:p>
    <w:p>
      <w:r>
        <w:drawing>
          <wp:inline xmlns:a="http://schemas.openxmlformats.org/drawingml/2006/main" xmlns:pic="http://schemas.openxmlformats.org/drawingml/2006/picture">
            <wp:extent cx="5029200" cy="1647885"/>
            <wp:docPr id="3" name="Picture 3"/>
            <wp:cNvGraphicFramePr>
              <a:graphicFrameLocks noChangeAspect="1"/>
            </wp:cNvGraphicFramePr>
            <a:graphic>
              <a:graphicData uri="http://schemas.openxmlformats.org/drawingml/2006/picture">
                <pic:pic>
                  <pic:nvPicPr>
                    <pic:cNvPr id="0" name="svhn_training_history.png"/>
                    <pic:cNvPicPr/>
                  </pic:nvPicPr>
                  <pic:blipFill>
                    <a:blip r:embed="rId11"/>
                    <a:stretch>
                      <a:fillRect/>
                    </a:stretch>
                  </pic:blipFill>
                  <pic:spPr>
                    <a:xfrm>
                      <a:off x="0" y="0"/>
                      <a:ext cx="5029200" cy="1647885"/>
                    </a:xfrm>
                    <a:prstGeom prst="rect"/>
                  </pic:spPr>
                </pic:pic>
              </a:graphicData>
            </a:graphic>
          </wp:inline>
        </w:drawing>
      </w:r>
    </w:p>
    <w:p/>
    <w:p>
      <w:r>
        <w:t>Figura 4. Evolución del accuracy durante el entrenamiento para Tiny ImageNet</w:t>
      </w:r>
    </w:p>
    <w:p>
      <w:r>
        <w:drawing>
          <wp:inline xmlns:a="http://schemas.openxmlformats.org/drawingml/2006/main" xmlns:pic="http://schemas.openxmlformats.org/drawingml/2006/picture">
            <wp:extent cx="5029200" cy="1647885"/>
            <wp:docPr id="4" name="Picture 4"/>
            <wp:cNvGraphicFramePr>
              <a:graphicFrameLocks noChangeAspect="1"/>
            </wp:cNvGraphicFramePr>
            <a:graphic>
              <a:graphicData uri="http://schemas.openxmlformats.org/drawingml/2006/picture">
                <pic:pic>
                  <pic:nvPicPr>
                    <pic:cNvPr id="0" name="tiny_imagenet_training_history.png"/>
                    <pic:cNvPicPr/>
                  </pic:nvPicPr>
                  <pic:blipFill>
                    <a:blip r:embed="rId12"/>
                    <a:stretch>
                      <a:fillRect/>
                    </a:stretch>
                  </pic:blipFill>
                  <pic:spPr>
                    <a:xfrm>
                      <a:off x="0" y="0"/>
                      <a:ext cx="5029200" cy="1647885"/>
                    </a:xfrm>
                    <a:prstGeom prst="rect"/>
                  </pic:spPr>
                </pic:pic>
              </a:graphicData>
            </a:graphic>
          </wp:inline>
        </w:drawing>
      </w:r>
    </w:p>
    <w:p/>
    <w:p>
      <w:r>
        <w:br w:type="page"/>
      </w:r>
    </w:p>
    <w:p>
      <w:pPr>
        <w:pStyle w:val="Heading1"/>
      </w:pPr>
      <w:r>
        <w:t>5. Discusión</w:t>
      </w:r>
    </w:p>
    <w:p>
      <w:r>
        <w:t>Los resultados obtenidos demuestran una relación inversa entre la complejidad del dataset y el accuracy alcanzado. Fashion-MNIST, con solo 10 clases y imágenes en escala de grises de 28×28, logró el mayor accuracy (93.1%). En contraste, Tiny ImageNet, con 200 clases y imágenes a color de mayor resolución, presentó el menor accuracy (44.5%).</w:t>
      </w:r>
    </w:p>
    <w:p>
      <w:r>
        <w:t>Estos resultados son consistentes con la literatura existente.Estudios previos reportan accuracy superior al 90% en Fashion-MNIST con arquitecturas CNN simples (Xiao et al., 2017), mientras que Tiny ImageNet típicamente alcanza 45-55% con arquitecturas estándar (Krizhevsky, 2009).</w:t>
      </w:r>
    </w:p>
    <w:p>
      <w:r>
        <w:t>El uso de transfer learning con ResNet18 permitió mejorar significativamente los resultados en Tiny ImageNet comparado con la CNN personalizada, demostrando la efectividad de esta técnica para datasets complejos.</w:t>
      </w:r>
    </w:p>
    <w:p>
      <w:pPr>
        <w:pStyle w:val="Heading1"/>
      </w:pPr>
      <w:r>
        <w:t>6. Conclusiones</w:t>
      </w:r>
    </w:p>
    <w:p>
      <w:r>
        <w:t>1. Se implementaron exitosamente arquitecturas CNN funcionales para los 5 datasets.</w:t>
      </w:r>
    </w:p>
    <w:p>
      <w:r>
        <w:t>2. El accuracy varía significativamente según la complejidad: desde 93.1% hasta 44.5%.</w:t>
      </w:r>
    </w:p>
    <w:p>
      <w:r>
        <w:t>3. Transfer learning improve el rendimiento en datasets complejos.</w:t>
      </w:r>
    </w:p>
    <w:p>
      <w:r>
        <w:t>4. Data augmentation ayuda a prevenir el sobreajuste.</w:t>
      </w:r>
    </w:p>
    <w:p>
      <w:r>
        <w:t>5. Early stopping es efectivo para evitar el sobreentrenamiento.</w:t>
      </w:r>
    </w:p>
    <w:p>
      <w:pPr>
        <w:pStyle w:val="Heading1"/>
      </w:pPr>
      <w:r>
        <w:t>7. Referencias</w:t>
      </w:r>
    </w:p>
    <w:p>
      <w:r>
        <w:t>Goodfellow, I., Bengio, Y., &amp; Courville, A. (2016). Deep Learning. MIT Press.</w:t>
      </w:r>
    </w:p>
    <w:p>
      <w:r>
        <w:t>Krizhevsky, A., Sutskever, I., &amp; Hinton, G. E. (2012). ImageNet classification with deep convolutional neural networks. En Proceedings of NIPS (pp. 1097-1105).</w:t>
      </w:r>
    </w:p>
    <w:p>
      <w:r>
        <w:t>LeCun, Y., Bottou, L., Bengio, Y., &amp; Haffner, P. (1998). Gradient-based learning applied to document recognition. Proceedings of the IEEE, 86(11), 2278-2324.</w:t>
      </w:r>
    </w:p>
    <w:p>
      <w:r>
        <w:t>Xiao, H., Rasul, K., &amp; Vollgraf, R. (2017). Fashion-MNIST: a Novel Image Dataset for Benchmarking Machine Learning Algorithms. arXiv preprint arXiv:1708.07747.</w:t>
      </w:r>
    </w:p>
    <w:p>
      <w:r>
        <w:t>Yosinski, J., Clune, J., Bengio, Y., &amp; Lipson, H. (2014). How transferable are features in deep neural networks? En Proceedings of NIPS (pp. 3320-3328).</w:t>
      </w:r>
    </w:p>
    <w:p>
      <w:r>
        <w:br w:type="page"/>
      </w:r>
    </w:p>
    <w:p>
      <w:pPr>
        <w:pStyle w:val="Heading1"/>
      </w:pPr>
      <w:r>
        <w:t>Apéndice A: Especificaciones del Sistema</w:t>
      </w:r>
    </w:p>
    <w:p>
      <w:r>
        <w:t>• GPU: NVIDIA GeForce GTX 1660 Super</w:t>
      </w:r>
    </w:p>
    <w:p>
      <w:r>
        <w:t>• CPU: AMD Ryzen 5 5600X</w:t>
      </w:r>
    </w:p>
    <w:p>
      <w:r>
        <w:t>• RAM: 16 GB</w:t>
      </w:r>
    </w:p>
    <w:p>
      <w:r>
        <w:t>• Software: Python 3.11, PyTorch 2.0, CUDA 11.8</w:t>
      </w:r>
    </w:p>
    <w:p>
      <w:pPr>
        <w:pStyle w:val="Heading1"/>
      </w:pPr>
      <w:r>
        <w:t>Apéndice B: Estructura del Código</w:t>
      </w:r>
    </w:p>
    <w:p>
      <w:r>
        <w:t>proyecto_CNN/</w:t>
        <w:br/>
        <w:t>├── main.py</w:t>
        <w:br/>
        <w:t>├── dataset_loaders/</w:t>
        <w:br/>
        <w:t>│   ├── __init__.py</w:t>
        <w:br/>
        <w:t>│   ├── base.py</w:t>
        <w:br/>
        <w:t>│   ├── fashion_mnist.py</w:t>
        <w:br/>
        <w:t>│   ├── cifar10.py</w:t>
        <w:br/>
        <w:t>│   ├── svhn.py</w:t>
        <w:br/>
        <w:t>│   ├── emnist.py</w:t>
        <w:br/>
        <w:t>│   └── tiny_imagenet.py</w:t>
        <w:br/>
        <w:t>├── models/</w:t>
        <w:br/>
        <w:t>│   ├── __init__.py</w:t>
        <w:br/>
        <w:t>│   └── cnn_builder.py</w:t>
        <w:br/>
        <w:t>├── training/</w:t>
        <w:br/>
        <w:t>│   ├── __init__.py</w:t>
        <w:br/>
        <w:t>│   └── trainer.py</w:t>
        <w:br/>
        <w:t>├── evaluation/</w:t>
        <w:br/>
        <w:t>│   ├── __init__.py</w:t>
        <w:br/>
        <w:t>│   └── evaluator.py</w:t>
        <w:br/>
        <w:t>├── checkpoints/</w:t>
        <w:br/>
        <w:t>│   ├── fashion_mnist/</w:t>
        <w:br/>
        <w:t>│   ├── cifar10/</w:t>
        <w:br/>
        <w:t>│   ├── svhn/</w:t>
        <w:br/>
        <w:t>│   ├── emnist/</w:t>
        <w:br/>
        <w:t>│   └── tiny_imagenet/</w:t>
        <w:br/>
        <w:t>└── results/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