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专项研究报告</w:t>
      </w:r>
    </w:p>
    <w:p>
      <w:pPr>
        <w:spacing w:after="280"/>
        <w:jc w:val="center"/>
      </w:pPr>
      <w:r>
        <w:rPr>
          <w:rFonts w:ascii="Calibri" w:hAnsi="Calibri" w:eastAsia="Microsoft YaHei"/>
          <w:b/>
          <w:color w:val="17324D"/>
          <w:sz w:val="48"/>
        </w:rPr>
        <w:t>基于多模态AI的居家老人跌倒风险</w:t>
        <w:br/>
      </w:r>
      <w:r>
        <w:rPr>
          <w:rFonts w:ascii="Calibri" w:hAnsi="Calibri" w:eastAsia="Microsoft YaHei"/>
          <w:b/>
          <w:color w:val="17324D"/>
          <w:sz w:val="48"/>
        </w:rPr>
        <w:t>前置预警系统研究</w:t>
      </w:r>
    </w:p>
    <w:p>
      <w:pPr>
        <w:spacing w:after="160"/>
        <w:jc w:val="center"/>
      </w:pPr>
      <w:r>
        <w:rPr>
          <w:rFonts w:ascii="Calibri" w:hAnsi="Calibri" w:eastAsia="Microsoft YaHei"/>
          <w:i w:val="0"/>
          <w:color w:val="1F4D78"/>
          <w:sz w:val="24"/>
        </w:rPr>
        <w:t>副标题：以“萤目守望”三层记忆、个人基线与分级干预闭环为例</w:t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9"/>
        </w:rPr>
        <w:t>文档状态：工作底稿。真实实验章节在P03盲测和12小时运行完成前不得定稿。</w:t>
      </w:r>
    </w:p>
    <w:p>
      <w:pPr>
        <w:spacing w:before="1440"/>
        <w:jc w:val="center"/>
      </w:pPr>
      <w:r>
        <w:rPr>
          <w:rFonts w:ascii="Calibri" w:hAnsi="Calibri" w:eastAsia="Microsoft YaHei"/>
          <w:color w:val="667085"/>
          <w:sz w:val="20"/>
        </w:rPr>
        <w:t>工作底稿  |  2026-08-21</w:t>
      </w:r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</w:rPr>
        <w:t>摘要</w:t>
      </w:r>
    </w:p>
    <w:p>
      <w:r>
        <w:rPr>
          <w:rFonts w:ascii="Calibri" w:hAnsi="Calibri" w:eastAsia="Microsoft YaHei"/>
          <w:b w:val="0"/>
          <w:sz w:val="22"/>
        </w:rPr>
        <w:t>居家跌倒安全系统通常集中于跌倒发生后的动作识别。本研究面向事前风险防控，设计“萤目守望”多模态AI系统，将固定摄像机获得的姿态、行为轨迹、环境上下文和经授权的语言摘要转换为统一Observation与Evidence，再由确定性风险状态机完成分级预警、干预、恢复观察和风险回落。系统使用30秒、24小时和7天以上三层记忆，将个人基线偏离与短时危险组合分开处理；大语言模型只生成脱敏解释，不参与安全等级决策。</w:t>
      </w:r>
    </w:p>
    <w:p>
      <w:r>
        <w:rPr>
          <w:rFonts w:ascii="Calibri" w:hAnsi="Calibri" w:eastAsia="Microsoft YaHei"/>
          <w:b w:val="0"/>
          <w:sz w:val="22"/>
        </w:rPr>
        <w:t>工程系统已实现萤石设备状态、Webhook和抓拍接入，授权录像姿态适配，统一后端、家属端、Mock干预和Qwen解释降级。最终实验采用3名健康成年参与者、固定机位、跨日期的96段受控场景，并以P01校准、P02验证、P03独立测试的方式减少数据泄漏。该实验验证工程可行性和初步跨参与者适配能力，不代表老年人群临床表现或大规模泛化能力。</w:t>
      </w:r>
    </w:p>
    <w:p>
      <w:r>
        <w:rPr>
          <w:rFonts w:ascii="Calibri" w:hAnsi="Calibri" w:eastAsia="Microsoft YaHei"/>
          <w:b w:val="0"/>
          <w:sz w:val="22"/>
        </w:rPr>
        <w:t>关键词：居家养老；跌倒风险；前置预警；个人基线；多模态融合；分级干预</w:t>
      </w:r>
    </w:p>
    <w:p>
      <w:pPr>
        <w:pStyle w:val="Heading1"/>
      </w:pPr>
      <w:r>
        <w:rPr>
          <w:rFonts w:ascii="Calibri" w:hAnsi="Calibri" w:eastAsia="Microsoft YaHei"/>
          <w:b/>
        </w:rPr>
        <w:t>1 研究背景与问题定义</w:t>
      </w:r>
    </w:p>
    <w:p>
      <w:r>
        <w:rPr>
          <w:rFonts w:ascii="Calibri" w:hAnsi="Calibri" w:eastAsia="Microsoft YaHei"/>
          <w:b w:val="0"/>
          <w:sz w:val="22"/>
        </w:rPr>
        <w:t>居家环境中的跌倒具有突发性，但风险往往在跌倒前表现为起身速度变化、步态不稳定、躯干摇摆、照度不足或连续偏离个人日常状态。仅在人体已经倒地后报警，无法回答“风险是否正在上升”“是否存在可干预窗口”以及“干预后风险是否真正解除”。</w:t>
      </w:r>
    </w:p>
    <w:p>
      <w:r>
        <w:rPr>
          <w:rFonts w:ascii="Calibri" w:hAnsi="Calibri" w:eastAsia="Microsoft YaHei"/>
          <w:b w:val="0"/>
          <w:sz w:val="22"/>
        </w:rPr>
        <w:t>本研究不把单次异常等同于疾病诊断，也不让大模型直接决定红色预警。研究目标是构建可执行、可解释、可复现的工程闭环：</w:t>
      </w:r>
    </w:p>
    <w:p>
      <w:pPr>
        <w:spacing w:after="80" w:line="29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以免穿戴、低打扰方式形成个人正常活动基线；</w:t>
      </w:r>
    </w:p>
    <w:p>
      <w:pPr>
        <w:spacing w:after="80" w:line="29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将快速起身、躯干摇摆等短时证据与中长期趋势共同解释；</w:t>
      </w:r>
    </w:p>
    <w:p>
      <w:pPr>
        <w:spacing w:after="80" w:line="29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通过绿、黄、橙、红状态机执行分级干预；</w:t>
      </w:r>
    </w:p>
    <w:p>
      <w:pPr>
        <w:spacing w:after="80" w:line="29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在检测到稳定姿态后继续观察，确认风险真实回落；</w:t>
      </w:r>
    </w:p>
    <w:p>
      <w:pPr>
        <w:spacing w:after="80" w:line="29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使用统一证据体系适配心理趋势和诈骗核验场景。</w:t>
      </w:r>
    </w:p>
    <w:p>
      <w:pPr>
        <w:pStyle w:val="Heading1"/>
      </w:pPr>
      <w:r>
        <w:rPr>
          <w:rFonts w:ascii="Calibri" w:hAnsi="Calibri" w:eastAsia="Microsoft YaHei"/>
          <w:b/>
        </w:rPr>
        <w:t>2 用户、需求与适老化原则</w:t>
      </w:r>
    </w:p>
    <w:p>
      <w:r>
        <w:rPr>
          <w:rFonts w:ascii="Calibri" w:hAnsi="Calibri" w:eastAsia="Microsoft YaHei"/>
          <w:b w:val="0"/>
          <w:sz w:val="22"/>
        </w:rPr>
        <w:t>核心用户包括独居老人、异地家属和负责部署复核的服务人员。老人侧交互遵循单动作、短句、低打扰原则；家属端不要求持续盯屏，而是展示风险水位、证据解释、干预结果和下一步建议。系统明确区分真实设备、授权录像回放、公开数据与Mock，避免因界面呈现造成能力误解。</w:t>
      </w:r>
    </w:p>
    <w:p>
      <w:r>
        <w:rPr>
          <w:rFonts w:ascii="Calibri" w:hAnsi="Calibri" w:eastAsia="Microsoft YaHei"/>
          <w:b w:val="0"/>
          <w:sz w:val="22"/>
        </w:rPr>
        <w:t>适老化设计包括：不要求佩戴设备；橙色风险优先提示坐稳或扶稳；心理场景只给出关怀、筛查或专业评估建议；诈骗场景采用家属身份核验，不自动判断真实转账或阻断支付。</w:t>
      </w:r>
    </w:p>
    <w:p>
      <w:pPr>
        <w:pStyle w:val="Heading1"/>
      </w:pPr>
      <w:r>
        <w:rPr>
          <w:rFonts w:ascii="Calibri" w:hAnsi="Calibri" w:eastAsia="Microsoft YaHei"/>
          <w:b/>
        </w:rPr>
        <w:t>3 系统总体设计</w:t>
      </w:r>
    </w:p>
    <w:p>
      <w:r>
        <w:rPr>
          <w:rFonts w:ascii="Calibri" w:hAnsi="Calibri" w:eastAsia="Microsoft YaHei"/>
          <w:b w:val="0"/>
          <w:sz w:val="22"/>
        </w:rPr>
        <w:t>系统数据流为：</w:t>
      </w:r>
    </w:p>
    <w:p>
      <w:pPr>
        <w:pStyle w:val="YingmuCodeBlock"/>
        <w:shd w:fill="F2F4F7"/>
      </w:pPr>
      <w:r>
        <w:rPr>
          <w:rFonts w:ascii="Consolas" w:hAnsi="Consolas" w:eastAsia="Microsoft YaHei"/>
          <w:color w:val="17324D"/>
          <w:sz w:val="18"/>
        </w:rPr>
        <w:t>LIVE_DEVICE / RECORDED_REPLAY / PUBLIC_DATASET / MOCK</w:t>
        <w:br/>
        <w:t>→ DeviceAdapter与算法适配器</w:t>
        <w:br/>
        <w:t>→ Observation</w:t>
        <w:br/>
        <w:t>→ Evidence</w:t>
        <w:br/>
        <w:t>→ 三层记忆与ruleset-v1.0</w:t>
        <w:br/>
        <w:t>→ RiskEvent</w:t>
        <w:br/>
        <w:t>→ 干预与恢复观察</w:t>
        <w:br/>
        <w:t>→ 家属端时间轴、解释和周报</w:t>
      </w:r>
    </w:p>
    <w:p>
      <w:r>
        <w:rPr>
          <w:rFonts w:ascii="Calibri" w:hAnsi="Calibri" w:eastAsia="Microsoft YaHei"/>
          <w:b w:val="0"/>
          <w:sz w:val="22"/>
        </w:rPr>
        <w:t>系统使用四个冻结核心对象：Observation保存可追溯观测；Evidence表达某类风险证据；RiskEvent保存统一风险水位和状态；InterventionResult记录工具送达、老人回应和家属反馈。算法不直接写最终风险等级，前端也不在浏览器重算状态。</w:t>
      </w:r>
    </w:p>
    <w:p>
      <w:pPr>
        <w:pStyle w:val="Heading1"/>
      </w:pPr>
      <w:r>
        <w:rPr>
          <w:rFonts w:ascii="Calibri" w:hAnsi="Calibri" w:eastAsia="Microsoft YaHei"/>
          <w:b/>
        </w:rPr>
        <w:t>4 姿态特征与个人基线</w:t>
      </w:r>
    </w:p>
    <w:p>
      <w:r>
        <w:rPr>
          <w:rFonts w:ascii="Calibri" w:hAnsi="Calibri" w:eastAsia="Microsoft YaHei"/>
          <w:b w:val="0"/>
          <w:sz w:val="22"/>
        </w:rPr>
        <w:t>姿态模块使用MediaPipe Pose Landmarker提取33个关键点，构造起身时长、相对步速、躯干摇摆角、步幅不对称、有效帧比例和核心点可见度等特征。数据质量不足时输出tracking_lost或质量证据，不使用低质量姿态升级风险。</w:t>
      </w:r>
    </w:p>
    <w:p>
      <w:r>
        <w:rPr>
          <w:rFonts w:ascii="Calibri" w:hAnsi="Calibri" w:eastAsia="Microsoft YaHei"/>
          <w:b w:val="0"/>
          <w:sz w:val="22"/>
        </w:rPr>
        <w:t>个人基线由正常片段的稳健统计量构成。每名实验参与者独立使用8段跨日期前的正常片段建立基线，评测片段不得进入基线。系统保留基线版本、样本数、有效天数、中位数和MAD，异常场景不会反向污染正常基线。</w:t>
      </w:r>
    </w:p>
    <w:p>
      <w:pPr>
        <w:pStyle w:val="Heading1"/>
      </w:pPr>
      <w:r>
        <w:rPr>
          <w:rFonts w:ascii="Calibri" w:hAnsi="Calibri" w:eastAsia="Microsoft YaHei"/>
          <w:b/>
        </w:rPr>
        <w:t>5 三层记忆与风险状态机</w:t>
      </w:r>
    </w:p>
    <w:p>
      <w:r>
        <w:rPr>
          <w:rFonts w:ascii="Calibri" w:hAnsi="Calibri" w:eastAsia="Microsoft YaHei"/>
          <w:b w:val="0"/>
          <w:sz w:val="22"/>
        </w:rPr>
        <w:t>短时层关注30秒内快速起身与躯干摇摆等组合；中时层汇总24小时环境、活动与干预信息；长时层使用7天以上个人趋势。状态机以确定性规则执行：单个快速起身保持观察；快速起身与摇摆在窗口内共同出现时进入橙色干预；连续稳定15秒进入观察；继续60秒无新危险后解除。</w:t>
      </w:r>
    </w:p>
    <w:p>
      <w:r>
        <w:rPr>
          <w:rFonts w:ascii="Calibri" w:hAnsi="Calibri" w:eastAsia="Microsoft YaHei"/>
          <w:b w:val="0"/>
          <w:sz w:val="22"/>
        </w:rPr>
        <w:t>Qwen只接收风险等级、Evidence摘要、基线状态和干预状态等脱敏结构化事实。模型响应不能修改RiskEvent、规则ID或风险分数；调用失败、超时或非法JSON时使用模板解释，主状态机继续运行。</w:t>
      </w:r>
    </w:p>
    <w:p>
      <w:pPr>
        <w:pStyle w:val="Heading1"/>
      </w:pPr>
      <w:r>
        <w:rPr>
          <w:rFonts w:ascii="Calibri" w:hAnsi="Calibri" w:eastAsia="Microsoft YaHei"/>
          <w:b/>
        </w:rPr>
        <w:t>6 心理趋势与诈骗风险适配</w:t>
      </w:r>
    </w:p>
    <w:p>
      <w:r>
        <w:rPr>
          <w:rFonts w:ascii="Calibri" w:hAnsi="Calibri" w:eastAsia="Microsoft YaHei"/>
          <w:b w:val="0"/>
          <w:sz w:val="22"/>
        </w:rPr>
        <w:t>心理健康场景使用多日活动范围、活动时长和昼夜节律趋势，输出黄色关怀建议，不依据单次行为作医学诊断。诈骗场景组合非授权访客、停留时间和经授权转写中的高风险组合词，生成家属核验卡；单个关键词不能直接升级为高风险结论。两类场景均明确标记“模拟实验回放”，并复用同一事件时间轴和反馈机制。</w:t>
      </w:r>
    </w:p>
    <w:p>
      <w:pPr>
        <w:pStyle w:val="Heading1"/>
      </w:pPr>
      <w:r>
        <w:rPr>
          <w:rFonts w:ascii="Calibri" w:hAnsi="Calibri" w:eastAsia="Microsoft YaHei"/>
          <w:b/>
        </w:rPr>
        <w:t>7 萤石平台与部署形态</w:t>
      </w:r>
    </w:p>
    <w:p>
      <w:r>
        <w:rPr>
          <w:rFonts w:ascii="Calibri" w:hAnsi="Calibri" w:eastAsia="Microsoft YaHei"/>
          <w:b w:val="0"/>
          <w:sz w:val="22"/>
        </w:rPr>
        <w:t>系统基于萤石开放平台完成真实设备状态、Webhook和抓拍验证。当前完整姿态风险闭环来自同一C6c产生的授权录像回放，服务端语音未验证时展示真实能力限制并使用明确标记的Mock提醒。Windows发布包同源托管Vue前端和FastAPI后端，演示模式使用独立数据库，真实模式从外部配置读取凭证。</w:t>
      </w:r>
    </w:p>
    <w:p>
      <w:pPr>
        <w:pStyle w:val="Heading1"/>
      </w:pPr>
      <w:r>
        <w:rPr>
          <w:rFonts w:ascii="Calibri" w:hAnsi="Calibri" w:eastAsia="Microsoft YaHei"/>
          <w:b/>
        </w:rPr>
        <w:t>8 实验方法</w:t>
      </w:r>
    </w:p>
    <w:p>
      <w:pPr>
        <w:pStyle w:val="Heading2"/>
      </w:pPr>
      <w:r>
        <w:rPr>
          <w:rFonts w:ascii="Calibri" w:hAnsi="Calibri" w:eastAsia="Microsoft YaHei"/>
          <w:b/>
        </w:rPr>
        <w:t>8.1 受控自采数据</w:t>
      </w:r>
    </w:p>
    <w:p>
      <w:r>
        <w:rPr>
          <w:rFonts w:ascii="Calibri" w:hAnsi="Calibri" w:eastAsia="Microsoft YaHei"/>
          <w:b w:val="0"/>
          <w:sz w:val="22"/>
        </w:rPr>
        <w:t>实验包括P01、P02、P03三名健康成年人，每人32段，共96段。每人第一天拍摄8段正常基线，第二个不同日期拍摄12段风险前兆和12段正常/困难负样本。所有场景固定同一摄像机、机位、分辨率和帧率，不实施真实跌倒。</w:t>
      </w:r>
    </w:p>
    <w:p>
      <w:r>
        <w:rPr>
          <w:rFonts w:ascii="Calibri" w:hAnsi="Calibri" w:eastAsia="Microsoft YaHei"/>
          <w:b w:val="0"/>
          <w:sz w:val="22"/>
        </w:rPr>
        <w:t>P01用于规则校准；P02用于独立验证，完整处理后最多允许一次规则更新；P03在规则冻结前完成SHA-256锁定，冻结后一次性运行，作为最终测试集。URFD公开数据单独复核，不与自采指标混算。</w:t>
      </w:r>
    </w:p>
    <w:p>
      <w:pPr>
        <w:pStyle w:val="Heading2"/>
      </w:pPr>
      <w:r>
        <w:rPr>
          <w:rFonts w:ascii="Calibri" w:hAnsi="Calibri" w:eastAsia="Microsoft YaHei"/>
          <w:b/>
        </w:rPr>
        <w:t>8.2 评价指标</w:t>
      </w:r>
    </w:p>
    <w:p>
      <w:r>
        <w:rPr>
          <w:rFonts w:ascii="Calibri" w:hAnsi="Calibri" w:eastAsia="Microsoft YaHei"/>
          <w:b w:val="0"/>
          <w:sz w:val="22"/>
        </w:rPr>
        <w:t>主要指标包括Precision、Recall、F1、混淆矩阵、高风险窗口召回率、Evidence至干预请求的P50/P95/最大延迟，以及12小时正常活动误报率。Precision和Recall报告95% Wilson区间。</w:t>
      </w:r>
    </w:p>
    <w:p>
      <w:pPr>
        <w:pStyle w:val="Heading2"/>
      </w:pPr>
      <w:r>
        <w:rPr>
          <w:rFonts w:ascii="Calibri" w:hAnsi="Calibri" w:eastAsia="Microsoft YaHei"/>
          <w:b/>
        </w:rPr>
        <w:t>8.3 消融设计</w:t>
      </w:r>
    </w:p>
    <w:p>
      <w:r>
        <w:rPr>
          <w:rFonts w:ascii="Calibri" w:hAnsi="Calibri" w:eastAsia="Microsoft YaHei"/>
          <w:b w:val="0"/>
          <w:sz w:val="22"/>
        </w:rPr>
        <w:t>在相同P03测试集上离线重放四种冻结配置：完整系统；删除个人基线；仅保留短时记忆；删除质量与上下文门控。各配置不得重新调参。</w:t>
      </w:r>
    </w:p>
    <w:p>
      <w:pPr>
        <w:pStyle w:val="Heading1"/>
      </w:pPr>
      <w:r>
        <w:rPr>
          <w:rFonts w:ascii="Calibri" w:hAnsi="Calibri" w:eastAsia="Microsoft YaHei"/>
          <w:b/>
        </w:rPr>
        <w:t>9 实验结果</w:t>
      </w:r>
    </w:p>
    <w:p>
      <w:pPr>
        <w:pStyle w:val="YingmuCallout"/>
        <w:shd w:fill="FFF4CE"/>
        <w:pBdr>
          <w:left w:val="single" w:sz="18" w:space="8" w:color="7A5A00"/>
        </w:pBdr>
      </w:pPr>
      <w:r>
        <w:rPr>
          <w:rFonts w:ascii="Calibri" w:hAnsi="Calibri" w:eastAsia="Microsoft YaHei"/>
          <w:b/>
          <w:sz w:val="22"/>
        </w:rPr>
        <w:t>PENDING_REAL_DATA：本节必须由</w:t>
      </w:r>
      <w:r>
        <w:rPr>
          <w:rFonts w:ascii="Consolas" w:hAnsi="Consolas" w:eastAsia="Microsoft YaHei"/>
          <w:color w:val="1F4D78"/>
          <w:sz w:val="19"/>
        </w:rPr>
        <w:t>experiment-results.json</w:t>
      </w:r>
      <w:r>
        <w:rPr>
          <w:rFonts w:ascii="Calibri" w:hAnsi="Calibri" w:eastAsia="Microsoft YaHei"/>
          <w:b/>
          <w:sz w:val="22"/>
        </w:rPr>
        <w:t>和</w:t>
      </w:r>
      <w:r>
        <w:rPr>
          <w:rFonts w:ascii="Consolas" w:hAnsi="Consolas" w:eastAsia="Microsoft YaHei"/>
          <w:color w:val="1F4D78"/>
          <w:sz w:val="19"/>
        </w:rPr>
        <w:t>stability-summary.json</w:t>
      </w:r>
      <w:r>
        <w:rPr>
          <w:rFonts w:ascii="Calibri" w:hAnsi="Calibri" w:eastAsia="Microsoft YaHei"/>
          <w:b/>
          <w:sz w:val="22"/>
        </w:rPr>
        <w:t>生成。缺少P03盲测或12小时记录时不得填写结果。</w:t>
      </w:r>
    </w:p>
    <w:p>
      <w:r>
        <w:rPr>
          <w:rFonts w:ascii="Calibri" w:hAnsi="Calibri" w:eastAsia="Microsoft YaHei"/>
          <w:b w:val="0"/>
          <w:sz w:val="22"/>
        </w:rPr>
        <w:t>最终结果表应包含P01校准、P02验证、P03测试的独立计数，P03主结果的TP、TN、FP、FN、Precision、Recall、F1、高风险窗口召回率、置信区间和延迟，以及A-D四组消融对比。</w:t>
      </w:r>
    </w:p>
    <w:p>
      <w:pPr>
        <w:pStyle w:val="Heading1"/>
      </w:pPr>
      <w:r>
        <w:rPr>
          <w:rFonts w:ascii="Calibri" w:hAnsi="Calibri" w:eastAsia="Microsoft YaHei"/>
          <w:b/>
        </w:rPr>
        <w:t>10 工程验证结果</w:t>
      </w:r>
    </w:p>
    <w:p>
      <w:r>
        <w:rPr>
          <w:rFonts w:ascii="Calibri" w:hAnsi="Calibri" w:eastAsia="Microsoft YaHei"/>
          <w:b w:val="0"/>
          <w:sz w:val="22"/>
        </w:rPr>
        <w:t>已具备的证据包括后端与前端自动化测试、Vue生产构建、萤石真实抓拍十次成功记录、授权录像完整风险闭环、Qwen成功与模板降级、Token失效、设备离线、抓拍超时、非法JSON和敏感信息扫描。最终提交前应重新运行全量测试，并以最新测试结果替换历史计数。</w:t>
      </w:r>
    </w:p>
    <w:p>
      <w:pPr>
        <w:pStyle w:val="Heading1"/>
      </w:pPr>
      <w:r>
        <w:rPr>
          <w:rFonts w:ascii="Calibri" w:hAnsi="Calibri" w:eastAsia="Microsoft YaHei"/>
          <w:b/>
        </w:rPr>
        <w:t>11 创新点与落地价值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从跌倒后识别扩展为前兆组合、分级干预和恢复确认闭环；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使用个人基线和多时间尺度记忆减少统一阈值对个体差异的忽略；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将算法、规则、大模型和前端职责分离，安全状态不依赖生成模型；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对真实设备、回放、公开数据和Mock实行贯穿接口、页面和材料的来源标识；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以统一证据模型适配跌倒、心理趋势和诈骗核验，而非建设三套割裂后台。</w:t>
      </w:r>
    </w:p>
    <w:p>
      <w:pPr>
        <w:pStyle w:val="Heading1"/>
      </w:pPr>
      <w:r>
        <w:rPr>
          <w:rFonts w:ascii="Calibri" w:hAnsi="Calibri" w:eastAsia="Microsoft YaHei"/>
          <w:b/>
        </w:rPr>
        <w:t>12 局限性与后续工作</w:t>
      </w:r>
    </w:p>
    <w:p>
      <w:r>
        <w:rPr>
          <w:rFonts w:ascii="Calibri" w:hAnsi="Calibri" w:eastAsia="Microsoft YaHei"/>
          <w:b w:val="0"/>
          <w:sz w:val="22"/>
        </w:rPr>
        <w:t>本研究自采实验仅包含3名健康成年人，不覆盖真实老年人、临床跌倒或多家庭环境；固定机位结果不能直接外推到多摄像机或复杂遮挡；心理和诈骗场景主要验证证据适配，不构成医学或司法判断；真实设备时序闭环仍需在获得稳定视频能力和长期授权后扩大验证。</w:t>
      </w:r>
    </w:p>
    <w:p>
      <w:r>
        <w:rPr>
          <w:rFonts w:ascii="Calibri" w:hAnsi="Calibri" w:eastAsia="Microsoft YaHei"/>
          <w:b w:val="0"/>
          <w:sz w:val="22"/>
        </w:rPr>
        <w:t>后续工作应在伦理与安全审批基础上扩展参与者数量、年龄和居家环境，采用参与者独立划分验证泛化，增加低照度、宽松衣物和多人入画测试，并比较规则基线与轻量时序模型。</w:t>
      </w:r>
    </w:p>
    <w:p>
      <w:pPr>
        <w:pStyle w:val="Heading1"/>
      </w:pPr>
      <w:r>
        <w:rPr>
          <w:rFonts w:ascii="Calibri" w:hAnsi="Calibri" w:eastAsia="Microsoft YaHei"/>
          <w:b/>
        </w:rPr>
        <w:t>参考资料</w:t>
      </w:r>
    </w:p>
    <w:p>
      <w:pPr>
        <w:spacing w:after="40" w:line="24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18"/>
        </w:rPr>
        <w:t>发榜单位，《基于多模态AI监测的老年人跌倒风险、心理健康、诈骗识别及预警研究比赛方案》，2026。</w:t>
      </w:r>
    </w:p>
    <w:p>
      <w:pPr>
        <w:spacing w:after="40" w:line="24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18"/>
        </w:rPr>
        <w:t>MediaPipe Pose Landmarker官方技术文档与模型说明。</w:t>
      </w:r>
    </w:p>
    <w:p>
      <w:pPr>
        <w:spacing w:after="40" w:line="24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18"/>
        </w:rPr>
        <w:t>UR Fall Detection Dataset数据集说明。</w:t>
      </w:r>
    </w:p>
    <w:p>
      <w:pPr>
        <w:spacing w:after="40" w:line="24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18"/>
        </w:rPr>
        <w:t>萤石开放平台接口文档。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基于多模态AI的居家老人跌倒风险前置预警系统研究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8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基于多模态AI的居家老人跌倒风险前置预警系统研究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