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 w:eastAsia="Microsoft YaHei"/>
          <w:b/>
          <w:color w:val="17324D"/>
          <w:sz w:val="46"/>
        </w:rPr>
        <w:t>“萤目守望”系统设计与技术开发文档</w:t>
      </w:r>
    </w:p>
    <w:p>
      <w:pPr>
        <w:spacing w:after="160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 w:val="0"/>
          <w:sz w:val="22"/>
        </w:rPr>
        <w:t>文档状态：Release Candidate工作底稿</w:t>
      </w:r>
    </w:p>
    <w:p>
      <w:pPr>
        <w:pStyle w:val="Heading1"/>
      </w:pPr>
      <w:r>
        <w:rPr>
          <w:rFonts w:ascii="Calibri" w:hAnsi="Calibri" w:eastAsia="Microsoft YaHei"/>
          <w:b/>
        </w:rPr>
        <w:t>1 设计目标</w:t>
      </w:r>
    </w:p>
    <w:p>
      <w:r>
        <w:rPr>
          <w:rFonts w:ascii="Calibri" w:hAnsi="Calibri" w:eastAsia="Microsoft YaHei"/>
          <w:b w:val="0"/>
          <w:sz w:val="22"/>
        </w:rPr>
        <w:t>系统围绕“连续观察、个人基线、多时标融合、分级干预、风险回落”建设。安全主链必须确定、可追溯、可降级；大模型和外部平台失败不能阻断风险事件保存和家属查看。</w:t>
      </w:r>
    </w:p>
    <w:p>
      <w:pPr>
        <w:pStyle w:val="Heading1"/>
      </w:pPr>
      <w:r>
        <w:rPr>
          <w:rFonts w:ascii="Calibri" w:hAnsi="Calibri" w:eastAsia="Microsoft YaHei"/>
          <w:b/>
        </w:rPr>
        <w:t>2 逻辑架构</w:t>
      </w:r>
    </w:p>
    <w:p>
      <w:pPr>
        <w:pStyle w:val="YingmuCodeBlock"/>
        <w:shd w:fill="F2F4F7"/>
      </w:pPr>
      <w:r>
        <w:rPr>
          <w:rFonts w:ascii="Consolas" w:hAnsi="Consolas" w:eastAsia="Microsoft YaHei"/>
          <w:color w:val="17324D"/>
          <w:sz w:val="18"/>
        </w:rPr>
        <w:t>输入层：萤石C6c、授权MP4、公开数据、Mock</w:t>
        <w:br/>
        <w:t>适配层：DeviceAdapter、GAIT、TRAJECTORY、LANGUAGE</w:t>
        <w:br/>
        <w:t>契约层：Asset、Observation、Evidence、AdapterBatch</w:t>
        <w:br/>
        <w:t>决策层：短/中/长期记忆、ruleset-v1.0、RiskEvent状态机</w:t>
        <w:br/>
        <w:t>执行层：萤石能力、Mock提醒、家属反馈、Qwen/模板解释</w:t>
        <w:br/>
        <w:t>应用层：Vue家属端、场景回放、周报、系统状态</w:t>
        <w:br/>
        <w:t>存储层：SQLite、私有媒体目录、脱敏审计日志</w:t>
      </w:r>
    </w:p>
    <w:p>
      <w:pPr>
        <w:pStyle w:val="Heading1"/>
      </w:pPr>
      <w:r>
        <w:rPr>
          <w:rFonts w:ascii="Calibri" w:hAnsi="Calibri" w:eastAsia="Microsoft YaHei"/>
          <w:b/>
        </w:rPr>
        <w:t>3 核心对象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56"/>
        <w:gridCol w:w="2627"/>
        <w:gridCol w:w="3777"/>
      </w:tblGrid>
      <w:tr>
        <w:trPr>
          <w:tblHeader/>
        </w:trPr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对象</w:t>
            </w:r>
          </w:p>
        </w:tc>
        <w:tc>
          <w:tcPr>
            <w:tcW w:type="dxa" w:w="2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责任</w:t>
            </w:r>
          </w:p>
        </w:tc>
        <w:tc>
          <w:tcPr>
            <w:tcW w:type="dxa" w:w="37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禁止行为</w:t>
            </w:r>
          </w:p>
        </w:tc>
      </w:tr>
      <w:tr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Asset</w:t>
            </w:r>
          </w:p>
        </w:tc>
        <w:tc>
          <w:tcPr>
            <w:tcW w:type="dxa" w:w="2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描述媒体来源、授权和私有存储引用</w:t>
            </w:r>
          </w:p>
        </w:tc>
        <w:tc>
          <w:tcPr>
            <w:tcW w:type="dxa" w:w="37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公共接口泄露storage_key或临时URL</w:t>
            </w:r>
          </w:p>
        </w:tc>
      </w:tr>
      <w:tr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Observation</w:t>
            </w:r>
          </w:p>
        </w:tc>
        <w:tc>
          <w:tcPr>
            <w:tcW w:type="dxa" w:w="2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保存一个可复核的原始/派生观测</w:t>
            </w:r>
          </w:p>
        </w:tc>
        <w:tc>
          <w:tcPr>
            <w:tcW w:type="dxa" w:w="37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写最终风险等级</w:t>
            </w:r>
          </w:p>
        </w:tc>
      </w:tr>
      <w:tr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Evidence</w:t>
            </w:r>
          </w:p>
        </w:tc>
        <w:tc>
          <w:tcPr>
            <w:tcW w:type="dxa" w:w="2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表达风险域、类型、质量和解释</w:t>
            </w:r>
          </w:p>
        </w:tc>
        <w:tc>
          <w:tcPr>
            <w:tcW w:type="dxa" w:w="37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直接执行干预</w:t>
            </w:r>
          </w:p>
        </w:tc>
      </w:tr>
      <w:tr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RiskEvent</w:t>
            </w:r>
          </w:p>
        </w:tc>
        <w:tc>
          <w:tcPr>
            <w:tcW w:type="dxa" w:w="2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保存风险水位、状态和证据关联</w:t>
            </w:r>
          </w:p>
        </w:tc>
        <w:tc>
          <w:tcPr>
            <w:tcW w:type="dxa" w:w="37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接收前端本地重算结果</w:t>
            </w:r>
          </w:p>
        </w:tc>
      </w:tr>
      <w:tr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sz w:val="19"/>
              </w:rPr>
              <w:t>InterventionResult</w:t>
            </w:r>
          </w:p>
        </w:tc>
        <w:tc>
          <w:tcPr>
            <w:tcW w:type="dxa" w:w="2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保存工具送达和人工回应</w:t>
            </w:r>
          </w:p>
        </w:tc>
        <w:tc>
          <w:tcPr>
            <w:tcW w:type="dxa" w:w="37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仅因按钮点击直接解除事件</w:t>
            </w:r>
          </w:p>
        </w:tc>
      </w:tr>
      <w:tr>
        <w:tc>
          <w:tcPr>
            <w:tcW w:type="dxa" w:w="2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RuleTrace</w:t>
            </w:r>
          </w:p>
        </w:tc>
        <w:tc>
          <w:tcPr>
            <w:tcW w:type="dxa" w:w="262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记录规则版本、输入与状态迁移</w:t>
            </w:r>
          </w:p>
        </w:tc>
        <w:tc>
          <w:tcPr>
            <w:tcW w:type="dxa" w:w="37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 w:val="0"/>
                <w:sz w:val="19"/>
              </w:rPr>
              <w:t>记录凭证或原始媒体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</w:rPr>
        <w:t>4 状态与数据流</w:t>
      </w:r>
    </w:p>
    <w:p>
      <w:r>
        <w:rPr>
          <w:rFonts w:ascii="Calibri" w:hAnsi="Calibri" w:eastAsia="Microsoft YaHei"/>
          <w:b w:val="0"/>
          <w:sz w:val="22"/>
        </w:rPr>
        <w:t>Observation和Evidence通过Pydantic契约校验并幂等入库。风险服务读取唯一规则集，根据证据组合、质量、上下文和事件历史生成RuleTrace。橙色事件进入INTERVENING；恢复证据进入OBSERVING；满足观察窗口后进入RESOLVED。重复Evidence不重复创建事件或调用工具。</w:t>
      </w:r>
    </w:p>
    <w:p>
      <w:r>
        <w:rPr>
          <w:rFonts w:ascii="Calibri" w:hAnsi="Calibri" w:eastAsia="Microsoft YaHei"/>
          <w:b w:val="0"/>
          <w:sz w:val="22"/>
        </w:rPr>
        <w:t>算法任务由Alarm Worker处理，解释任务由独立Agent Worker处理。Qwen只生成说明字段，Provider失败时落入模板解释，不回滚RiskEvent。</w:t>
      </w:r>
    </w:p>
    <w:p>
      <w:pPr>
        <w:pStyle w:val="Heading1"/>
      </w:pPr>
      <w:r>
        <w:rPr>
          <w:rFonts w:ascii="Calibri" w:hAnsi="Calibri" w:eastAsia="Microsoft YaHei"/>
          <w:b/>
        </w:rPr>
        <w:t>5 来源与信任边界</w:t>
      </w:r>
    </w:p>
    <w:p>
      <w:r>
        <w:rPr>
          <w:rFonts w:ascii="Calibri" w:hAnsi="Calibri" w:eastAsia="Microsoft YaHei"/>
          <w:b w:val="0"/>
          <w:sz w:val="22"/>
        </w:rPr>
        <w:t>所有事件必须携带</w:t>
      </w:r>
      <w:r>
        <w:rPr>
          <w:rFonts w:ascii="Consolas" w:hAnsi="Consolas" w:eastAsia="Microsoft YaHei"/>
          <w:color w:val="1F4D78"/>
          <w:sz w:val="19"/>
        </w:rPr>
        <w:t>LIVE_DEVICE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RECORDED_REPLAY</w:t>
      </w:r>
      <w:r>
        <w:rPr>
          <w:rFonts w:ascii="Calibri" w:hAnsi="Calibri" w:eastAsia="Microsoft YaHei"/>
          <w:b w:val="0"/>
          <w:sz w:val="22"/>
        </w:rPr>
        <w:t>、</w:t>
      </w:r>
      <w:r>
        <w:rPr>
          <w:rFonts w:ascii="Consolas" w:hAnsi="Consolas" w:eastAsia="Microsoft YaHei"/>
          <w:color w:val="1F4D78"/>
          <w:sz w:val="19"/>
        </w:rPr>
        <w:t>PUBLIC_DATASET</w:t>
      </w:r>
      <w:r>
        <w:rPr>
          <w:rFonts w:ascii="Calibri" w:hAnsi="Calibri" w:eastAsia="Microsoft YaHei"/>
          <w:b w:val="0"/>
          <w:sz w:val="22"/>
        </w:rPr>
        <w:t>或</w:t>
      </w:r>
      <w:r>
        <w:rPr>
          <w:rFonts w:ascii="Consolas" w:hAnsi="Consolas" w:eastAsia="Microsoft YaHei"/>
          <w:color w:val="1F4D78"/>
          <w:sz w:val="19"/>
        </w:rPr>
        <w:t>MOCK</w:t>
      </w:r>
      <w:r>
        <w:rPr>
          <w:rFonts w:ascii="Calibri" w:hAnsi="Calibri" w:eastAsia="Microsoft YaHei"/>
          <w:b w:val="0"/>
          <w:sz w:val="22"/>
        </w:rPr>
        <w:t>。</w:t>
      </w:r>
      <w:r>
        <w:rPr>
          <w:rFonts w:ascii="Consolas" w:hAnsi="Consolas" w:eastAsia="Microsoft YaHei"/>
          <w:color w:val="1F4D78"/>
          <w:sz w:val="19"/>
        </w:rPr>
        <w:t>simulated=true</w:t>
      </w:r>
      <w:r>
        <w:rPr>
          <w:rFonts w:ascii="Calibri" w:hAnsi="Calibri" w:eastAsia="Microsoft YaHei"/>
          <w:b w:val="0"/>
          <w:sz w:val="22"/>
        </w:rPr>
        <w:t>表示动作或长期趋势是受控模拟，即使视频来自真实C6c也不能称为自然居家真实事件。</w:t>
      </w:r>
    </w:p>
    <w:p>
      <w:r>
        <w:rPr>
          <w:rFonts w:ascii="Calibri" w:hAnsi="Calibri" w:eastAsia="Microsoft YaHei"/>
          <w:b w:val="0"/>
          <w:sz w:val="22"/>
        </w:rPr>
        <w:t>真实凭证只存在外部</w:t>
      </w:r>
      <w:r>
        <w:rPr>
          <w:rFonts w:ascii="Consolas" w:hAnsi="Consolas" w:eastAsia="Microsoft YaHei"/>
          <w:color w:val="1F4D78"/>
          <w:sz w:val="19"/>
        </w:rPr>
        <w:t>.env.local</w:t>
      </w:r>
      <w:r>
        <w:rPr>
          <w:rFonts w:ascii="Calibri" w:hAnsi="Calibri" w:eastAsia="Microsoft YaHei"/>
          <w:b w:val="0"/>
          <w:sz w:val="22"/>
        </w:rPr>
        <w:t>。媒体下载地址仅在后端进程内使用，Asset公共响应不包含永久或临时播放地址。大模型请求不包含图片、视频、音频、设备序列号、Token、路径或storage_key。</w:t>
      </w:r>
    </w:p>
    <w:p>
      <w:pPr>
        <w:pStyle w:val="Heading1"/>
      </w:pPr>
      <w:r>
        <w:rPr>
          <w:rFonts w:ascii="Calibri" w:hAnsi="Calibri" w:eastAsia="Microsoft YaHei"/>
          <w:b/>
        </w:rPr>
        <w:t>6 运行拓扑</w:t>
      </w:r>
    </w:p>
    <w:p>
      <w:r>
        <w:rPr>
          <w:rFonts w:ascii="Calibri" w:hAnsi="Calibri" w:eastAsia="Microsoft YaHei"/>
          <w:b w:val="0"/>
          <w:sz w:val="22"/>
        </w:rPr>
        <w:t>Windows发布包使用统一启动器管理三个进程：FastAPI、Alarm Worker和Agent Worker。生产前端由FastAPI同源托管。</w:t>
      </w:r>
      <w:r>
        <w:rPr>
          <w:rFonts w:ascii="Consolas" w:hAnsi="Consolas" w:eastAsia="Microsoft YaHei"/>
          <w:color w:val="1F4D78"/>
          <w:sz w:val="19"/>
        </w:rPr>
        <w:t>demo</w:t>
      </w:r>
      <w:r>
        <w:rPr>
          <w:rFonts w:ascii="Calibri" w:hAnsi="Calibri" w:eastAsia="Microsoft YaHei"/>
          <w:b w:val="0"/>
          <w:sz w:val="22"/>
        </w:rPr>
        <w:t>使用独立Mock数据库并写入固定脱敏闭环；</w:t>
      </w:r>
      <w:r>
        <w:rPr>
          <w:rFonts w:ascii="Consolas" w:hAnsi="Consolas" w:eastAsia="Microsoft YaHei"/>
          <w:color w:val="1F4D78"/>
          <w:sz w:val="19"/>
        </w:rPr>
        <w:t>live</w:t>
      </w:r>
      <w:r>
        <w:rPr>
          <w:rFonts w:ascii="Calibri" w:hAnsi="Calibri" w:eastAsia="Microsoft YaHei"/>
          <w:b w:val="0"/>
          <w:sz w:val="22"/>
        </w:rPr>
        <w:t>校验萤石凭证且拒绝无签名Webhook测试开关。</w:t>
      </w:r>
    </w:p>
    <w:p>
      <w:pPr>
        <w:pStyle w:val="Heading1"/>
      </w:pPr>
      <w:r>
        <w:rPr>
          <w:rFonts w:ascii="Calibri" w:hAnsi="Calibri" w:eastAsia="Microsoft YaHei"/>
          <w:b/>
        </w:rPr>
        <w:t>7 失败与降级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设备离线：不抓拍，记录</w:t>
      </w:r>
      <w:r>
        <w:rPr>
          <w:rFonts w:ascii="Consolas" w:hAnsi="Consolas" w:eastAsia="Microsoft YaHei"/>
          <w:color w:val="1F4D78"/>
          <w:sz w:val="19"/>
        </w:rPr>
        <w:t>DEVICE_OFFLINE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Token失效：只刷新一次，仍失败则明确终止。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抓拍/算法超时：有限重试，记录失败阶段，不伪造Evidence。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低质量姿态：输出质量证据，不升级风险。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Qwen超时或非法JSON：保存模板解释，状态机继续。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sz w:val="22"/>
        </w:rPr>
        <w:t>前端API不可用：明确切换Mock或打开离线页，不伪造实时状态。</w:t>
      </w:r>
    </w:p>
    <w:p>
      <w:pPr>
        <w:pStyle w:val="Heading1"/>
      </w:pPr>
      <w:r>
        <w:rPr>
          <w:rFonts w:ascii="Calibri" w:hAnsi="Calibri" w:eastAsia="Microsoft YaHei"/>
          <w:b/>
        </w:rPr>
        <w:t>8 版本与可复现性</w:t>
      </w:r>
    </w:p>
    <w:p>
      <w:r>
        <w:rPr>
          <w:rFonts w:ascii="Calibri" w:hAnsi="Calibri" w:eastAsia="Microsoft YaHei"/>
          <w:b w:val="0"/>
          <w:sz w:val="22"/>
        </w:rPr>
        <w:t>规则集、模型、代码提交、场景配置、媒体SHA-256、实验划分和统计脚本必须进入最终证据索引。P03测试集使用独立锁文件；规则冻结后若规则或模型哈希变化，统计工具拒绝生成最终结果。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萤目守望  |  系统设计与技术开发文档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YingmuCodeBlock">
    <w:name w:val="Yingmu Code Block"/>
    <w:pPr>
      <w:spacing w:before="80" w:after="160" w:line="259" w:lineRule="auto"/>
      <w:ind w:left="259" w:right="259"/>
    </w:pPr>
    <w:rPr>
      <w:rFonts w:ascii="Calibri" w:hAnsi="Calibri" w:eastAsia="Microsoft YaHei"/>
      <w:b w:val="0"/>
      <w:color w:val="17324D"/>
      <w:sz w:val="18"/>
    </w:rPr>
  </w:style>
  <w:style w:type="paragraph" w:customStyle="1" w:styleId="YingmuCallout">
    <w:name w:val="Yingmu Callout"/>
    <w:pPr>
      <w:spacing w:before="120" w:after="160" w:line="276" w:lineRule="auto"/>
      <w:ind w:left="173" w:right="173"/>
    </w:pPr>
    <w:rPr>
      <w:rFonts w:ascii="Calibri" w:hAnsi="Calibri" w:eastAsia="Microsoft YaHei"/>
      <w:b w:val="0"/>
      <w:color w:val="17324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“萤目守望”系统设计与技术开发文档</dc:title>
  <dc:subject>2026年最终交付文档工作底稿</dc:subject>
  <dc:creator>萤目守望项目组</dc:creator>
  <cp:keywords>萤目守望, 居家安全, 多模态AI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