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after="160"/>
      </w:pPr>
      <w:r>
        <w:rPr>
          <w:rFonts w:ascii="Calibri" w:hAnsi="Calibri" w:eastAsia="Microsoft YaHei"/>
          <w:b/>
          <w:color w:val="17324D"/>
          <w:sz w:val="46"/>
        </w:rPr>
        <w:t>“萤目守望”接口规范</w:t>
      </w:r>
    </w:p>
    <w:p>
      <w:pPr>
        <w:spacing w:after="160"/>
        <w:shd w:fill="F4F6F9"/>
        <w:pBdr>
          <w:left w:val="single" w:sz="18" w:space="8" w:color="2E74B5"/>
        </w:pBdr>
      </w:pPr>
      <w:r>
        <w:rPr>
          <w:rFonts w:ascii="Calibri" w:hAnsi="Calibri" w:eastAsia="Microsoft YaHei"/>
          <w:b w:val="0"/>
          <w:sz w:val="22"/>
        </w:rPr>
        <w:t>版本：Schema 1.0 / ruleset-v1.0兼容稿</w:t>
      </w:r>
    </w:p>
    <w:p>
      <w:pPr>
        <w:pStyle w:val="Heading1"/>
      </w:pPr>
      <w:r>
        <w:rPr>
          <w:rFonts w:ascii="Calibri" w:hAnsi="Calibri" w:eastAsia="Microsoft YaHei"/>
          <w:b/>
        </w:rPr>
        <w:t>1 通用约定</w:t>
      </w:r>
    </w:p>
    <w:p>
      <w:r>
        <w:rPr>
          <w:rFonts w:ascii="Calibri" w:hAnsi="Calibri" w:eastAsia="Microsoft YaHei"/>
          <w:b w:val="0"/>
          <w:sz w:val="22"/>
        </w:rPr>
        <w:t>API前缀为</w:t>
      </w:r>
      <w:r>
        <w:rPr>
          <w:rFonts w:ascii="Consolas" w:hAnsi="Consolas" w:eastAsia="Microsoft YaHei"/>
          <w:color w:val="1F4D78"/>
          <w:sz w:val="19"/>
        </w:rPr>
        <w:t>/api/v1</w:t>
      </w:r>
      <w:r>
        <w:rPr>
          <w:rFonts w:ascii="Calibri" w:hAnsi="Calibri" w:eastAsia="Microsoft YaHei"/>
          <w:b w:val="0"/>
          <w:sz w:val="22"/>
        </w:rPr>
        <w:t>，JSON使用UTF-8，时间必须是带时区的ISO 8601。写接口使用稳定对象ID实现幂等；HTTP 201表示首次创建，HTTP 200表示幂等复用。响应携带</w:t>
      </w:r>
      <w:r>
        <w:rPr>
          <w:rFonts w:ascii="Consolas" w:hAnsi="Consolas" w:eastAsia="Microsoft YaHei"/>
          <w:color w:val="1F4D78"/>
          <w:sz w:val="19"/>
        </w:rPr>
        <w:t>X-Request-ID</w:t>
      </w:r>
      <w:r>
        <w:rPr>
          <w:rFonts w:ascii="Calibri" w:hAnsi="Calibri" w:eastAsia="Microsoft YaHei"/>
          <w:b w:val="0"/>
          <w:sz w:val="22"/>
        </w:rPr>
        <w:t>用于审计。</w:t>
      </w:r>
    </w:p>
    <w:p>
      <w:pPr>
        <w:pStyle w:val="Heading1"/>
      </w:pPr>
      <w:r>
        <w:rPr>
          <w:rFonts w:ascii="Calibri" w:hAnsi="Calibri" w:eastAsia="Microsoft YaHei"/>
          <w:b/>
        </w:rPr>
        <w:t>2 核心对象约束</w:t>
      </w:r>
    </w:p>
    <w:p>
      <w:r>
        <w:rPr>
          <w:rFonts w:ascii="Calibri" w:hAnsi="Calibri" w:eastAsia="Microsoft YaHei"/>
          <w:b w:val="0"/>
          <w:sz w:val="22"/>
        </w:rPr>
        <w:t>Observation必须包含来源、特征、值、置信度、数据质量、来源模式和模拟标识。Evidence必须引用至少一个Observation，携带风险域、证据类型、严重度、质量、时间尺度和适配器版本。RiskEvent由后端生成，前端和算法不得提交最终风险等级。</w:t>
      </w:r>
    </w:p>
    <w:p>
      <w:pPr>
        <w:pStyle w:val="Heading1"/>
      </w:pPr>
      <w:r>
        <w:rPr>
          <w:rFonts w:ascii="Calibri" w:hAnsi="Calibri" w:eastAsia="Microsoft YaHei"/>
          <w:b/>
        </w:rPr>
        <w:t>3 主要接口</w:t>
      </w:r>
    </w:p>
    <w:tbl>
      <w:tblPr>
        <w:tblStyle w:val="TableGrid"/>
        <w:tblW w:type="dxa" w:w="9360"/>
        <w:jc w:val="left"/>
        <w:tblLayout w:type="fixed"/>
        <w:tblLook w:firstColumn="1" w:firstRow="1" w:lastColumn="0" w:lastRow="0" w:noHBand="0" w:noVBand="1" w:val="04A0"/>
        <w:tblInd w:w="120" w:type="dxa"/>
      </w:tblPr>
      <w:tblGrid>
        <w:gridCol w:w="807"/>
        <w:gridCol w:w="5326"/>
        <w:gridCol w:w="3227"/>
      </w:tblGrid>
      <w:tr>
        <w:trPr>
          <w:tblHeader/>
        </w:trPr>
        <w:tc>
          <w:tcPr>
            <w:tcW w:type="dxa" w:w="807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  <w:shd w:fill="E8EEF5"/>
          </w:tcPr>
          <w:p>
            <w:pPr>
              <w:spacing w:before="0" w:after="0" w:line="259" w:lineRule="auto"/>
              <w:jc w:val="center"/>
            </w:pPr>
            <w:r>
              <w:rPr>
                <w:rFonts w:ascii="Calibri" w:hAnsi="Calibri" w:eastAsia="Microsoft YaHei"/>
                <w:b/>
                <w:sz w:val="19"/>
              </w:rPr>
              <w:t>方法</w:t>
            </w:r>
          </w:p>
        </w:tc>
        <w:tc>
          <w:tcPr>
            <w:tcW w:type="dxa" w:w="5326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  <w:shd w:fill="E8EEF5"/>
          </w:tcPr>
          <w:p>
            <w:pPr>
              <w:spacing w:before="0" w:after="0" w:line="259" w:lineRule="auto"/>
              <w:jc w:val="center"/>
            </w:pPr>
            <w:r>
              <w:rPr>
                <w:rFonts w:ascii="Calibri" w:hAnsi="Calibri" w:eastAsia="Microsoft YaHei"/>
                <w:b/>
                <w:sz w:val="19"/>
              </w:rPr>
              <w:t>路径</w:t>
            </w:r>
          </w:p>
        </w:tc>
        <w:tc>
          <w:tcPr>
            <w:tcW w:type="dxa" w:w="3227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  <w:shd w:fill="E8EEF5"/>
          </w:tcPr>
          <w:p>
            <w:pPr>
              <w:spacing w:before="0" w:after="0" w:line="259" w:lineRule="auto"/>
              <w:jc w:val="center"/>
            </w:pPr>
            <w:r>
              <w:rPr>
                <w:rFonts w:ascii="Calibri" w:hAnsi="Calibri" w:eastAsia="Microsoft YaHei"/>
                <w:b/>
                <w:sz w:val="19"/>
              </w:rPr>
              <w:t>作用</w:t>
            </w:r>
          </w:p>
        </w:tc>
      </w:tr>
      <w:tr>
        <w:tc>
          <w:tcPr>
            <w:tcW w:type="dxa" w:w="807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59" w:lineRule="auto"/>
              <w:jc w:val="center"/>
            </w:pPr>
            <w:r>
              <w:rPr>
                <w:rFonts w:ascii="Calibri" w:hAnsi="Calibri" w:eastAsia="Microsoft YaHei"/>
                <w:b w:val="0"/>
                <w:sz w:val="19"/>
              </w:rPr>
              <w:t>GET</w:t>
            </w:r>
          </w:p>
        </w:tc>
        <w:tc>
          <w:tcPr>
            <w:tcW w:type="dxa" w:w="5326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59" w:lineRule="auto"/>
              <w:jc w:val="center"/>
            </w:pPr>
            <w:r>
              <w:rPr>
                <w:rFonts w:ascii="Consolas" w:hAnsi="Consolas" w:eastAsia="Microsoft YaHei"/>
                <w:color w:val="1F4D78"/>
                <w:sz w:val="19"/>
              </w:rPr>
              <w:t>/health</w:t>
            </w:r>
          </w:p>
        </w:tc>
        <w:tc>
          <w:tcPr>
            <w:tcW w:type="dxa" w:w="3227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59" w:lineRule="auto"/>
              <w:jc w:val="center"/>
            </w:pPr>
            <w:r>
              <w:rPr>
                <w:rFonts w:ascii="Calibri" w:hAnsi="Calibri" w:eastAsia="Microsoft YaHei"/>
                <w:b w:val="0"/>
                <w:sz w:val="19"/>
              </w:rPr>
              <w:t>版本与健康检查</w:t>
            </w:r>
          </w:p>
        </w:tc>
      </w:tr>
      <w:tr>
        <w:tc>
          <w:tcPr>
            <w:tcW w:type="dxa" w:w="807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59" w:lineRule="auto"/>
              <w:jc w:val="center"/>
            </w:pPr>
            <w:r>
              <w:rPr>
                <w:rFonts w:ascii="Calibri" w:hAnsi="Calibri" w:eastAsia="Microsoft YaHei"/>
                <w:b w:val="0"/>
                <w:sz w:val="19"/>
              </w:rPr>
              <w:t>POST</w:t>
            </w:r>
          </w:p>
        </w:tc>
        <w:tc>
          <w:tcPr>
            <w:tcW w:type="dxa" w:w="5326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59" w:lineRule="auto"/>
              <w:jc w:val="left"/>
            </w:pPr>
            <w:r>
              <w:rPr>
                <w:rFonts w:ascii="Consolas" w:hAnsi="Consolas" w:eastAsia="Microsoft YaHei"/>
                <w:color w:val="1F4D78"/>
                <w:sz w:val="19"/>
              </w:rPr>
              <w:t>/api/v1/observations</w:t>
            </w:r>
          </w:p>
        </w:tc>
        <w:tc>
          <w:tcPr>
            <w:tcW w:type="dxa" w:w="3227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59" w:lineRule="auto"/>
              <w:jc w:val="center"/>
            </w:pPr>
            <w:r>
              <w:rPr>
                <w:rFonts w:ascii="Calibri" w:hAnsi="Calibri" w:eastAsia="Microsoft YaHei"/>
                <w:b w:val="0"/>
                <w:sz w:val="19"/>
              </w:rPr>
              <w:t>幂等写入Observation</w:t>
            </w:r>
          </w:p>
        </w:tc>
      </w:tr>
      <w:tr>
        <w:tc>
          <w:tcPr>
            <w:tcW w:type="dxa" w:w="807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59" w:lineRule="auto"/>
              <w:jc w:val="center"/>
            </w:pPr>
            <w:r>
              <w:rPr>
                <w:rFonts w:ascii="Calibri" w:hAnsi="Calibri" w:eastAsia="Microsoft YaHei"/>
                <w:b w:val="0"/>
                <w:sz w:val="19"/>
              </w:rPr>
              <w:t>POST</w:t>
            </w:r>
          </w:p>
        </w:tc>
        <w:tc>
          <w:tcPr>
            <w:tcW w:type="dxa" w:w="5326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59" w:lineRule="auto"/>
              <w:jc w:val="left"/>
            </w:pPr>
            <w:r>
              <w:rPr>
                <w:rFonts w:ascii="Consolas" w:hAnsi="Consolas" w:eastAsia="Microsoft YaHei"/>
                <w:color w:val="1F4D78"/>
                <w:sz w:val="19"/>
              </w:rPr>
              <w:t>/api/v1/evidence</w:t>
            </w:r>
          </w:p>
        </w:tc>
        <w:tc>
          <w:tcPr>
            <w:tcW w:type="dxa" w:w="3227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59" w:lineRule="auto"/>
              <w:jc w:val="left"/>
            </w:pPr>
            <w:r>
              <w:rPr>
                <w:rFonts w:ascii="Calibri" w:hAnsi="Calibri" w:eastAsia="Microsoft YaHei"/>
                <w:b w:val="0"/>
                <w:sz w:val="19"/>
              </w:rPr>
              <w:t>写入Evidence并触发风险评估</w:t>
            </w:r>
          </w:p>
        </w:tc>
      </w:tr>
      <w:tr>
        <w:tc>
          <w:tcPr>
            <w:tcW w:type="dxa" w:w="807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59" w:lineRule="auto"/>
              <w:jc w:val="center"/>
            </w:pPr>
            <w:r>
              <w:rPr>
                <w:rFonts w:ascii="Calibri" w:hAnsi="Calibri" w:eastAsia="Microsoft YaHei"/>
                <w:b w:val="0"/>
                <w:sz w:val="19"/>
              </w:rPr>
              <w:t>GET</w:t>
            </w:r>
          </w:p>
        </w:tc>
        <w:tc>
          <w:tcPr>
            <w:tcW w:type="dxa" w:w="5326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59" w:lineRule="auto"/>
              <w:jc w:val="center"/>
            </w:pPr>
            <w:r>
              <w:rPr>
                <w:rFonts w:ascii="Consolas" w:hAnsi="Consolas" w:eastAsia="Microsoft YaHei"/>
                <w:color w:val="1F4D78"/>
                <w:sz w:val="19"/>
              </w:rPr>
              <w:t>/api/v1/events</w:t>
            </w:r>
          </w:p>
        </w:tc>
        <w:tc>
          <w:tcPr>
            <w:tcW w:type="dxa" w:w="3227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59" w:lineRule="auto"/>
              <w:jc w:val="center"/>
            </w:pPr>
            <w:r>
              <w:rPr>
                <w:rFonts w:ascii="Calibri" w:hAnsi="Calibri" w:eastAsia="Microsoft YaHei"/>
                <w:b w:val="0"/>
                <w:sz w:val="19"/>
              </w:rPr>
              <w:t>查询统一事件时间轴</w:t>
            </w:r>
          </w:p>
        </w:tc>
      </w:tr>
      <w:tr>
        <w:tc>
          <w:tcPr>
            <w:tcW w:type="dxa" w:w="807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59" w:lineRule="auto"/>
              <w:jc w:val="center"/>
            </w:pPr>
            <w:r>
              <w:rPr>
                <w:rFonts w:ascii="Calibri" w:hAnsi="Calibri" w:eastAsia="Microsoft YaHei"/>
                <w:b w:val="0"/>
                <w:sz w:val="19"/>
              </w:rPr>
              <w:t>GET</w:t>
            </w:r>
          </w:p>
        </w:tc>
        <w:tc>
          <w:tcPr>
            <w:tcW w:type="dxa" w:w="5326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59" w:lineRule="auto"/>
              <w:jc w:val="left"/>
            </w:pPr>
            <w:r>
              <w:rPr>
                <w:rFonts w:ascii="Consolas" w:hAnsi="Consolas" w:eastAsia="Microsoft YaHei"/>
                <w:color w:val="1F4D78"/>
                <w:sz w:val="19"/>
              </w:rPr>
              <w:t>/api/v1/events/{id}</w:t>
            </w:r>
          </w:p>
        </w:tc>
        <w:tc>
          <w:tcPr>
            <w:tcW w:type="dxa" w:w="3227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59" w:lineRule="auto"/>
              <w:jc w:val="left"/>
            </w:pPr>
            <w:r>
              <w:rPr>
                <w:rFonts w:ascii="Calibri" w:hAnsi="Calibri" w:eastAsia="Microsoft YaHei"/>
                <w:b w:val="0"/>
                <w:sz w:val="19"/>
              </w:rPr>
              <w:t>查询证据、观测、干预和RuleTrace</w:t>
            </w:r>
          </w:p>
        </w:tc>
      </w:tr>
      <w:tr>
        <w:tc>
          <w:tcPr>
            <w:tcW w:type="dxa" w:w="807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59" w:lineRule="auto"/>
              <w:jc w:val="center"/>
            </w:pPr>
            <w:r>
              <w:rPr>
                <w:rFonts w:ascii="Calibri" w:hAnsi="Calibri" w:eastAsia="Microsoft YaHei"/>
                <w:b w:val="0"/>
                <w:sz w:val="19"/>
              </w:rPr>
              <w:t>POST</w:t>
            </w:r>
          </w:p>
        </w:tc>
        <w:tc>
          <w:tcPr>
            <w:tcW w:type="dxa" w:w="5326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59" w:lineRule="auto"/>
              <w:jc w:val="left"/>
            </w:pPr>
            <w:r>
              <w:rPr>
                <w:rFonts w:ascii="Consolas" w:hAnsi="Consolas" w:eastAsia="Microsoft YaHei"/>
                <w:color w:val="1F4D78"/>
                <w:sz w:val="19"/>
              </w:rPr>
              <w:t>/api/v1/events/{id}/intervene</w:t>
            </w:r>
          </w:p>
        </w:tc>
        <w:tc>
          <w:tcPr>
            <w:tcW w:type="dxa" w:w="3227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59" w:lineRule="auto"/>
              <w:jc w:val="center"/>
            </w:pPr>
            <w:r>
              <w:rPr>
                <w:rFonts w:ascii="Calibri" w:hAnsi="Calibri" w:eastAsia="Microsoft YaHei"/>
                <w:b w:val="0"/>
                <w:sz w:val="19"/>
              </w:rPr>
              <w:t>执行已批准干预策略</w:t>
            </w:r>
          </w:p>
        </w:tc>
      </w:tr>
      <w:tr>
        <w:tc>
          <w:tcPr>
            <w:tcW w:type="dxa" w:w="807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59" w:lineRule="auto"/>
              <w:jc w:val="center"/>
            </w:pPr>
            <w:r>
              <w:rPr>
                <w:rFonts w:ascii="Calibri" w:hAnsi="Calibri" w:eastAsia="Microsoft YaHei"/>
                <w:b w:val="0"/>
                <w:sz w:val="19"/>
              </w:rPr>
              <w:t>POST</w:t>
            </w:r>
          </w:p>
        </w:tc>
        <w:tc>
          <w:tcPr>
            <w:tcW w:type="dxa" w:w="5326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59" w:lineRule="auto"/>
              <w:jc w:val="left"/>
            </w:pPr>
            <w:r>
              <w:rPr>
                <w:rFonts w:ascii="Consolas" w:hAnsi="Consolas" w:eastAsia="Microsoft YaHei"/>
                <w:color w:val="1F4D78"/>
                <w:sz w:val="19"/>
              </w:rPr>
              <w:t>/api/v1/events/{id}/results</w:t>
            </w:r>
          </w:p>
        </w:tc>
        <w:tc>
          <w:tcPr>
            <w:tcW w:type="dxa" w:w="3227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59" w:lineRule="auto"/>
              <w:jc w:val="center"/>
            </w:pPr>
            <w:r>
              <w:rPr>
                <w:rFonts w:ascii="Calibri" w:hAnsi="Calibri" w:eastAsia="Microsoft YaHei"/>
                <w:b w:val="0"/>
                <w:sz w:val="19"/>
              </w:rPr>
              <w:t>写入老人回应或工具结果</w:t>
            </w:r>
          </w:p>
        </w:tc>
      </w:tr>
      <w:tr>
        <w:tc>
          <w:tcPr>
            <w:tcW w:type="dxa" w:w="807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59" w:lineRule="auto"/>
              <w:jc w:val="center"/>
            </w:pPr>
            <w:r>
              <w:rPr>
                <w:rFonts w:ascii="Calibri" w:hAnsi="Calibri" w:eastAsia="Microsoft YaHei"/>
                <w:b w:val="0"/>
                <w:sz w:val="19"/>
              </w:rPr>
              <w:t>POST</w:t>
            </w:r>
          </w:p>
        </w:tc>
        <w:tc>
          <w:tcPr>
            <w:tcW w:type="dxa" w:w="5326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59" w:lineRule="auto"/>
              <w:jc w:val="left"/>
            </w:pPr>
            <w:r>
              <w:rPr>
                <w:rFonts w:ascii="Consolas" w:hAnsi="Consolas" w:eastAsia="Microsoft YaHei"/>
                <w:color w:val="1F4D78"/>
                <w:sz w:val="19"/>
              </w:rPr>
              <w:t>/api/v1/events/{id}/feedback</w:t>
            </w:r>
          </w:p>
        </w:tc>
        <w:tc>
          <w:tcPr>
            <w:tcW w:type="dxa" w:w="3227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59" w:lineRule="auto"/>
              <w:jc w:val="center"/>
            </w:pPr>
            <w:r>
              <w:rPr>
                <w:rFonts w:ascii="Calibri" w:hAnsi="Calibri" w:eastAsia="Microsoft YaHei"/>
                <w:b w:val="0"/>
                <w:sz w:val="19"/>
              </w:rPr>
              <w:t>写入家属关怀或身份核验</w:t>
            </w:r>
          </w:p>
        </w:tc>
      </w:tr>
      <w:tr>
        <w:tc>
          <w:tcPr>
            <w:tcW w:type="dxa" w:w="807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59" w:lineRule="auto"/>
              <w:jc w:val="center"/>
            </w:pPr>
            <w:r>
              <w:rPr>
                <w:rFonts w:ascii="Calibri" w:hAnsi="Calibri" w:eastAsia="Microsoft YaHei"/>
                <w:b w:val="0"/>
                <w:sz w:val="19"/>
              </w:rPr>
              <w:t>GET</w:t>
            </w:r>
          </w:p>
        </w:tc>
        <w:tc>
          <w:tcPr>
            <w:tcW w:type="dxa" w:w="5326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59" w:lineRule="auto"/>
              <w:jc w:val="left"/>
            </w:pPr>
            <w:r>
              <w:rPr>
                <w:rFonts w:ascii="Consolas" w:hAnsi="Consolas" w:eastAsia="Microsoft YaHei"/>
                <w:color w:val="1F4D78"/>
                <w:sz w:val="19"/>
              </w:rPr>
              <w:t>/api/v1/events/{id}/explanation</w:t>
            </w:r>
          </w:p>
        </w:tc>
        <w:tc>
          <w:tcPr>
            <w:tcW w:type="dxa" w:w="3227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59" w:lineRule="auto"/>
              <w:jc w:val="center"/>
            </w:pPr>
            <w:r>
              <w:rPr>
                <w:rFonts w:ascii="Calibri" w:hAnsi="Calibri" w:eastAsia="Microsoft YaHei"/>
                <w:b w:val="0"/>
                <w:sz w:val="19"/>
              </w:rPr>
              <w:t>查询持久化解释，不重复调用模型</w:t>
            </w:r>
          </w:p>
        </w:tc>
      </w:tr>
      <w:tr>
        <w:tc>
          <w:tcPr>
            <w:tcW w:type="dxa" w:w="807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59" w:lineRule="auto"/>
              <w:jc w:val="center"/>
            </w:pPr>
            <w:r>
              <w:rPr>
                <w:rFonts w:ascii="Calibri" w:hAnsi="Calibri" w:eastAsia="Microsoft YaHei"/>
                <w:b w:val="0"/>
                <w:sz w:val="19"/>
              </w:rPr>
              <w:t>GET</w:t>
            </w:r>
          </w:p>
        </w:tc>
        <w:tc>
          <w:tcPr>
            <w:tcW w:type="dxa" w:w="5326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59" w:lineRule="auto"/>
              <w:jc w:val="left"/>
            </w:pPr>
            <w:r>
              <w:rPr>
                <w:rFonts w:ascii="Consolas" w:hAnsi="Consolas" w:eastAsia="Microsoft YaHei"/>
                <w:color w:val="1F4D78"/>
                <w:sz w:val="19"/>
              </w:rPr>
              <w:t>/api/v1/device/status</w:t>
            </w:r>
          </w:p>
        </w:tc>
        <w:tc>
          <w:tcPr>
            <w:tcW w:type="dxa" w:w="3227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59" w:lineRule="auto"/>
              <w:jc w:val="center"/>
            </w:pPr>
            <w:r>
              <w:rPr>
                <w:rFonts w:ascii="Calibri" w:hAnsi="Calibri" w:eastAsia="Microsoft YaHei"/>
                <w:b w:val="0"/>
                <w:sz w:val="19"/>
              </w:rPr>
              <w:t>查询脱敏设备状态</w:t>
            </w:r>
          </w:p>
        </w:tc>
      </w:tr>
      <w:tr>
        <w:tc>
          <w:tcPr>
            <w:tcW w:type="dxa" w:w="807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59" w:lineRule="auto"/>
              <w:jc w:val="center"/>
            </w:pPr>
            <w:r>
              <w:rPr>
                <w:rFonts w:ascii="Calibri" w:hAnsi="Calibri" w:eastAsia="Microsoft YaHei"/>
                <w:b w:val="0"/>
                <w:sz w:val="19"/>
              </w:rPr>
              <w:t>GET</w:t>
            </w:r>
          </w:p>
        </w:tc>
        <w:tc>
          <w:tcPr>
            <w:tcW w:type="dxa" w:w="5326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59" w:lineRule="auto"/>
              <w:jc w:val="left"/>
            </w:pPr>
            <w:r>
              <w:rPr>
                <w:rFonts w:ascii="Consolas" w:hAnsi="Consolas" w:eastAsia="Microsoft YaHei"/>
                <w:color w:val="1F4D78"/>
                <w:sz w:val="19"/>
              </w:rPr>
              <w:t>/api/v1/alarms/processing</w:t>
            </w:r>
          </w:p>
        </w:tc>
        <w:tc>
          <w:tcPr>
            <w:tcW w:type="dxa" w:w="3227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59" w:lineRule="auto"/>
              <w:jc w:val="center"/>
            </w:pPr>
            <w:r>
              <w:rPr>
                <w:rFonts w:ascii="Calibri" w:hAnsi="Calibri" w:eastAsia="Microsoft YaHei"/>
                <w:b w:val="0"/>
                <w:sz w:val="19"/>
              </w:rPr>
              <w:t>查询告警处理任务</w:t>
            </w:r>
          </w:p>
        </w:tc>
      </w:tr>
    </w:tbl>
    <w:p>
      <w:pPr>
        <w:spacing w:after="40"/>
      </w:pPr>
    </w:p>
    <w:p>
      <w:pPr>
        <w:pStyle w:val="Heading1"/>
      </w:pPr>
      <w:r>
        <w:rPr>
          <w:rFonts w:ascii="Calibri" w:hAnsi="Calibri" w:eastAsia="Microsoft YaHei"/>
          <w:b/>
        </w:rPr>
        <w:t>4 算法适配边界</w:t>
      </w:r>
    </w:p>
    <w:p>
      <w:r>
        <w:rPr>
          <w:rFonts w:ascii="Calibri" w:hAnsi="Calibri" w:eastAsia="Microsoft YaHei"/>
          <w:b w:val="0"/>
          <w:sz w:val="22"/>
        </w:rPr>
        <w:t>统一接口为</w:t>
      </w:r>
      <w:r>
        <w:rPr>
          <w:rFonts w:ascii="Consolas" w:hAnsi="Consolas" w:eastAsia="Microsoft YaHei"/>
          <w:color w:val="1F4D78"/>
          <w:sz w:val="19"/>
        </w:rPr>
        <w:t>run(AlgorithmJob) -&gt; AdapterBatch</w:t>
      </w:r>
      <w:r>
        <w:rPr>
          <w:rFonts w:ascii="Calibri" w:hAnsi="Calibri" w:eastAsia="Microsoft YaHei"/>
          <w:b w:val="0"/>
          <w:sz w:val="22"/>
        </w:rPr>
        <w:t>。算法只输出Observation、Evidence和失败状态；后端负责超时、有限重试、熔断、幂等和风险状态。媒体定位符仅在私有进程边界使用，不进入公开验收响应。</w:t>
      </w:r>
    </w:p>
    <w:p>
      <w:pPr>
        <w:pStyle w:val="Heading1"/>
      </w:pPr>
      <w:r>
        <w:rPr>
          <w:rFonts w:ascii="Calibri" w:hAnsi="Calibri" w:eastAsia="Microsoft YaHei"/>
          <w:b/>
        </w:rPr>
        <w:t>5 错误和安全</w:t>
      </w:r>
    </w:p>
    <w:p>
      <w:r>
        <w:rPr>
          <w:rFonts w:ascii="Calibri" w:hAnsi="Calibri" w:eastAsia="Microsoft YaHei"/>
          <w:b w:val="0"/>
          <w:sz w:val="22"/>
        </w:rPr>
        <w:t>业务错误返回结构化错误码、消息和request_id。Token、AppSecret、验证码、完整设备序列号、临时URL、storage_key和原始语言转写不得出现在公开响应、RuleTrace或大模型请求中。控制型解释入队接口需要</w:t>
      </w:r>
      <w:r>
        <w:rPr>
          <w:rFonts w:ascii="Consolas" w:hAnsi="Consolas" w:eastAsia="Microsoft YaHei"/>
          <w:color w:val="1F4D78"/>
          <w:sz w:val="19"/>
        </w:rPr>
        <w:t>X-Control-Token</w:t>
      </w:r>
      <w:r>
        <w:rPr>
          <w:rFonts w:ascii="Calibri" w:hAnsi="Calibri" w:eastAsia="Microsoft YaHei"/>
          <w:b w:val="0"/>
          <w:sz w:val="22"/>
        </w:rPr>
        <w:t>，浏览器不持有该令牌。</w:t>
      </w:r>
    </w:p>
    <w:sectPr w:rsidR="00FC693F" w:rsidRPr="0006063C" w:rsidSect="00034616">
      <w:headerReference w:type="default" r:id="rId9"/>
      <w:footerReference w:type="default" r:id="rId10"/>
      <w:pgSz w:w="12240" w:h="15840"/>
      <w:pgMar w:top="1440" w:right="1440" w:bottom="1440" w:left="1440" w:header="708" w:footer="708" w:gutter="0"/>
      <w:cols w:space="720"/>
      <w:titlePg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right"/>
    </w:pPr>
    <w:r>
      <w:rPr>
        <w:rFonts w:ascii="Calibri" w:hAnsi="Calibri" w:eastAsia="Microsoft YaHei"/>
        <w:color w:val="667085"/>
        <w:sz w:val="18"/>
      </w:rPr>
      <w:t xml:space="preserve">第 </w:t>
      <w:fldChar w:fldCharType="begin"/>
      <w:instrText xml:space="preserve"> PAGE </w:instrText>
      <w:fldChar w:fldCharType="separate"/>
      <w:t>1</w:t>
      <w:fldChar w:fldCharType="end"/>
    </w:r>
    <w:r>
      <w:rPr>
        <w:rFonts w:ascii="Calibri" w:hAnsi="Calibri" w:eastAsia="Microsoft YaHei"/>
        <w:color w:val="667085"/>
        <w:sz w:val="18"/>
      </w:rPr>
      <w:t xml:space="preserve"> 页</w:t>
    </w:r>
  </w:p>
</w:ftr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  <w:spacing w:after="0"/>
      <w:jc w:val="left"/>
    </w:pPr>
    <w:r>
      <w:rPr>
        <w:rFonts w:ascii="Calibri" w:hAnsi="Calibri" w:eastAsia="Microsoft YaHei"/>
        <w:color w:val="667085"/>
        <w:sz w:val="17"/>
      </w:rPr>
      <w:t>萤目守望  |  接口规范</w:t>
    </w:r>
  </w:p>
</w:hd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  <w:abstractNum w:abstractNumId="9">
    <w:multiLevelType w:val="singleLevel"/>
    <w:lvl w:ilvl="0">
      <w:start w:val="1"/>
      <w:numFmt w:val="bullet"/>
      <w:lvlText w:val="•"/>
      <w:lvlJc w:val="left"/>
      <w:pPr>
        <w:tabs>
          <w:tab w:val="num" w:pos="540"/>
        </w:tabs>
        <w:ind w:left="540" w:hanging="270"/>
      </w:pPr>
    </w:lvl>
  </w:abstractNum>
  <w:num w:numId="10">
    <w:abstractNumId w:val="9"/>
  </w:num>
  <w:abstractNum w:abstractNumId="10">
    <w:multiLevelType w:val="singleLevel"/>
    <w:lvl w:ilvl="0">
      <w:start w:val="1"/>
      <w:numFmt w:val="decimal"/>
      <w:lvlText w:val="%1."/>
      <w:lvlJc w:val="left"/>
      <w:pPr>
        <w:tabs>
          <w:tab w:val="num" w:pos="540"/>
        </w:tabs>
        <w:ind w:left="540" w:hanging="270"/>
      </w:pPr>
    </w:lvl>
  </w:abstractNum>
  <w:num w:numId="11">
    <w:abstractNumId w:val="10"/>
  </w:num>
  <w:abstractNum w:abstractNumId="11">
    <w:multiLevelType w:val="singleLevel"/>
    <w:lvl w:ilvl="0">
      <w:start w:val="1"/>
      <w:numFmt w:val="bullet"/>
      <w:lvlText w:val="☐"/>
      <w:lvlJc w:val="left"/>
      <w:pPr>
        <w:tabs>
          <w:tab w:val="num" w:pos="540"/>
        </w:tabs>
        <w:ind w:left="540" w:hanging="270"/>
      </w:pPr>
    </w:lvl>
  </w:abstractNum>
  <w:num w:numId="12">
    <w:abstractNumId w:val="1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before="0" w:after="120" w:line="300" w:lineRule="auto"/>
      <w:jc w:val="left"/>
    </w:pPr>
    <w:rPr>
      <w:rFonts w:ascii="Calibri" w:hAnsi="Calibri" w:eastAsia="Microsoft YaHei"/>
      <w:b w:val="0"/>
      <w:color w:val="000000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widowControl/>
      <w:spacing w:before="360" w:after="200"/>
      <w:outlineLvl w:val="0"/>
    </w:pPr>
    <w:rPr>
      <w:rFonts w:asciiTheme="majorHAnsi" w:eastAsiaTheme="majorEastAsia" w:hAnsiTheme="majorHAnsi" w:cstheme="majorBidi" w:ascii="Calibri" w:hAnsi="Calibri" w:eastAsia="Microsoft YaHei"/>
      <w:b/>
      <w:bCs/>
      <w:color w:val="2E74B5"/>
      <w:sz w:val="32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widowControl/>
      <w:spacing w:before="280" w:after="140"/>
      <w:outlineLvl w:val="1"/>
    </w:pPr>
    <w:rPr>
      <w:rFonts w:asciiTheme="majorHAnsi" w:eastAsiaTheme="majorEastAsia" w:hAnsiTheme="majorHAnsi" w:cstheme="majorBidi" w:ascii="Calibri" w:hAnsi="Calibri" w:eastAsia="Microsoft YaHei"/>
      <w:b/>
      <w:bCs/>
      <w:color w:val="2E74B5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widowControl/>
      <w:spacing w:before="200" w:after="100"/>
      <w:outlineLvl w:val="2"/>
    </w:pPr>
    <w:rPr>
      <w:rFonts w:asciiTheme="majorHAnsi" w:eastAsiaTheme="majorEastAsia" w:hAnsiTheme="majorHAnsi" w:cstheme="majorBidi" w:ascii="Calibri" w:hAnsi="Calibri" w:eastAsia="Microsoft YaHei"/>
      <w:b/>
      <w:bCs/>
      <w:color w:val="1F4D78"/>
      <w:sz w:val="24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paragraph" w:customStyle="1" w:styleId="YingmuCodeBlock">
    <w:name w:val="Yingmu Code Block"/>
    <w:pPr>
      <w:spacing w:before="80" w:after="160" w:line="259" w:lineRule="auto"/>
      <w:ind w:left="259" w:right="259"/>
    </w:pPr>
    <w:rPr>
      <w:rFonts w:ascii="Calibri" w:hAnsi="Calibri" w:eastAsia="Microsoft YaHei"/>
      <w:b w:val="0"/>
      <w:color w:val="17324D"/>
      <w:sz w:val="18"/>
    </w:rPr>
  </w:style>
  <w:style w:type="paragraph" w:customStyle="1" w:styleId="YingmuCallout">
    <w:name w:val="Yingmu Callout"/>
    <w:pPr>
      <w:spacing w:before="120" w:after="160" w:line="276" w:lineRule="auto"/>
      <w:ind w:left="173" w:right="173"/>
    </w:pPr>
    <w:rPr>
      <w:rFonts w:ascii="Calibri" w:hAnsi="Calibri" w:eastAsia="Microsoft YaHei"/>
      <w:b w:val="0"/>
      <w:color w:val="17324D"/>
      <w:sz w:val="20"/>
    </w:r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eader" Target="header1.xml"/><Relationship Id="rId10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“萤目守望”接口规范</dc:title>
  <dc:subject>2026年最终交付文档工作底稿</dc:subject>
  <dc:creator>萤目守望项目组</dc:creator>
  <cp:keywords>萤目守望, 居家安全, 多模态AI</cp:keywords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