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“萤目守望”隐私授权与数据脱敏说明</w:t>
      </w:r>
    </w:p>
    <w:p>
      <w:pPr>
        <w:pStyle w:val="Heading1"/>
      </w:pPr>
      <w:r>
        <w:rPr>
          <w:rFonts w:ascii="Calibri" w:hAnsi="Calibri" w:eastAsia="Microsoft YaHei"/>
          <w:b/>
        </w:rPr>
        <w:t>1 最小化原则</w:t>
      </w:r>
    </w:p>
    <w:p>
      <w:r>
        <w:rPr>
          <w:rFonts w:ascii="Calibri" w:hAnsi="Calibri" w:eastAsia="Microsoft YaHei"/>
          <w:b w:val="0"/>
          <w:sz w:val="22"/>
        </w:rPr>
        <w:t>系统只采集完成风险评估所需的视频片段、姿态关键点、动作特征和授权语言摘要。默认不上传原始图片、视频或音频给大模型，不采集身份证号、电话号码、银行卡、家庭IP或永久视频地址。</w:t>
      </w:r>
    </w:p>
    <w:p>
      <w:pPr>
        <w:pStyle w:val="Heading1"/>
      </w:pPr>
      <w:r>
        <w:rPr>
          <w:rFonts w:ascii="Calibri" w:hAnsi="Calibri" w:eastAsia="Microsoft YaHei"/>
          <w:b/>
        </w:rPr>
        <w:t>2 授权管理</w:t>
      </w:r>
    </w:p>
    <w:p>
      <w:r>
        <w:rPr>
          <w:rFonts w:ascii="Calibri" w:hAnsi="Calibri" w:eastAsia="Microsoft YaHei"/>
          <w:b w:val="0"/>
          <w:sz w:val="22"/>
        </w:rPr>
        <w:t>三名参与者分别使用匿名编号P01-P03，签署视频、肖像、实验数据和安全确认。授权记录注明允许用途、演示画面形式、保存期限、删除方式和撤回记录。未授权人员进入画面的片段不得使用。</w:t>
      </w:r>
    </w:p>
    <w:p>
      <w:pPr>
        <w:pStyle w:val="Heading1"/>
      </w:pPr>
      <w:r>
        <w:rPr>
          <w:rFonts w:ascii="Calibri" w:hAnsi="Calibri" w:eastAsia="Microsoft YaHei"/>
          <w:b/>
        </w:rPr>
        <w:t>3 存储边界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原始视频：仓库和OneDrive外的受控目录，或Git忽略的private目录。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签字原件：signed-consent私有目录，不进入公开代码包。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设备凭证：只在</w:t>
      </w:r>
      <w:r>
        <w:rPr>
          <w:rFonts w:ascii="Consolas" w:hAnsi="Consolas" w:eastAsia="Microsoft YaHei"/>
          <w:color w:val="1F4D78"/>
          <w:sz w:val="19"/>
        </w:rPr>
        <w:t>.env.local</w:t>
      </w:r>
      <w:r>
        <w:rPr>
          <w:rFonts w:ascii="Calibri" w:hAnsi="Calibri" w:eastAsia="Microsoft YaHei"/>
          <w:b w:val="0"/>
          <w:sz w:val="22"/>
        </w:rPr>
        <w:t>或受控密钥服务。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临时URL：只在后端进程内使用，不写日志和数据库公共字段。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提交材料：只包含匿名编号、统计量、脱敏截图和必要的授权说明。</w:t>
      </w:r>
    </w:p>
    <w:p>
      <w:pPr>
        <w:pStyle w:val="Heading1"/>
      </w:pPr>
      <w:r>
        <w:rPr>
          <w:rFonts w:ascii="Calibri" w:hAnsi="Calibri" w:eastAsia="Microsoft YaHei"/>
          <w:b/>
        </w:rPr>
        <w:t>4 模型与接口脱敏</w:t>
      </w:r>
    </w:p>
    <w:p>
      <w:r>
        <w:rPr>
          <w:rFonts w:ascii="Calibri" w:hAnsi="Calibri" w:eastAsia="Microsoft YaHei"/>
          <w:b w:val="0"/>
          <w:sz w:val="22"/>
        </w:rPr>
        <w:t>Qwen请求只包含匿名内部标识、RiskEvent、Evidence解释摘要、基线状态、时间范围、干预状态和能力矩阵。不得包含原始媒体、完整转写、设备序列号、Token、URL、路径或storage_key。Provider返回非法内容时不向前端展示并使用模板降级。</w:t>
      </w:r>
    </w:p>
    <w:p>
      <w:pPr>
        <w:pStyle w:val="Heading1"/>
      </w:pPr>
      <w:r>
        <w:rPr>
          <w:rFonts w:ascii="Calibri" w:hAnsi="Calibri" w:eastAsia="Microsoft YaHei"/>
          <w:b/>
        </w:rPr>
        <w:t>5 来源与模拟标识</w:t>
      </w:r>
    </w:p>
    <w:p>
      <w:r>
        <w:rPr>
          <w:rFonts w:ascii="Calibri" w:hAnsi="Calibri" w:eastAsia="Microsoft YaHei"/>
          <w:b w:val="0"/>
          <w:sz w:val="22"/>
        </w:rPr>
        <w:t>页面、日志、报告和视频统一使用</w:t>
      </w:r>
      <w:r>
        <w:rPr>
          <w:rFonts w:ascii="Consolas" w:hAnsi="Consolas" w:eastAsia="Microsoft YaHei"/>
          <w:color w:val="1F4D78"/>
          <w:sz w:val="19"/>
        </w:rPr>
        <w:t>LIVE_DEVICE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RECORDED_REPLAY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PUBLIC_DATASET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MOCK</w:t>
      </w:r>
      <w:r>
        <w:rPr>
          <w:rFonts w:ascii="Calibri" w:hAnsi="Calibri" w:eastAsia="Microsoft YaHei"/>
          <w:b w:val="0"/>
          <w:sz w:val="22"/>
        </w:rPr>
        <w:t>。受控动作、长期趋势和诈骗来访场景标记</w:t>
      </w:r>
      <w:r>
        <w:rPr>
          <w:rFonts w:ascii="Consolas" w:hAnsi="Consolas" w:eastAsia="Microsoft YaHei"/>
          <w:color w:val="1F4D78"/>
          <w:sz w:val="19"/>
        </w:rPr>
        <w:t>simulated=true</w:t>
      </w:r>
      <w:r>
        <w:rPr>
          <w:rFonts w:ascii="Calibri" w:hAnsi="Calibri" w:eastAsia="Microsoft YaHei"/>
          <w:b w:val="0"/>
          <w:sz w:val="22"/>
        </w:rPr>
        <w:t>。心理页面不作医学诊断，诈骗页面不把访客直接定性为诈骗人员。</w:t>
      </w:r>
    </w:p>
    <w:p>
      <w:pPr>
        <w:pStyle w:val="Heading1"/>
      </w:pPr>
      <w:r>
        <w:rPr>
          <w:rFonts w:ascii="Calibri" w:hAnsi="Calibri" w:eastAsia="Microsoft YaHei"/>
          <w:b/>
        </w:rPr>
        <w:t>6 提交前检查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删除</w:t>
      </w:r>
      <w:r>
        <w:rPr>
          <w:rFonts w:ascii="Consolas" w:hAnsi="Consolas" w:eastAsia="Microsoft YaHei"/>
          <w:color w:val="1F4D78"/>
          <w:sz w:val="19"/>
        </w:rPr>
        <w:t>.env</w:t>
      </w:r>
      <w:r>
        <w:rPr>
          <w:rFonts w:ascii="Calibri" w:hAnsi="Calibri" w:eastAsia="Microsoft YaHei"/>
          <w:b w:val="0"/>
          <w:sz w:val="22"/>
        </w:rPr>
        <w:t>、私有数据库、临时URL和本地绝对路径。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扫描Token、Secret、验证码和完整设备序列号。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截图和视频模糊人脸、门牌、聊天、证件和其他私人内容。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检查授权范围与实际演示画面一致。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记录保存截止日期和提交后的删除负责人。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确认撤回素材已从报告、视频和备份中移除。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隐私授权与数据脱敏说明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“萤目守望”隐私授权与数据脱敏说明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