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5670"/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УТВЕРЖДАЮ</w:t>
      </w:r>
    </w:p>
    <w:p>
      <w:pPr>
        <w:pStyle w:val="Normal"/>
        <w:ind w:left="5670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</w:r>
    </w:p>
    <w:p>
      <w:pPr>
        <w:pStyle w:val="Normal"/>
        <w:ind w:left="6372"/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Руководитель НУК ФН</w:t>
        <w:br/>
        <w:t>МГТУ им. Н.Э. Баумана</w:t>
      </w:r>
    </w:p>
    <w:p>
      <w:pPr>
        <w:pStyle w:val="Normal"/>
        <w:ind w:left="5670"/>
        <w:jc w:val="right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</w:r>
    </w:p>
    <w:p>
      <w:pPr>
        <w:pStyle w:val="Normal"/>
        <w:ind w:left="5670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________________ Гладышев В.О.</w:t>
      </w:r>
    </w:p>
    <w:p>
      <w:pPr>
        <w:pStyle w:val="Normal"/>
        <w:ind w:left="5670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</w:r>
    </w:p>
    <w:p>
      <w:pPr>
        <w:pStyle w:val="Normal"/>
        <w:ind w:left="5670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«_______»  ______________2025 г.</w:t>
      </w:r>
    </w:p>
    <w:p>
      <w:pPr>
        <w:pStyle w:val="Normal"/>
        <w:jc w:val="right"/>
        <w:rPr>
          <w:b/>
          <w:lang w:val="ru-RU"/>
        </w:rPr>
      </w:pPr>
      <w:r>
        <w:rPr>
          <w:b/>
          <w:lang w:val="ru-RU"/>
        </w:rPr>
      </w:r>
    </w:p>
    <w:p>
      <w:pPr>
        <w:pStyle w:val="Normal"/>
        <w:jc w:val="right"/>
        <w:rPr>
          <w:b/>
          <w:lang w:val="ru-RU"/>
        </w:rPr>
      </w:pPr>
      <w:r>
        <w:rPr>
          <w:b/>
          <w:lang w:val="ru-RU"/>
        </w:rPr>
      </w:r>
    </w:p>
    <w:p>
      <w:pPr>
        <w:pStyle w:val="Normal"/>
        <w:jc w:val="center"/>
        <w:rPr>
          <w:b/>
          <w:lang w:val="ru-RU"/>
        </w:rPr>
      </w:pPr>
      <w:r>
        <w:rPr>
          <w:b/>
          <w:lang w:val="ru-RU"/>
        </w:rPr>
        <w:t>ЗАКЛЮЧЕНИЕ</w:t>
      </w:r>
    </w:p>
    <w:p>
      <w:pPr>
        <w:pStyle w:val="Normal"/>
        <w:jc w:val="center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Normal"/>
        <w:jc w:val="center"/>
        <w:rPr>
          <w:b/>
          <w:lang w:val="ru-RU"/>
        </w:rPr>
      </w:pPr>
      <w:r>
        <w:rPr>
          <w:b/>
          <w:lang w:val="ru-RU"/>
        </w:rPr>
        <w:t>о возможности открытого опубликования</w:t>
      </w:r>
    </w:p>
    <w:p>
      <w:pPr>
        <w:pStyle w:val="Normal"/>
        <w:tabs>
          <w:tab w:val="clear" w:pos="708"/>
          <w:tab w:val="left" w:pos="0" w:leader="none"/>
        </w:tabs>
        <w:jc w:val="both"/>
        <w:rPr/>
      </w:pPr>
      <w:r>
        <w:rPr>
          <w:shd w:fill="auto" w:val="clear"/>
          <w:lang w:val="ru-RU"/>
        </w:rPr>
        <w:t>выпускной научно-квалификационной работы Соколова А.А. «Математические модели нелокальной термоупругости и их численная реализация»</w:t>
      </w:r>
    </w:p>
    <w:p>
      <w:pPr>
        <w:pStyle w:val="Normal"/>
        <w:tabs>
          <w:tab w:val="clear" w:pos="708"/>
          <w:tab w:val="left" w:pos="0" w:leader="none"/>
        </w:tabs>
        <w:jc w:val="both"/>
        <w:rPr>
          <w:vertAlign w:val="superscript"/>
          <w:lang w:val="ru-RU"/>
        </w:rPr>
      </w:pPr>
      <w:r>
        <w:rPr>
          <w:vertAlign w:val="superscript"/>
          <w:lang w:val="ru-RU"/>
        </w:rPr>
      </w:r>
    </w:p>
    <w:p>
      <w:pPr>
        <w:pStyle w:val="Normal"/>
        <w:jc w:val="both"/>
        <w:rPr>
          <w:b/>
          <w:lang w:val="ru-RU"/>
        </w:rPr>
      </w:pPr>
      <w:r>
        <w:rPr>
          <w:b/>
          <w:lang w:val="en-US"/>
        </w:rPr>
        <w:t>I</w:t>
      </w:r>
      <w:r>
        <w:rPr>
          <w:b/>
          <w:lang w:val="ru-RU"/>
        </w:rPr>
        <w:t>. Экспертная комиссия, назначенная приказом ректора от 28.05.2024 № 02.01-02/307ДСП</w:t>
        <w:br/>
        <w:t xml:space="preserve">в составе: </w:t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45"/>
      </w:tblGrid>
      <w:tr>
        <w:trPr/>
        <w:tc>
          <w:tcPr>
            <w:tcW w:w="934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both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 xml:space="preserve">председателя проф. Н.И. Сидняева, представителя РСО проф. Ю.И. Димитриенко и эксперта </w:t>
            </w:r>
          </w:p>
        </w:tc>
      </w:tr>
      <w:tr>
        <w:trPr/>
        <w:tc>
          <w:tcPr>
            <w:tcW w:w="9345" w:type="dxa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both"/>
              <w:rPr>
                <w:lang w:val="ru-RU"/>
              </w:rPr>
            </w:pPr>
            <w:bookmarkStart w:id="0" w:name="_GoBack"/>
            <w:bookmarkEnd w:id="0"/>
            <w:r>
              <w:rPr>
                <w:kern w:val="0"/>
                <w:sz w:val="22"/>
                <w:szCs w:val="22"/>
                <w:lang w:val="ru-RU" w:eastAsia="en-US" w:bidi="ar-SA"/>
              </w:rPr>
              <w:t xml:space="preserve">ст. преподавателя М.И. Дьяченко Научно-учебного комплекса «Фундаментальные науки» </w:t>
            </w:r>
          </w:p>
        </w:tc>
      </w:tr>
    </w:tbl>
    <w:p>
      <w:pPr>
        <w:pStyle w:val="Normal"/>
        <w:jc w:val="center"/>
        <w:rPr>
          <w:i/>
          <w:i/>
          <w:sz w:val="18"/>
          <w:szCs w:val="18"/>
          <w:u w:val="single"/>
          <w:lang w:val="ru-RU"/>
        </w:rPr>
      </w:pPr>
      <w:r>
        <w:rPr>
          <w:i/>
          <w:sz w:val="18"/>
          <w:szCs w:val="18"/>
          <w:u w:val="single"/>
          <w:lang w:val="ru-RU"/>
        </w:rPr>
        <w:t xml:space="preserve"> </w:t>
      </w:r>
      <w:r>
        <w:rPr>
          <w:i/>
          <w:sz w:val="18"/>
          <w:szCs w:val="18"/>
          <w:u w:val="single"/>
          <w:lang w:val="ru-RU"/>
        </w:rPr>
        <w:t>(наименование должностей с указанием подразделения, инициалы и фамилия членов комиссии)</w:t>
      </w:r>
    </w:p>
    <w:p>
      <w:pPr>
        <w:pStyle w:val="Normal"/>
        <w:spacing w:lineRule="auto" w:line="276" w:before="120" w:after="0"/>
        <w:jc w:val="both"/>
        <w:rPr>
          <w:b/>
          <w:lang w:val="ru-RU"/>
        </w:rPr>
      </w:pPr>
      <w:r>
        <w:rPr>
          <w:b/>
          <w:lang w:val="ru-RU"/>
        </w:rPr>
        <w:t xml:space="preserve">в период с « </w:t>
      </w:r>
      <w:r>
        <w:rPr>
          <w:b/>
          <w:highlight w:val="yellow"/>
          <w:lang w:val="ru-RU"/>
        </w:rPr>
        <w:t xml:space="preserve">02 » </w:t>
      </w:r>
      <w:bookmarkStart w:id="1" w:name="_Hlk180139235"/>
      <w:r>
        <w:rPr>
          <w:b/>
          <w:highlight w:val="yellow"/>
          <w:lang w:val="ru-RU"/>
        </w:rPr>
        <w:t xml:space="preserve">июня </w:t>
      </w:r>
      <w:bookmarkEnd w:id="1"/>
      <w:r>
        <w:rPr>
          <w:b/>
          <w:highlight w:val="yellow"/>
          <w:lang w:val="ru-RU"/>
        </w:rPr>
        <w:t>2025 г. по « 10 » июня 2025</w:t>
      </w:r>
      <w:r>
        <w:rPr>
          <w:b/>
          <w:lang w:val="ru-RU"/>
        </w:rPr>
        <w:t xml:space="preserve"> г. провела экспертизу материалов </w:t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45"/>
      </w:tblGrid>
      <w:tr>
        <w:trPr/>
        <w:tc>
          <w:tcPr>
            <w:tcW w:w="934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b w:val="false"/>
                <w:bCs w:val="false"/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b w:val="false"/>
                <w:bCs w:val="false"/>
                <w:kern w:val="0"/>
                <w:sz w:val="22"/>
                <w:szCs w:val="22"/>
                <w:shd w:fill="auto" w:val="clear"/>
                <w:lang w:val="ru-RU" w:eastAsia="en-US" w:bidi="ar-SA"/>
              </w:rPr>
              <w:t>Выпускной научно-квалификационной работы Соколова А.А. «Математические модели</w:t>
            </w:r>
          </w:p>
        </w:tc>
      </w:tr>
      <w:tr>
        <w:trPr>
          <w:trHeight w:val="88" w:hRule="atLeast"/>
        </w:trPr>
        <w:tc>
          <w:tcPr>
            <w:tcW w:w="9345" w:type="dxa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eastAsia="en-US" w:bidi="ar-SA"/>
              </w:rPr>
              <w:t>Нелокальной термоупругости и их численная реализация</w:t>
            </w:r>
            <w:r>
              <w:rPr>
                <w:kern w:val="0"/>
                <w:sz w:val="22"/>
                <w:szCs w:val="22"/>
                <w:shd w:fill="auto" w:val="clear"/>
                <w:lang w:val="ru-RU" w:eastAsia="en-US" w:bidi="ar-SA"/>
              </w:rPr>
              <w:t>»</w:t>
            </w:r>
          </w:p>
        </w:tc>
      </w:tr>
      <w:tr>
        <w:trPr/>
        <w:tc>
          <w:tcPr>
            <w:tcW w:w="9345" w:type="dxa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lang w:val="ru-RU"/>
              </w:rPr>
            </w:pPr>
            <w:r>
              <w:rPr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jc w:val="center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(наименование материалов, подлежащих экспертизе)</w:t>
      </w:r>
    </w:p>
    <w:p>
      <w:pPr>
        <w:pStyle w:val="Normal"/>
        <w:spacing w:before="40" w:after="0"/>
        <w:jc w:val="both"/>
        <w:rPr>
          <w:b/>
          <w:lang w:val="ru-RU"/>
        </w:rPr>
      </w:pPr>
      <w:r>
        <w:rPr>
          <w:b/>
          <w:lang w:val="ru-RU"/>
        </w:rPr>
        <w:t>на предмет отсутствия (наличия) в них сведений, составляющих государственную тайну, сведений, запрещенных к открытому опубликованию, и определения возможности их открытого опубликования в:</w:t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45"/>
      </w:tblGrid>
      <w:tr>
        <w:trPr/>
        <w:tc>
          <w:tcPr>
            <w:tcW w:w="934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eastAsia="en-US" w:bidi="ar-SA"/>
              </w:rPr>
              <w:t>в электронно-библиотечной системе «Банк ВКР»</w:t>
            </w:r>
          </w:p>
        </w:tc>
      </w:tr>
      <w:tr>
        <w:trPr/>
        <w:tc>
          <w:tcPr>
            <w:tcW w:w="9345" w:type="dxa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tabs>
          <w:tab w:val="clear" w:pos="708"/>
          <w:tab w:val="left" w:pos="1185" w:leader="none"/>
        </w:tabs>
        <w:jc w:val="center"/>
        <w:rPr>
          <w:sz w:val="18"/>
          <w:szCs w:val="18"/>
          <w:lang w:val="ru-RU"/>
        </w:rPr>
      </w:pPr>
      <w:bookmarkStart w:id="2" w:name="_Hlk142660869"/>
      <w:r>
        <w:rPr>
          <w:i/>
          <w:sz w:val="18"/>
          <w:szCs w:val="18"/>
          <w:lang w:val="ru-RU"/>
        </w:rPr>
        <w:t>(указывается название печатного органа, издания, журнала и пр., где предполагается публикация)</w:t>
      </w:r>
      <w:bookmarkEnd w:id="2"/>
    </w:p>
    <w:p>
      <w:pPr>
        <w:pStyle w:val="Normal"/>
        <w:tabs>
          <w:tab w:val="clear" w:pos="708"/>
          <w:tab w:val="left" w:pos="1185" w:leader="none"/>
        </w:tabs>
        <w:jc w:val="both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Normal"/>
        <w:tabs>
          <w:tab w:val="clear" w:pos="708"/>
          <w:tab w:val="left" w:pos="1185" w:leader="none"/>
        </w:tabs>
        <w:jc w:val="both"/>
        <w:rPr>
          <w:b/>
          <w:lang w:val="ru-RU"/>
        </w:rPr>
      </w:pPr>
      <w:r>
        <w:rPr>
          <w:b/>
          <w:lang w:val="en-US"/>
        </w:rPr>
        <w:t>II</w:t>
      </w:r>
      <w:r>
        <w:rPr>
          <w:b/>
          <w:lang w:val="ru-RU"/>
        </w:rPr>
        <w:t xml:space="preserve">. Экспертная комиссия, </w:t>
      </w:r>
      <w:r>
        <w:rPr>
          <w:lang w:val="ru-RU"/>
        </w:rPr>
        <w:t>руководствовалась:</w:t>
      </w:r>
    </w:p>
    <w:p>
      <w:pPr>
        <w:pStyle w:val="Normal"/>
        <w:tabs>
          <w:tab w:val="clear" w:pos="708"/>
          <w:tab w:val="left" w:pos="1185" w:leader="none"/>
        </w:tabs>
        <w:jc w:val="both"/>
        <w:rPr>
          <w:lang w:val="ru-RU"/>
        </w:rPr>
      </w:pPr>
      <w:r>
        <w:rPr>
          <w:lang w:val="ru-RU"/>
        </w:rPr>
        <w:t xml:space="preserve">– </w:t>
      </w:r>
      <w:r>
        <w:rPr>
          <w:lang w:val="ru-RU"/>
        </w:rPr>
        <w:t>Законом Российской Федерации «О государственной тайне</w:t>
      </w:r>
      <w:r>
        <w:rPr>
          <w:i/>
          <w:lang w:val="ru-RU"/>
        </w:rPr>
        <w:t xml:space="preserve">» </w:t>
      </w:r>
      <w:r>
        <w:rPr>
          <w:lang w:val="ru-RU"/>
        </w:rPr>
        <w:t xml:space="preserve">от 21.07.1993 г. № 5485-1 </w:t>
        <w:br/>
        <w:t>(в последней редакции);</w:t>
      </w:r>
    </w:p>
    <w:p>
      <w:pPr>
        <w:pStyle w:val="Normal"/>
        <w:tabs>
          <w:tab w:val="clear" w:pos="708"/>
          <w:tab w:val="left" w:pos="1185" w:leader="none"/>
        </w:tabs>
        <w:jc w:val="both"/>
        <w:rPr>
          <w:lang w:val="ru-RU"/>
        </w:rPr>
      </w:pPr>
      <w:r>
        <w:rPr>
          <w:lang w:val="ru-RU"/>
        </w:rPr>
        <w:t xml:space="preserve">– </w:t>
      </w:r>
      <w:r>
        <w:rPr>
          <w:lang w:val="ru-RU"/>
        </w:rPr>
        <w:t xml:space="preserve">Перечнем сведений, отнесенных к государственной тайне, утвержденным Указом Президента Российской Федерации от 30 ноября 1995 г. № 1203 (в последней редакции); </w:t>
      </w:r>
    </w:p>
    <w:p>
      <w:pPr>
        <w:pStyle w:val="Normal"/>
        <w:tabs>
          <w:tab w:val="clear" w:pos="708"/>
          <w:tab w:val="left" w:pos="1185" w:leader="none"/>
        </w:tabs>
        <w:jc w:val="both"/>
        <w:rPr>
          <w:lang w:val="ru-RU"/>
        </w:rPr>
      </w:pPr>
      <w:r>
        <w:rPr>
          <w:lang w:val="ru-RU"/>
        </w:rPr>
        <w:t xml:space="preserve">– </w:t>
      </w:r>
      <w:bookmarkStart w:id="3" w:name="_Hlk142660988"/>
      <w:r>
        <w:rPr>
          <w:lang w:val="ru-RU"/>
        </w:rPr>
        <w:t>Перечнем сведений, подлежащих засекречиванию, Министерства образования и науки Российской Федерации (Минобрнауки РФ), утвержденным приказом Минобрнауки РФ от 04 декабря 2023 г. № 31с;</w:t>
      </w:r>
      <w:bookmarkEnd w:id="3"/>
    </w:p>
    <w:p>
      <w:pPr>
        <w:pStyle w:val="Normal"/>
        <w:jc w:val="both"/>
        <w:rPr>
          <w:lang w:val="ru-RU"/>
        </w:rPr>
      </w:pPr>
      <w:r>
        <w:rPr>
          <w:lang w:val="ru-RU"/>
        </w:rPr>
        <w:t xml:space="preserve">– </w:t>
      </w:r>
      <w:r>
        <w:rPr>
          <w:lang w:val="ru-RU"/>
        </w:rPr>
        <w:t>Федеральным законом от 18.07.1999 № 183-0ФЗ «Об экспортном контроле»;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 xml:space="preserve">– </w:t>
      </w:r>
      <w:r>
        <w:rPr>
          <w:lang w:val="ru-RU"/>
        </w:rPr>
        <w:t>Постановлением Правительства РФ от 19.07.2022 № 1299 (ред. от 26.01.2023) «Об утверждении списка товаров и технологий двойного назначения, которые могут быть использованы при создании вооружения и военной техники и в отношении которых осуществляется экспортный контроль»;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 xml:space="preserve">– </w:t>
      </w:r>
      <w:r>
        <w:rPr>
          <w:lang w:val="ru-RU"/>
        </w:rPr>
        <w:t>Перечнем сведений Вооруженных Сил Российской Федерации (Перечнем ВС РФ), подлежащих отнесению к служебной тайне от 17.01.2022 г. № 22;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 xml:space="preserve">– </w:t>
      </w:r>
      <w:r>
        <w:rPr>
          <w:lang w:val="ru-RU"/>
        </w:rPr>
        <w:t>Перечнем сведений в области военной, военно-технической деятельности Российской Федерации, которые при их получении иностранными источниками могут быть использованы против безопасности Российской Федерации, утвержденным приказом Федеральной службы безопасности Российской Федерации 04.11.2022 г. № 547;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 xml:space="preserve">– </w:t>
      </w:r>
      <w:r>
        <w:rPr>
          <w:lang w:val="ru-RU"/>
        </w:rPr>
        <w:t>Перечнем служебной информации ограниченного распространения в МГТУ им. Н.Э. Баумана, введенным приказом ректора от 09.02.2022 № 02.01-03/1646;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 xml:space="preserve">– </w:t>
      </w:r>
      <w:r>
        <w:rPr>
          <w:lang w:val="ru-RU"/>
        </w:rPr>
        <w:t>другими нормативными документами.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120" w:after="0"/>
        <w:jc w:val="both"/>
        <w:rPr>
          <w:b/>
          <w:lang w:val="ru-RU"/>
        </w:rPr>
      </w:pPr>
      <w:r>
        <w:rPr>
          <w:b/>
          <w:lang w:val="en-US"/>
        </w:rPr>
        <w:t>III</w:t>
      </w:r>
      <w:r>
        <w:rPr>
          <w:b/>
          <w:lang w:val="ru-RU"/>
        </w:rPr>
        <w:t>. В ходе экспертизы установила:</w:t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12"/>
        <w:gridCol w:w="7932"/>
      </w:tblGrid>
      <w:tr>
        <w:trPr>
          <w:trHeight w:val="395" w:hRule="atLeast"/>
        </w:trPr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120" w:after="0"/>
              <w:jc w:val="both"/>
              <w:rPr>
                <w:lang w:val="ru-RU"/>
              </w:rPr>
            </w:pPr>
            <w:r>
              <w:rPr>
                <w:b/>
                <w:kern w:val="0"/>
                <w:sz w:val="22"/>
                <w:szCs w:val="22"/>
                <w:lang w:val="ru-RU" w:eastAsia="en-US" w:bidi="ar-SA"/>
              </w:rPr>
              <w:t>1. Сведения</w:t>
            </w:r>
          </w:p>
        </w:tc>
        <w:tc>
          <w:tcPr>
            <w:tcW w:w="7932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both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i/>
                <w:iCs/>
                <w:kern w:val="0"/>
                <w:sz w:val="22"/>
                <w:szCs w:val="22"/>
                <w:shd w:fill="auto" w:val="clear"/>
                <w:lang w:val="ru-RU" w:eastAsia="en-US" w:bidi="ar-SA"/>
              </w:rPr>
              <w:t xml:space="preserve">о математических моделях нелокальной </w:t>
            </w:r>
            <w:r>
              <w:rPr>
                <w:i/>
                <w:iCs/>
                <w:kern w:val="0"/>
                <w:sz w:val="22"/>
                <w:szCs w:val="22"/>
                <w:shd w:fill="auto" w:val="clear"/>
                <w:lang w:val="ru-RU" w:eastAsia="en-US" w:bidi="ar-SA"/>
              </w:rPr>
              <w:t>термоупругости</w:t>
            </w:r>
            <w:r>
              <w:rPr>
                <w:i/>
                <w:iCs/>
                <w:kern w:val="0"/>
                <w:sz w:val="22"/>
                <w:szCs w:val="22"/>
                <w:shd w:fill="auto" w:val="clear"/>
                <w:lang w:val="ru-RU" w:eastAsia="en-US" w:bidi="ar-SA"/>
              </w:rPr>
              <w:t xml:space="preserve">, </w:t>
            </w:r>
            <w:r>
              <w:rPr>
                <w:i/>
                <w:iCs/>
                <w:kern w:val="0"/>
                <w:sz w:val="22"/>
                <w:szCs w:val="22"/>
                <w:shd w:fill="auto" w:val="clear"/>
                <w:lang w:val="ru-RU" w:eastAsia="en-US" w:bidi="ar-SA"/>
              </w:rPr>
              <w:t xml:space="preserve">численных методах </w:t>
            </w:r>
            <w:r>
              <w:rPr>
                <w:i/>
                <w:iCs/>
                <w:kern w:val="0"/>
                <w:sz w:val="22"/>
                <w:szCs w:val="22"/>
                <w:shd w:fill="auto" w:val="clear"/>
                <w:lang w:val="ru-RU" w:eastAsia="en-US" w:bidi="ar-SA"/>
              </w:rPr>
              <w:t xml:space="preserve">  </w:t>
            </w:r>
          </w:p>
        </w:tc>
      </w:tr>
      <w:tr>
        <w:trPr/>
        <w:tc>
          <w:tcPr>
            <w:tcW w:w="9344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both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i/>
                <w:iCs/>
                <w:kern w:val="0"/>
                <w:sz w:val="22"/>
                <w:szCs w:val="22"/>
                <w:shd w:fill="auto" w:val="clear"/>
                <w:lang w:val="ru-RU" w:eastAsia="en-US" w:bidi="ar-SA"/>
              </w:rPr>
              <w:t xml:space="preserve">решения </w:t>
            </w:r>
            <w:r>
              <w:rPr>
                <w:b w:val="false"/>
                <w:bCs w:val="false"/>
                <w:i/>
                <w:iCs/>
                <w:kern w:val="0"/>
                <w:sz w:val="22"/>
                <w:szCs w:val="22"/>
                <w:shd w:fill="auto" w:val="clear"/>
                <w:lang w:val="ru-RU" w:eastAsia="en-US" w:bidi="ar-SA"/>
              </w:rPr>
              <w:t>на основе метода конечных элементов и анализе решений на примере исследовании</w:t>
            </w:r>
          </w:p>
        </w:tc>
      </w:tr>
      <w:tr>
        <w:trPr/>
        <w:tc>
          <w:tcPr>
            <w:tcW w:w="934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both"/>
              <w:rPr>
                <w:b w:val="false"/>
                <w:bCs w:val="false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b w:val="false"/>
                <w:bCs w:val="false"/>
                <w:kern w:val="0"/>
                <w:sz w:val="22"/>
                <w:szCs w:val="22"/>
                <w:lang w:val="ru-RU" w:eastAsia="en-US" w:bidi="ar-SA"/>
              </w:rPr>
              <w:t>принципов Сен-Венана и стабильности тепловых потоков, задаче о растяжении Т-образной</w:t>
            </w:r>
          </w:p>
        </w:tc>
      </w:tr>
      <w:tr>
        <w:trPr>
          <w:trHeight w:val="211" w:hRule="atLeast"/>
        </w:trPr>
        <w:tc>
          <w:tcPr>
            <w:tcW w:w="934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both"/>
              <w:rPr>
                <w:b w:val="false"/>
                <w:bCs w:val="false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b w:val="false"/>
                <w:bCs w:val="false"/>
                <w:kern w:val="0"/>
                <w:sz w:val="22"/>
                <w:szCs w:val="22"/>
                <w:lang w:val="ru-RU" w:eastAsia="en-US" w:bidi="ar-SA"/>
              </w:rPr>
              <w:t>пластины и задачи Кирша с обобщением на эллиптические вырезы</w:t>
            </w:r>
          </w:p>
        </w:tc>
      </w:tr>
    </w:tbl>
    <w:p>
      <w:pPr>
        <w:pStyle w:val="Normal"/>
        <w:ind w:firstLine="708"/>
        <w:jc w:val="center"/>
        <w:rPr>
          <w:i/>
          <w:i/>
          <w:sz w:val="18"/>
          <w:szCs w:val="18"/>
          <w:lang w:val="ru-RU"/>
        </w:rPr>
      </w:pPr>
      <w:r>
        <w:rPr>
          <w:i/>
          <w:sz w:val="18"/>
          <w:szCs w:val="18"/>
          <w:lang w:val="ru-RU"/>
        </w:rPr>
        <w:t>(конкретные сведения, содержащиеся в материалах)</w:t>
      </w:r>
    </w:p>
    <w:p>
      <w:pPr>
        <w:pStyle w:val="Normal"/>
        <w:spacing w:before="120" w:after="0"/>
        <w:jc w:val="both"/>
        <w:rPr>
          <w:lang w:val="ru-RU"/>
        </w:rPr>
      </w:pPr>
      <w:r>
        <w:rPr>
          <w:lang w:val="ru-RU"/>
        </w:rPr>
        <w:t>содержащиеся в рассматриваемых материалах,</w:t>
      </w:r>
      <w:r>
        <w:rPr>
          <w:b/>
          <w:lang w:val="ru-RU"/>
        </w:rPr>
        <w:t xml:space="preserve"> находятся только в компетенции</w:t>
      </w:r>
      <w:r>
        <w:rPr>
          <w:lang w:val="ru-RU"/>
        </w:rPr>
        <w:t xml:space="preserve"> федерального государственного автономного образовательного учреждения высшего образования «Московский государственный технический университет им. Н.Э. Баумана (национальный исследовательский университет)» (МГТУ им Н.Э. Баумана) Министерства науки и высшего образования Российской Федерации.</w:t>
      </w:r>
    </w:p>
    <w:p>
      <w:pPr>
        <w:pStyle w:val="Normal"/>
        <w:jc w:val="both"/>
        <w:rPr>
          <w:i/>
          <w:i/>
          <w:lang w:val="ru-RU"/>
        </w:rPr>
      </w:pPr>
      <w:r>
        <w:rPr>
          <w:i/>
          <w:lang w:val="ru-RU"/>
        </w:rPr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378"/>
        <w:gridCol w:w="2966"/>
      </w:tblGrid>
      <w:tr>
        <w:trPr/>
        <w:tc>
          <w:tcPr>
            <w:tcW w:w="63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both"/>
              <w:rPr>
                <w:lang w:val="ru-RU"/>
              </w:rPr>
            </w:pPr>
            <w:r>
              <w:rPr>
                <w:b/>
                <w:kern w:val="0"/>
                <w:sz w:val="22"/>
                <w:szCs w:val="22"/>
                <w:lang w:val="ru-RU" w:eastAsia="en-US" w:bidi="ar-SA"/>
              </w:rPr>
              <w:t>2. Сведения, содержащиеся в рассматриваемых материалах</w:t>
            </w:r>
          </w:p>
        </w:tc>
        <w:tc>
          <w:tcPr>
            <w:tcW w:w="296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both"/>
              <w:rPr>
                <w:b/>
                <w:lang w:val="ru-RU"/>
              </w:rPr>
            </w:pPr>
            <w:r>
              <w:rPr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344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both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i/>
                <w:iCs/>
                <w:kern w:val="0"/>
                <w:sz w:val="22"/>
                <w:szCs w:val="22"/>
                <w:shd w:fill="auto" w:val="clear"/>
                <w:lang w:val="ru-RU" w:eastAsia="en-US" w:bidi="ar-SA"/>
              </w:rPr>
              <w:t xml:space="preserve">о математических моделях нелокальной </w:t>
            </w:r>
            <w:r>
              <w:rPr>
                <w:i/>
                <w:iCs/>
                <w:kern w:val="0"/>
                <w:sz w:val="22"/>
                <w:szCs w:val="22"/>
                <w:shd w:fill="auto" w:val="clear"/>
                <w:lang w:val="ru-RU" w:eastAsia="en-US" w:bidi="ar-SA"/>
              </w:rPr>
              <w:t>термоупругости</w:t>
            </w:r>
            <w:r>
              <w:rPr>
                <w:i/>
                <w:iCs/>
                <w:kern w:val="0"/>
                <w:sz w:val="22"/>
                <w:szCs w:val="22"/>
                <w:shd w:fill="auto" w:val="clear"/>
                <w:lang w:val="ru-RU" w:eastAsia="en-US" w:bidi="ar-SA"/>
              </w:rPr>
              <w:t xml:space="preserve">, </w:t>
            </w:r>
            <w:r>
              <w:rPr>
                <w:i/>
                <w:iCs/>
                <w:kern w:val="0"/>
                <w:sz w:val="22"/>
                <w:szCs w:val="22"/>
                <w:shd w:fill="auto" w:val="clear"/>
                <w:lang w:val="ru-RU" w:eastAsia="en-US" w:bidi="ar-SA"/>
              </w:rPr>
              <w:t xml:space="preserve">численных методах </w:t>
            </w:r>
            <w:r>
              <w:rPr>
                <w:i/>
                <w:iCs/>
                <w:kern w:val="0"/>
                <w:sz w:val="22"/>
                <w:szCs w:val="22"/>
                <w:shd w:fill="auto" w:val="clear"/>
                <w:lang w:val="ru-RU" w:eastAsia="en-US" w:bidi="ar-SA"/>
              </w:rPr>
              <w:t xml:space="preserve"> </w:t>
            </w:r>
            <w:r>
              <w:rPr>
                <w:i/>
                <w:iCs/>
                <w:kern w:val="0"/>
                <w:sz w:val="22"/>
                <w:szCs w:val="22"/>
                <w:shd w:fill="auto" w:val="clear"/>
                <w:lang w:val="ru-RU" w:eastAsia="en-US" w:bidi="ar-SA"/>
              </w:rPr>
              <w:t xml:space="preserve">решения и анализе </w:t>
            </w:r>
            <w:r>
              <w:rPr>
                <w:b w:val="false"/>
                <w:bCs w:val="false"/>
                <w:i/>
                <w:iCs/>
                <w:kern w:val="0"/>
                <w:sz w:val="22"/>
                <w:szCs w:val="22"/>
                <w:shd w:fill="auto" w:val="clear"/>
                <w:lang w:val="ru-RU" w:eastAsia="en-US" w:bidi="ar-SA"/>
              </w:rPr>
              <w:t>решений на примере исследовании принципов Сен-Венана и стабильности тепловых потоков, задаче о растяжении Т-образной пластины и задачи Кирша с обобщением на эллиптические вырезы</w:t>
            </w:r>
          </w:p>
        </w:tc>
      </w:tr>
      <w:tr>
        <w:trPr/>
        <w:tc>
          <w:tcPr>
            <w:tcW w:w="934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both"/>
              <w:rPr>
                <w:b/>
                <w:highlight w:val="yellow"/>
                <w:lang w:val="ru-RU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21" w:hRule="atLeast"/>
        </w:trPr>
        <w:tc>
          <w:tcPr>
            <w:tcW w:w="9344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both"/>
              <w:rPr>
                <w:b/>
                <w:lang w:val="ru-RU"/>
              </w:rPr>
            </w:pPr>
            <w:r>
              <w:rPr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ind w:firstLine="708"/>
        <w:jc w:val="center"/>
        <w:rPr>
          <w:i/>
          <w:i/>
          <w:sz w:val="18"/>
          <w:szCs w:val="18"/>
          <w:lang w:val="ru-RU"/>
        </w:rPr>
      </w:pPr>
      <w:r>
        <w:rPr>
          <w:i/>
          <w:sz w:val="18"/>
          <w:szCs w:val="18"/>
          <w:lang w:val="ru-RU"/>
        </w:rPr>
        <w:t>(указываются сведения, содержащиеся в материалах)</w:t>
      </w:r>
    </w:p>
    <w:p>
      <w:pPr>
        <w:pStyle w:val="Normal"/>
        <w:spacing w:before="120" w:after="0"/>
        <w:jc w:val="both"/>
        <w:rPr>
          <w:b/>
          <w:sz w:val="28"/>
          <w:szCs w:val="28"/>
          <w:lang w:val="ru-RU"/>
        </w:rPr>
      </w:pPr>
      <w:bookmarkStart w:id="4" w:name="_Hlk142661512"/>
      <w:bookmarkEnd w:id="4"/>
      <w:r>
        <w:rPr>
          <w:b/>
          <w:sz w:val="28"/>
          <w:szCs w:val="28"/>
          <w:lang w:val="ru-RU"/>
        </w:rPr>
        <w:t xml:space="preserve">не подпадают под действие: 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 xml:space="preserve">– </w:t>
      </w:r>
      <w:r>
        <w:rPr>
          <w:lang w:val="ru-RU"/>
        </w:rPr>
        <w:t>Перечня сведений, составляющих государственную тайну, в соответствии со статьей 5 Закона Российской Федерации «О государственной тайне», Перечня сведений, отнесенных к государственной тайне, утвержденному Указом Президента Российской Федерации от 30 ноября 1995 г. № 1203;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 xml:space="preserve">– </w:t>
      </w:r>
      <w:r>
        <w:rPr>
          <w:lang w:val="ru-RU"/>
        </w:rPr>
        <w:t>Перечнем сведений, подлежащих засекречиванию, Министерства образования и науки Российской Федерации (Минобрнауки РФ), утвержденным приказом Минобрнауки РФ от 04 декабря 2023 г.  № 31с;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 xml:space="preserve">– </w:t>
      </w:r>
      <w:r>
        <w:rPr>
          <w:lang w:val="ru-RU"/>
        </w:rPr>
        <w:t>Перечня сведений Вооруженных Сил Российской Федерации (Перечня ВС РФ), подлежащих отнесению к служебной тайне от 17.01.2022 г. №22;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 xml:space="preserve">– </w:t>
      </w:r>
      <w:r>
        <w:rPr>
          <w:lang w:val="ru-RU"/>
        </w:rPr>
        <w:t xml:space="preserve">Перечня сведений в области военной, военно-технической деятельности Российской Федерации, которые при их получении иностранными источниками могут быть использованы против безопасности Российской Федерации», утвержденного приказом Федеральной службы безопасности Российской Федерации 04.11.2022 г. № 547; 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 xml:space="preserve">– </w:t>
      </w:r>
      <w:r>
        <w:rPr>
          <w:lang w:val="ru-RU"/>
        </w:rPr>
        <w:t xml:space="preserve">Перечня служебной информации ограниченного распространения в МГТУ им. Н.Э. Баумана, введенного приказом ректора от 09.02.2022 № 02.01-03/1646; 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>–</w:t>
      </w:r>
      <w:r>
        <w:rPr>
          <w:b/>
          <w:lang w:val="ru-RU"/>
        </w:rPr>
        <w:t xml:space="preserve"> </w:t>
      </w:r>
      <w:r>
        <w:rPr>
          <w:lang w:val="ru-RU"/>
        </w:rPr>
        <w:t>Списков контролируемых товаров и технологий, утвержденных Указом Президента Российской Федерации от 14.02.1996 № 202.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b/>
          <w:lang w:val="ru-RU"/>
        </w:rPr>
      </w:pPr>
      <w:r>
        <w:rPr>
          <w:b/>
          <w:lang w:val="ru-RU"/>
        </w:rPr>
        <w:t>Вывод: материалы не подлежат засекречиванию, не содержат сведений ограниченного распространения или сведений, поименованных в Списках контролируемых товаров и технологий, и могут быть опубликованы в открытой печати в полном объеме.</w:t>
      </w:r>
    </w:p>
    <w:p>
      <w:pPr>
        <w:pStyle w:val="Normal"/>
        <w:jc w:val="both"/>
        <w:rPr>
          <w:b/>
          <w:lang w:val="ru-RU"/>
        </w:rPr>
      </w:pPr>
      <w:r>
        <w:rPr>
          <w:b/>
          <w:lang w:val="ru-RU"/>
        </w:rPr>
      </w:r>
    </w:p>
    <w:p>
      <w:pPr>
        <w:pStyle w:val="Normal"/>
        <w:jc w:val="both"/>
        <w:rPr>
          <w:b/>
          <w:lang w:val="ru-RU"/>
        </w:rPr>
      </w:pPr>
      <w:r>
        <w:rPr>
          <w:b/>
          <w:lang w:val="ru-RU"/>
        </w:rPr>
      </w:r>
    </w:p>
    <w:p>
      <w:pPr>
        <w:pStyle w:val="Normal"/>
        <w:jc w:val="both"/>
        <w:rPr>
          <w:b/>
          <w:lang w:val="ru-RU"/>
        </w:rPr>
      </w:pPr>
      <w:r>
        <w:rPr>
          <w:b/>
          <w:lang w:val="ru-RU"/>
        </w:rPr>
      </w:r>
      <w:bookmarkStart w:id="5" w:name="_Hlk142661512"/>
      <w:bookmarkStart w:id="6" w:name="_Hlk142661512"/>
      <w:bookmarkEnd w:id="6"/>
    </w:p>
    <w:p>
      <w:pPr>
        <w:pStyle w:val="Normal"/>
        <w:tabs>
          <w:tab w:val="clear" w:pos="708"/>
          <w:tab w:val="left" w:pos="1890" w:leader="none"/>
        </w:tabs>
        <w:ind w:left="360"/>
        <w:rPr>
          <w:b/>
          <w:lang w:val="ru-RU"/>
        </w:rPr>
      </w:pPr>
      <w:r>
        <w:rPr>
          <w:b/>
          <w:lang w:val="ru-RU"/>
        </w:rPr>
        <w:t xml:space="preserve">Члены комиссии </w:t>
      </w:r>
    </w:p>
    <w:p>
      <w:pPr>
        <w:pStyle w:val="Normal"/>
        <w:tabs>
          <w:tab w:val="clear" w:pos="708"/>
          <w:tab w:val="left" w:pos="1890" w:leader="none"/>
        </w:tabs>
        <w:ind w:left="2977"/>
        <w:rPr>
          <w:b/>
          <w:lang w:val="ru-RU"/>
        </w:rPr>
      </w:pPr>
      <w:r>
        <w:rPr>
          <w:b/>
          <w:lang w:val="ru-RU"/>
        </w:rPr>
        <w:t>_________________</w:t>
      </w:r>
      <w:r>
        <w:rPr>
          <w:lang w:val="ru-RU"/>
        </w:rPr>
        <w:t xml:space="preserve"> Н.И. Сидняев</w:t>
      </w:r>
    </w:p>
    <w:p>
      <w:pPr>
        <w:pStyle w:val="Normal"/>
        <w:ind w:firstLine="708" w:left="2977"/>
        <w:rPr>
          <w:lang w:val="ru-RU"/>
        </w:rPr>
      </w:pPr>
      <w:r>
        <w:rPr>
          <w:lang w:val="ru-RU"/>
        </w:rPr>
      </w:r>
    </w:p>
    <w:p>
      <w:pPr>
        <w:pStyle w:val="Normal"/>
        <w:ind w:left="2977"/>
        <w:rPr>
          <w:lang w:val="ru-RU"/>
        </w:rPr>
      </w:pPr>
      <w:r>
        <w:rPr>
          <w:lang w:val="ru-RU"/>
        </w:rPr>
        <w:t>_________________Ю.И. Димитриенко</w:t>
      </w:r>
    </w:p>
    <w:p>
      <w:pPr>
        <w:pStyle w:val="Normal"/>
        <w:ind w:left="2977"/>
        <w:rPr>
          <w:lang w:val="ru-RU"/>
        </w:rPr>
      </w:pPr>
      <w:r>
        <w:rPr>
          <w:lang w:val="ru-RU"/>
        </w:rPr>
      </w:r>
    </w:p>
    <w:p>
      <w:pPr>
        <w:pStyle w:val="Normal"/>
        <w:ind w:left="2977"/>
        <w:rPr/>
      </w:pPr>
      <w:r>
        <w:rPr/>
        <w:t>_________________ М.И. Дьяченко</w:t>
      </w:r>
    </w:p>
    <w:p>
      <w:pPr>
        <w:pStyle w:val="Normal"/>
        <w:ind w:firstLine="708"/>
        <w:rPr>
          <w:lang w:val="ru-RU"/>
        </w:rPr>
      </w:pPr>
      <w:r>
        <w:rPr>
          <w:lang w:val="ru-RU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850" w:gutter="0" w:header="708" w:top="1134" w:footer="0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400870517"/>
    </w:sdtPr>
    <w:sdtContent>
      <w:p>
        <w:pPr>
          <w:pStyle w:val="Header"/>
          <w:jc w:val="right"/>
          <w:rPr>
            <w:sz w:val="20"/>
            <w:szCs w:val="20"/>
          </w:rPr>
        </w:pP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 xml:space="preserve"> PAGE </w:instrText>
        </w:r>
        <w:r>
          <w:rPr>
            <w:sz w:val="20"/>
            <w:szCs w:val="20"/>
          </w:rPr>
          <w:fldChar w:fldCharType="separate"/>
        </w:r>
        <w:r>
          <w:rPr>
            <w:sz w:val="20"/>
            <w:szCs w:val="20"/>
          </w:rPr>
          <w:t>2</w:t>
        </w:r>
        <w:r>
          <w:rPr>
            <w:sz w:val="20"/>
            <w:szCs w:val="20"/>
          </w:rPr>
          <w:fldChar w:fldCharType="end"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32"/>
        <w:sz w:val="32"/>
        <w:spacing w:val="0"/>
        <w:i w:val="false"/>
        <w:u w:val="none"/>
        <w:b w:val="false"/>
        <w:kern w:val="0"/>
        <w:effect w:val="none"/>
        <w:szCs w:val="32"/>
        <w:iCs w:val="false"/>
        <w:bCs w:val="false"/>
        <w:em w:val="none"/>
        <w:vanish w:val="false"/>
        <w:rFonts w:ascii="Times New Roman" w:hAnsi="Times New Roman" w:cs="Times New Roman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1288" w:hanging="72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pacing w:val="0"/>
        <w:i w:val="false"/>
        <w:u w:val="none"/>
        <w:b w:val="false"/>
        <w:kern w:val="0"/>
        <w:effect w:val="none"/>
        <w:iCs w:val="false"/>
        <w:bCs w:val="false"/>
        <w:em w:val="none"/>
        <w:vanish w:val="false"/>
        <w:rFonts w:ascii="Times New Roman" w:hAnsi="Times New Roman" w:cs="Times New Roman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080" w:hanging="72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pacing w:val="0"/>
        <w:i w:val="false"/>
        <w:u w:val="none"/>
        <w:b w:val="false"/>
        <w:kern w:val="0"/>
        <w:effect w:val="none"/>
        <w:iCs w:val="false"/>
        <w:bCs w:val="false"/>
        <w:em w:val="none"/>
        <w:vanish w:val="false"/>
        <w:color w:val="000000"/>
      </w:rPr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2782" w:hanging="108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1440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1800" w:hanging="144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2160" w:hanging="180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2520" w:hanging="21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sid w:val="00942d46"/>
    <w:pPr>
      <w:widowControl w:val="fals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GB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942d46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42d46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942d46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942d4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val="en-GB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42d4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val="en-GB"/>
    </w:rPr>
  </w:style>
  <w:style w:type="character" w:styleId="3" w:customStyle="1">
    <w:name w:val="Заголовок 3 Знак"/>
    <w:basedOn w:val="DefaultParagraphFont"/>
    <w:uiPriority w:val="9"/>
    <w:semiHidden/>
    <w:qFormat/>
    <w:rsid w:val="00942d46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val="en-GB"/>
    </w:rPr>
  </w:style>
  <w:style w:type="character" w:styleId="PlaceholderText">
    <w:name w:val="Placeholder Text"/>
    <w:uiPriority w:val="99"/>
    <w:semiHidden/>
    <w:qFormat/>
    <w:rsid w:val="00942d46"/>
    <w:rPr>
      <w:color w:val="808080"/>
    </w:rPr>
  </w:style>
  <w:style w:type="character" w:styleId="Style11" w:customStyle="1">
    <w:name w:val="Верхний колонтитул Знак"/>
    <w:basedOn w:val="DefaultParagraphFont"/>
    <w:uiPriority w:val="99"/>
    <w:qFormat/>
    <w:rsid w:val="00197e7d"/>
    <w:rPr>
      <w:rFonts w:ascii="Times New Roman" w:hAnsi="Times New Roman" w:eastAsia="Times New Roman" w:cs="Times New Roman"/>
      <w:lang w:val="en-GB"/>
    </w:rPr>
  </w:style>
  <w:style w:type="character" w:styleId="Style12" w:customStyle="1">
    <w:name w:val="Нижний колонтитул Знак"/>
    <w:basedOn w:val="DefaultParagraphFont"/>
    <w:uiPriority w:val="99"/>
    <w:qFormat/>
    <w:rsid w:val="00197e7d"/>
    <w:rPr>
      <w:rFonts w:ascii="Times New Roman" w:hAnsi="Times New Roman" w:eastAsia="Times New Roman" w:cs="Times New Roman"/>
      <w:lang w:val="en-GB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a1467d"/>
    <w:rPr>
      <w:rFonts w:ascii="Segoe UI" w:hAnsi="Segoe UI" w:eastAsia="Times New Roman" w:cs="Segoe UI"/>
      <w:sz w:val="18"/>
      <w:szCs w:val="18"/>
      <w:lang w:val="en-GB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11" w:customStyle="1">
    <w:name w:val="М_Заголовок 1 номер"/>
    <w:basedOn w:val="Heading1"/>
    <w:qFormat/>
    <w:rsid w:val="00942d46"/>
    <w:pPr>
      <w:keepNext w:val="false"/>
      <w:keepLines w:val="false"/>
      <w:widowControl/>
      <w:numPr>
        <w:ilvl w:val="0"/>
        <w:numId w:val="1"/>
      </w:numPr>
      <w:tabs>
        <w:tab w:val="clear" w:pos="708"/>
        <w:tab w:val="left" w:pos="360" w:leader="none"/>
        <w:tab w:val="left" w:pos="426" w:leader="none"/>
      </w:tabs>
      <w:spacing w:lineRule="auto" w:line="259" w:before="0" w:after="120"/>
      <w:ind w:hanging="0" w:left="0"/>
      <w:jc w:val="center"/>
    </w:pPr>
    <w:rPr>
      <w:rFonts w:ascii="Times New Roman" w:hAnsi="Times New Roman" w:eastAsia="Calibri" w:cs="Arial"/>
      <w:b/>
      <w:bCs/>
      <w:color w:themeColor="accent1" w:themeShade="bf" w:val="auto"/>
      <w:sz w:val="28"/>
      <w:lang w:val="ru-RU"/>
    </w:rPr>
  </w:style>
  <w:style w:type="paragraph" w:styleId="21" w:customStyle="1">
    <w:name w:val="М_Заголовок 2 номер"/>
    <w:basedOn w:val="Heading2"/>
    <w:qFormat/>
    <w:rsid w:val="00942d46"/>
    <w:pPr>
      <w:numPr>
        <w:ilvl w:val="1"/>
        <w:numId w:val="1"/>
      </w:numPr>
      <w:tabs>
        <w:tab w:val="clear" w:pos="708"/>
        <w:tab w:val="left" w:pos="360" w:leader="none"/>
        <w:tab w:val="left" w:pos="567" w:leader="none"/>
      </w:tabs>
      <w:spacing w:lineRule="auto" w:line="259" w:before="120" w:after="120"/>
      <w:ind w:hanging="0" w:left="0"/>
      <w:jc w:val="center"/>
    </w:pPr>
    <w:rPr>
      <w:rFonts w:ascii="Times New Roman" w:hAnsi="Times New Roman" w:eastAsia="Calibri" w:cs="Arial"/>
      <w:b/>
      <w:bCs/>
      <w:caps/>
      <w:color w:themeColor="accent1" w:themeShade="bf" w:val="auto"/>
      <w:sz w:val="28"/>
      <w:szCs w:val="28"/>
      <w:lang w:val="en-US"/>
    </w:rPr>
  </w:style>
  <w:style w:type="paragraph" w:styleId="31" w:customStyle="1">
    <w:name w:val="М_Заголовок 3 номер"/>
    <w:basedOn w:val="Heading3"/>
    <w:qFormat/>
    <w:rsid w:val="00942d46"/>
    <w:pPr>
      <w:numPr>
        <w:ilvl w:val="2"/>
        <w:numId w:val="1"/>
      </w:numPr>
      <w:tabs>
        <w:tab w:val="clear" w:pos="708"/>
        <w:tab w:val="left" w:pos="360" w:leader="none"/>
      </w:tabs>
      <w:spacing w:lineRule="auto" w:line="259" w:before="0" w:after="120"/>
      <w:ind w:hanging="0" w:left="0"/>
      <w:jc w:val="center"/>
    </w:pPr>
    <w:rPr>
      <w:rFonts w:ascii="Times New Roman" w:hAnsi="Times New Roman" w:cs="Arial"/>
      <w:b/>
      <w:bCs/>
      <w:caps/>
      <w:color w:themeColor="accent1" w:themeShade="7f" w:val="auto"/>
      <w:sz w:val="28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b670ac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197e7d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2"/>
    <w:uiPriority w:val="99"/>
    <w:unhideWhenUsed/>
    <w:rsid w:val="00197e7d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a1467d"/>
    <w:pPr/>
    <w:rPr>
      <w:rFonts w:ascii="Segoe UI" w:hAnsi="Segoe UI" w:cs="Segoe UI"/>
      <w:sz w:val="18"/>
      <w:szCs w:val="18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d63d7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Application>LibreOffice/24.2.7.2$Linux_X86_64 LibreOffice_project/420$Build-2</Application>
  <AppVersion>15.0000</AppVersion>
  <Pages>2</Pages>
  <Words>638</Words>
  <Characters>4731</Characters>
  <CharactersWithSpaces>5349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2024-10-18T07:15:00Z</dcterms:created>
  <dc:creator>User</dc:creator>
  <dc:description/>
  <dc:language>ru-RU</dc:language>
  <cp:lastModifiedBy/>
  <cp:lastPrinted>2025-06-02T08:37:00Z</cp:lastPrinted>
  <dcterms:modified xsi:type="dcterms:W3CDTF">2025-06-06T06:23:38Z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