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 xml:space="preserve">ОТЗЫВ </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официального оппонента на диссертацию А.А. Соколова</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«Математические модели нелокальной термоупругости и их численная реализация», представленную на соискание учёной степени кандидата физико-математических</w:t>
      </w:r>
      <w:r>
        <w:rPr>
          <w:rFonts w:eastAsia="Times New Roman" w:cs="Times New Roman"/>
          <w:b/>
          <w:i/>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наук по специальности 1.2.2 – Математическое моделирование, численные методы и комплексы программ</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модели. Все они разработаны для описания эффектов, которые можно обнаружить в материалах при их рассмотрении на микро- и наноуровне. При этом такие модели являются моделями макроуровня.</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В частности, в нелокальных моделях для описания дальнодействующих эффектов используют выражения типа свёртки, из-за чего конечные уравнения приобретают интегро-дифференциальную форму.</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Для верификации и валидации любых новых моделей необходимо иметь возможность построения численных решений ряда задач. Таким образом, крайне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актуальны</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задачи разработки численных алгоритмов и эффективных программных кодов для анализа новых моделей. В частности, интегро-дифференциальные уравнения, полученные при рассмотрении нелокальных моделей, требуют развития аппарата исследования, так как аппроксимация интегральных слагаемых является вычислительно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сложной</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задачей. В работе был предложен и реализован в рамках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авторского</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программного комплекса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новый</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численный метод на основе метода конечных элементов, специально адаптированный под данный класс уравнений.</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являются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актуальными</w:t>
      </w: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Научная новизна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работы заключается в разработке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новых</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эффективных методов решения задач нелокальной теплопроводности и термоупругости, реализации предложенных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новых</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алгоритмов в виде программного комплекса и проведении анализа моделей на примере решения задач с известными аналитическими решениями в классической постановке.</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Диссертация состоит из введения, пяти глав, заключения и приложения. Список литературы содержит 138  источников.</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Во введении</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обоснована актуальность темы исследований, проведён обзор литературы и методов описания материалов, обладающих микро- и наноструктурой, объяснена актуальность развития методов численного решения и анализа рассматриваемых в работе моделей, научная новизна полученных диссертантом результатов, их теоретическая и практическая значимость, вклад автора, сформулированы цели и задачи исследования, положения, выносимые автором на защиту, и другие формальные пункты, характеризующие представленную диссертацию.</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В первой главе</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представлены определяющие соотношения нелокальной среды. Определён интегральный нелокальный оператор. С использованием данного оператора были определены уравнения стационарной теплопроводности и равновесия.</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 этой же главе были предложены два параметрических семейства функций нелокального влияния: полиномиальное и экспоненциальное, заданных на областях, ограниченных кривыми Ламэ. Описан процесс вычисления нормирующих множителей и геометрический смысл параметров.</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Во второй главе</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представлены общие сведения о методе конечных элементов и описан процесс аппроксимации уравнений, после которого автор перешёл к системам линейных алгебраических уравнений, записанных в матрично-векторной форме. Полученные матрицы имеют блочную структуру, где размерность и структура блоков зависит от рассматриваемого уравнения.</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Аппроксимация интегральных слагаемых приводит к рассмотрению вложенных интегралов, где область интегрирования вложенного интеграла зависит от координат интегрирования внешнего интеграла, в связи с чем был предложен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новый</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способ квадратурной аппроксимации области нелокального влияния. Суть этого способа подразумевает аппроксимацию области нелокального влияния относительно квадратурных узлов элементов и при интегрировании включать в расчёт только те элементы, квадратурные узлы которых хотя бы частично попали под область влияния.</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Третья глава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посвящена реализации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авторского</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программного комплекса NonLocFEM. В ней приведено подробное описание структуры комплекса и его возможностей. Представлены, реализованные в программном комплексе, параллельный алгоритм ассемблирования матриц теплопроводности и жёсткости, а также алгоритм аппроксимации области нелокального влияния. Здесь же рассмотрено параметрическое семейство базисов квадратичного серендипового элемента, для которого приведена оценка параметра базиса, при которой число обусловленности матрицы будет минимальным. </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Четвёртая глава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посвящена расчётам. Представлен сравнительный анализ решений между локальной и нелокальной постановками, определены основные закономерности нелокальных решений в отношении параметров нелокальной модели.</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Проведён анализ применимости принципа Сен-Венана и его аналога для тепловой задачи — принципа стабильности тепловых потоков. Было установлено, что вдали от точек приложения нагружений, решения действительно сливаются в единую поверхность, которая обладает кромочными эффектами на свободных от условий границах.</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Также в этой главе был проведён анализ поведения решений на областях с концентраторами на примере растяжения Т-образной пластины и области с эллиптическим вырезом по центру. Было установлено, что в нелокальной постановке роль концентраторов напряжений ниже, чем в классической. При этом в окрестности концентратора наблюдается область с отрицательными значениями деформации, чего также не наблюдалось в классической постановке.</w:t>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Пятая глава</w:t>
      </w: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посвящена анализу эффективности программного комплекса NonLocFEM. Проведённый анализ эффективности параллельного алгоритма ассемблирования матриц жёсткости и теплопроводности свидетельствует о хорошей масштабируемости алгоритмов при расчётах на машинах с общей и распределённой памятью. Анализ скорости сходимости, которому посвящены два раздела главы, свидетельствуют о корректности полученной оценки оптимального параметра базиса конечных элементов, а предложенный способ предобуславливания на основе неполного разложения Холецкого ускоряет скорость сходимости метода сопряжённых градиентов в 2-2.5 раз.</w:t>
      </w:r>
    </w:p>
    <w:p>
      <w:pPr>
        <w:pStyle w:val="LOnormal"/>
        <w:keepNext w:val="false"/>
        <w:keepLines w:val="false"/>
        <w:pageBreakBefore w:val="false"/>
        <w:widowControl/>
        <w:shd w:val="clear" w:fill="auto"/>
        <w:spacing w:lineRule="auto" w:line="276" w:before="0" w:after="12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 качестве</w:t>
      </w: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8"/>
          <w:sz w:val="28"/>
          <w:szCs w:val="28"/>
          <w:u w:val="single"/>
          <w:shd w:fill="auto" w:val="clear"/>
          <w:vertAlign w:val="baseline"/>
        </w:rPr>
        <w:t>замечаний по работе</w:t>
      </w:r>
      <w:r>
        <w:rPr>
          <w:rFonts w:eastAsia="Times New Roman" w:cs="Times New Roman"/>
          <w:b w:val="false"/>
          <w:i w:val="false"/>
          <w:caps w:val="false"/>
          <w:smallCaps w:val="false"/>
          <w:strike w:val="false"/>
          <w:dstrike w:val="false"/>
          <w:color w:val="000000"/>
          <w:position w:val="0"/>
          <w:sz w:val="28"/>
          <w:sz w:val="28"/>
          <w:szCs w:val="28"/>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следует отметить следующее:</w:t>
      </w:r>
    </w:p>
    <w:p>
      <w:pPr>
        <w:pStyle w:val="LOnormal"/>
        <w:keepNext w:val="false"/>
        <w:keepLines w:val="false"/>
        <w:pageBreakBefore w:val="false"/>
        <w:widowControl/>
        <w:numPr>
          <w:ilvl w:val="0"/>
          <w:numId w:val="1"/>
        </w:numPr>
        <w:shd w:val="clear" w:fill="auto"/>
        <w:spacing w:lineRule="auto" w:line="276" w:before="0" w:after="120"/>
        <w:ind w:left="714" w:right="0" w:hanging="35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В 5 главе, при рассмотрении эффективности алгоритма ассемблирования матриц жёсткости и теплопроводности не продемонстрированы результаты ускорения алгоритма ассемблировании при использовании технологии MPI. </w:t>
      </w:r>
    </w:p>
    <w:p>
      <w:pPr>
        <w:pStyle w:val="LOnormal"/>
        <w:keepNext w:val="false"/>
        <w:keepLines w:val="false"/>
        <w:pageBreakBefore w:val="false"/>
        <w:widowControl/>
        <w:numPr>
          <w:ilvl w:val="0"/>
          <w:numId w:val="1"/>
        </w:numPr>
        <w:shd w:val="clear" w:fill="auto"/>
        <w:spacing w:lineRule="auto" w:line="276" w:before="0" w:after="0"/>
        <w:ind w:left="720" w:right="0" w:hanging="360"/>
        <w:jc w:val="both"/>
        <w:rPr>
          <w:sz w:val="28"/>
          <w:szCs w:val="28"/>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Не ясна причина использования квадратичных серендиповых элементов. Если проводить расчёты, например, билинейными элементами, будет ли большая разница между решениями? Если же использование квадратичных элементов необходимо, то почему использованы именно восьмиузловые, а не лагранжевы элементы с 9-ю узлами?</w:t>
      </w:r>
    </w:p>
    <w:p>
      <w:pPr>
        <w:pStyle w:val="LOnormal"/>
        <w:widowControl/>
        <w:numPr>
          <w:ilvl w:val="0"/>
          <w:numId w:val="1"/>
        </w:numPr>
        <w:shd w:val="clear" w:fill="auto"/>
        <w:spacing w:lineRule="auto" w:line="276" w:before="0" w:after="0"/>
        <w:ind w:left="720" w:right="0" w:hanging="360"/>
        <w:jc w:val="both"/>
        <w:rPr>
          <w:sz w:val="28"/>
          <w:szCs w:val="28"/>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 работе был проведён анализ с исследованием поведения решений при использовании двух семейств функций нелокального влияния. Однако не был получен ответ из каких соображений следует выбирать ту или иную функцию.</w:t>
      </w:r>
    </w:p>
    <w:p>
      <w:pPr>
        <w:pStyle w:val="LOnormal"/>
        <w:widowControl/>
        <w:shd w:val="clear" w:fill="auto"/>
        <w:spacing w:lineRule="auto" w:line="276" w:before="0" w:after="0"/>
        <w:ind w:left="720" w:right="0" w:hanging="360"/>
        <w:jc w:val="both"/>
        <w:rPr>
          <w:rFonts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28"/>
          <w:szCs w:val="28"/>
        </w:rPr>
      </w:r>
    </w:p>
    <w:p>
      <w:pPr>
        <w:pStyle w:val="LOnormal"/>
        <w:keepNext w:val="false"/>
        <w:keepLines w:val="false"/>
        <w:pageBreakBefore w:val="false"/>
        <w:widowControl/>
        <w:shd w:val="clear" w:fill="auto"/>
        <w:spacing w:lineRule="auto" w:line="276" w:before="0" w:after="24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LOnormal"/>
        <w:widowControl/>
        <w:shd w:val="clear" w:fill="auto"/>
        <w:spacing w:lineRule="auto" w:line="276" w:before="0" w:after="240"/>
        <w:ind w:left="0" w:right="0" w:firstLine="709"/>
        <w:jc w:val="both"/>
        <w:rPr>
          <w:sz w:val="28"/>
          <w:szCs w:val="28"/>
        </w:rPr>
      </w:pPr>
      <w:r>
        <w:rPr>
          <w:b/>
          <w:bCs/>
          <w:sz w:val="28"/>
          <w:szCs w:val="28"/>
          <w:u w:val="single"/>
        </w:rPr>
        <w:t>Основное содержание диссертации опубликовано</w:t>
      </w:r>
      <w:r>
        <w:rPr>
          <w:sz w:val="28"/>
          <w:szCs w:val="28"/>
        </w:rPr>
        <w:t xml:space="preserve"> в 5 статьях журналов списка ВАК РФ (а также наукометрических баз Scopus и Web of Science), доложено в ряде международных и всероссийских конференций. Автореферат правильно отражает содержание диссертации.</w:t>
      </w:r>
    </w:p>
    <w:p>
      <w:pPr>
        <w:pStyle w:val="LOnormal"/>
        <w:keepNext w:val="false"/>
        <w:keepLines w:val="false"/>
        <w:pageBreakBefore w:val="false"/>
        <w:widowControl/>
        <w:shd w:val="clear" w:fill="auto"/>
        <w:spacing w:lineRule="auto" w:line="276" w:before="0" w:after="0"/>
        <w:ind w:left="0" w:right="0" w:firstLine="709"/>
        <w:jc w:val="both"/>
        <w:rPr>
          <w:highlight w:val="none"/>
          <w:shd w:fill="auto" w:val="clear"/>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Диссертационная работа полностью соответствует требованиям ВАК РФ, предъявляемым к кандидатским диссертациям в соответствии с Поставлением Правительства РФ от 24.09.2013 № 842 (ред. от 01.10.2018) «О порядке присуждения учёных степеней», а её автор Соколов Андрей Александрович безусловно заслуживает присуждения ему учёной степени кандидата физико-математических наук по специальности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1.2.2 – Математическое моделирование, численные методы и комплексы программ.</w:t>
      </w:r>
    </w:p>
    <w:p>
      <w:pPr>
        <w:pStyle w:val="LOnormal"/>
        <w:spacing w:lineRule="auto" w:line="372"/>
        <w:jc w:val="both"/>
        <w:rPr>
          <w:sz w:val="28"/>
          <w:szCs w:val="28"/>
        </w:rPr>
      </w:pPr>
      <w:r>
        <w:rPr/>
      </w:r>
    </w:p>
    <w:p>
      <w:pPr>
        <w:pStyle w:val="LOnormal"/>
        <w:spacing w:lineRule="auto" w:line="372"/>
        <w:jc w:val="both"/>
        <w:rPr>
          <w:sz w:val="28"/>
          <w:szCs w:val="28"/>
        </w:rPr>
      </w:pPr>
      <w:r>
        <w:rPr/>
      </w:r>
    </w:p>
    <w:p>
      <w:pPr>
        <w:pStyle w:val="LOnormal"/>
        <w:spacing w:lineRule="auto" w:line="372"/>
        <w:jc w:val="both"/>
        <w:rPr>
          <w:sz w:val="28"/>
          <w:szCs w:val="28"/>
        </w:rPr>
      </w:pPr>
      <w:r>
        <w:rPr/>
      </w:r>
    </w:p>
    <w:p>
      <w:pPr>
        <w:pStyle w:val="LOnormal"/>
        <w:spacing w:lineRule="auto" w:line="372"/>
        <w:jc w:val="both"/>
        <w:rPr>
          <w:sz w:val="28"/>
          <w:szCs w:val="28"/>
        </w:rPr>
      </w:pPr>
      <w:r>
        <w:rPr/>
      </w:r>
    </w:p>
    <w:p>
      <w:pPr>
        <w:pStyle w:val="LOnormal"/>
        <w:spacing w:lineRule="auto" w:line="372"/>
        <w:jc w:val="both"/>
        <w:rPr>
          <w:sz w:val="28"/>
          <w:szCs w:val="28"/>
        </w:rPr>
      </w:pPr>
      <w:r>
        <w:rPr/>
      </w:r>
    </w:p>
    <w:p>
      <w:pPr>
        <w:pStyle w:val="LOnormal"/>
        <w:rPr>
          <w:sz w:val="28"/>
          <w:szCs w:val="28"/>
        </w:rPr>
      </w:pPr>
      <w:r>
        <w:rPr>
          <w:sz w:val="28"/>
          <w:szCs w:val="28"/>
        </w:rPr>
        <w:t>Официальный оппонент</w:t>
      </w:r>
    </w:p>
    <w:p>
      <w:pPr>
        <w:pStyle w:val="LOnormal"/>
        <w:rPr>
          <w:sz w:val="28"/>
          <w:szCs w:val="28"/>
        </w:rPr>
      </w:pPr>
      <w:r>
        <w:rPr>
          <w:sz w:val="28"/>
          <w:szCs w:val="28"/>
        </w:rPr>
        <w:t>Доктор физико-математических наук,</w:t>
        <w:tab/>
        <w:tab/>
        <w:tab/>
        <w:tab/>
        <w:t xml:space="preserve">               </w:t>
      </w:r>
    </w:p>
    <w:p>
      <w:pPr>
        <w:pStyle w:val="LOnormal"/>
        <w:rPr>
          <w:sz w:val="28"/>
          <w:szCs w:val="28"/>
        </w:rPr>
      </w:pPr>
      <w:r>
        <w:rPr>
          <w:sz w:val="28"/>
          <w:szCs w:val="28"/>
        </w:rPr>
        <w:t>Ведущий научный сотрудник,</w:t>
        <w:tab/>
        <w:tab/>
        <w:tab/>
        <w:tab/>
        <w:tab/>
        <w:t xml:space="preserve">               </w:t>
      </w:r>
    </w:p>
    <w:p>
      <w:pPr>
        <w:pStyle w:val="LOnormal"/>
        <w:rPr>
          <w:sz w:val="28"/>
          <w:szCs w:val="28"/>
        </w:rPr>
      </w:pPr>
      <w:r>
        <w:rPr>
          <w:sz w:val="28"/>
          <w:szCs w:val="28"/>
        </w:rPr>
        <w:t>федеральное государственное бюджетное</w:t>
        <w:tab/>
        <w:tab/>
        <w:tab/>
        <w:t xml:space="preserve">                         </w:t>
      </w:r>
    </w:p>
    <w:p>
      <w:pPr>
        <w:pStyle w:val="LOnormal"/>
        <w:jc w:val="both"/>
        <w:rPr>
          <w:sz w:val="28"/>
          <w:szCs w:val="28"/>
        </w:rPr>
      </w:pPr>
      <w:r>
        <w:rPr>
          <w:sz w:val="28"/>
          <w:szCs w:val="28"/>
        </w:rPr>
        <w:t xml:space="preserve">учреждение науки Институт проблем механики </w:t>
      </w:r>
    </w:p>
    <w:p>
      <w:pPr>
        <w:pStyle w:val="LOnormal"/>
        <w:jc w:val="both"/>
        <w:rPr>
          <w:sz w:val="28"/>
          <w:szCs w:val="28"/>
        </w:rPr>
      </w:pPr>
      <w:r>
        <w:rPr>
          <w:sz w:val="28"/>
          <w:szCs w:val="28"/>
        </w:rPr>
        <w:t>имени А.Ю. Ишлинского Российской академии наук</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119526, Россия, Москва, Пр-т Вернадского, д. 101, корп. 1 </w:t>
      </w:r>
    </w:p>
    <w:p>
      <w:pPr>
        <w:pStyle w:val="LOnormal"/>
        <w:jc w:val="both"/>
        <w:rPr>
          <w:sz w:val="28"/>
          <w:szCs w:val="28"/>
        </w:rPr>
      </w:pPr>
      <w:r>
        <w:rPr>
          <w:sz w:val="28"/>
          <w:szCs w:val="28"/>
        </w:rPr>
        <w:t>тел. +7 (495) 434-41-35</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burago@ipmnet.ru</w:t>
        <w:tab/>
        <w:tab/>
      </w:r>
    </w:p>
    <w:p>
      <w:pPr>
        <w:pStyle w:val="LOnormal"/>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shd w:val="clear" w:fill="auto"/>
        <w:spacing w:lineRule="auto" w:line="240" w:before="0" w:after="0"/>
        <w:ind w:left="0" w:right="0" w:hanging="0"/>
        <w:jc w:val="right"/>
        <w:rPr>
          <w:sz w:val="28"/>
          <w:szCs w:val="28"/>
        </w:rPr>
      </w:pPr>
      <w:r>
        <w:rPr>
          <w:sz w:val="28"/>
          <w:szCs w:val="28"/>
        </w:rPr>
        <w:t>Н.Г. Бураго</w:t>
      </w:r>
    </w:p>
    <w:p>
      <w:pPr>
        <w:pStyle w:val="LOnormal"/>
        <w:rPr>
          <w:sz w:val="28"/>
          <w:szCs w:val="28"/>
        </w:rPr>
      </w:pPr>
      <w:r>
        <w:rPr>
          <w:sz w:val="28"/>
          <w:szCs w:val="28"/>
        </w:rPr>
        <w:t xml:space="preserve">Подпись официального оппонента </w:t>
      </w:r>
    </w:p>
    <w:p>
      <w:pPr>
        <w:pStyle w:val="LOnormal"/>
        <w:rPr>
          <w:sz w:val="28"/>
          <w:szCs w:val="28"/>
        </w:rPr>
      </w:pPr>
      <w:r>
        <w:rPr>
          <w:sz w:val="28"/>
          <w:szCs w:val="28"/>
        </w:rPr>
        <w:t>Николая Георгиевича Бураго заверяю</w:t>
      </w:r>
    </w:p>
    <w:p>
      <w:pPr>
        <w:pStyle w:val="LOnormal"/>
        <w:rPr>
          <w:sz w:val="28"/>
          <w:szCs w:val="28"/>
        </w:rPr>
      </w:pPr>
      <w:r>
        <w:rPr>
          <w:sz w:val="28"/>
          <w:szCs w:val="28"/>
          <w:highlight w:val="yellow"/>
        </w:rPr>
        <w:t>должность, место работы</w:t>
        <w:tab/>
        <w:tab/>
        <w:tab/>
        <w:tab/>
        <w:tab/>
        <w:t>Имя, Отчество, Фамилия</w:t>
      </w:r>
    </w:p>
    <w:sectPr>
      <w:headerReference w:type="default" r:id="rId2"/>
      <w:footerReference w:type="even" r:id="rId3"/>
      <w:footerReference w:type="default" r:id="rId4"/>
      <w:footerReference w:type="first" r:id="rId5"/>
      <w:type w:val="nextPage"/>
      <w:pgSz w:w="11906" w:h="16838"/>
      <w:pgMar w:left="1418" w:right="851" w:gutter="0" w:header="720" w:top="1418" w:footer="720" w:bottom="777"/>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14605" cy="14605"/>
              <wp:effectExtent l="0" t="0" r="0" b="0"/>
              <wp:wrapSquare wrapText="bothSides"/>
              <wp:docPr id="1" name="Shap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rameContents"/>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r>
                            <w:rPr/>
                            <w:t>X</w:t>
                          </w:r>
                        </w:p>
                      </w:txbxContent>
                    </wps:txbx>
                    <wps:bodyPr lIns="0" rIns="0" tIns="0" bIns="0" anchor="t">
                      <a:spAutoFit/>
                    </wps:bodyPr>
                  </wps:wsp>
                </a:graphicData>
              </a:graphic>
            </wp:anchor>
          </w:drawing>
        </mc:Choice>
        <mc:Fallback>
          <w:pict>
            <v:rect id="shape_0" ID="Shape1" path="m0,0l-2147483645,0l-2147483645,-2147483646l0,-2147483646xe" stroked="f" o:allowincell="f" style="position:absolute;margin-left:0pt;margin-top:0.05pt;width:1.1pt;height:1.1pt;mso-wrap-style:square;v-text-anchor:top">
              <v:fill o:detectmouseclick="t" on="false"/>
              <v:stroke color="#3465a4" joinstyle="round" endcap="flat"/>
              <v:textbox>
                <w:txbxContent>
                  <w:p>
                    <w:pPr>
                      <w:pStyle w:val="FrameContents"/>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r>
                      <w:rPr/>
                      <w:t>X</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left" w:pos="8620"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ru-RU" w:eastAsia="zh-CN" w:bidi="hi-IN"/>
    </w:rPr>
  </w:style>
  <w:style w:type="paragraph" w:styleId="Heading1">
    <w:name w:val="Heading 1"/>
    <w:basedOn w:val="LOnormal"/>
    <w:next w:val="LOnormal"/>
    <w:qFormat/>
    <w:pPr>
      <w:keepNext w:val="true"/>
      <w:jc w:val="right"/>
    </w:pPr>
    <w:rPr>
      <w:sz w:val="24"/>
      <w:szCs w:val="24"/>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5</Pages>
  <Words>1016</Words>
  <Characters>7651</Characters>
  <CharactersWithSpaces>8706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2024-10-31T12:27:33Z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