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mo" svg:font-family="Arimo" style:font-family-generic="system" style:font-pitch="variable"/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text-align="justify" style:justify-single-word="false"/>
      <style:text-properties officeooo:paragraph-rsid="001bf440"/>
    </style:style>
    <style:style style:name="P3" style:family="paragraph" style:parent-style-name="Standard">
      <style:paragraph-properties fo:text-align="justify" style:justify-single-word="false"/>
      <style:text-properties fo:font-weight="bold" style:font-weight-asian="bold" style:font-weight-complex="bold"/>
    </style:style>
    <style:style style:name="P4" style:family="paragraph" style:parent-style-name="Standard">
      <style:paragraph-properties fo:text-align="justify" style:justify-single-word="false"/>
      <style:text-properties fo:font-weight="normal" officeooo:rsid="000998ed" officeooo:paragraph-rsid="000998ed" style:font-weight-asian="normal" style:font-weight-complex="normal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e87e1"/>
    </style:style>
    <style:style style:name="T3" style:family="text">
      <style:text-properties officeooo:rsid="000fb849"/>
    </style:style>
    <style:style style:name="T4" style:family="text">
      <style:text-properties officeooo:rsid="00118296"/>
    </style:style>
    <style:style style:name="T5" style:family="text">
      <style:text-properties officeooo:rsid="0013253a"/>
    </style:style>
    <style:style style:name="T6" style:family="text">
      <style:text-properties officeooo:rsid="00138a5f"/>
    </style:style>
    <style:style style:name="T7" style:family="text">
      <style:text-properties officeooo:rsid="00155efa"/>
    </style:style>
    <style:style style:name="T8" style:family="text">
      <style:text-properties officeooo:rsid="00166723"/>
    </style:style>
    <style:style style:name="T9" style:family="text">
      <style:text-properties officeooo:rsid="0016cf54"/>
    </style:style>
    <style:style style:name="T10" style:family="text">
      <style:text-properties officeooo:rsid="0017c761"/>
    </style:style>
    <style:style style:name="T11" style:family="text">
      <style:text-properties officeooo:rsid="0019dc71"/>
    </style:style>
    <style:style style:name="T12" style:family="text">
      <style:text-properties officeooo:rsid="001ba825"/>
    </style:style>
    <style:style style:name="T13" style:family="text">
      <style:text-properties officeooo:rsid="001bf440"/>
    </style:style>
    <style:style style:name="T14" style:family="text">
      <style:text-properties officeooo:rsid="001ec248"/>
    </style:style>
    <style:style style:name="T15" style:family="text">
      <style:text-properties officeooo:rsid="00209115"/>
    </style:style>
    <style:style style:name="T16" style:family="text">
      <style:text-properties officeooo:rsid="00246cb0"/>
    </style:style>
    <style:style style:name="T17" style:family="text">
      <style:text-properties officeooo:rsid="002548a5"/>
    </style:style>
    <style:style style:name="T18" style:family="text">
      <style:text-properties officeooo:rsid="0026f28c"/>
    </style:style>
    <style:style style:name="T19" style:family="text">
      <style:text-properties officeooo:rsid="00274f0b"/>
    </style:style>
    <style:style style:name="T20" style:family="text">
      <style:text-properties officeooo:rsid="002782d1"/>
    </style:style>
    <style:style style:name="T21" style:family="text">
      <style:text-properties officeooo:rsid="0027f9c0"/>
    </style:style>
    <style:style style:name="T22" style:family="text">
      <style:text-properties officeooo:rsid="0028ba31"/>
    </style:style>
    <style:style style:name="T23" style:family="text">
      <style:text-properties officeooo:rsid="0029c034"/>
    </style:style>
    <style:style style:name="T24" style:family="text">
      <style:text-properties officeooo:rsid="002a1cc5"/>
    </style:style>
    <style:style style:name="T25" style:family="text">
      <style:text-properties officeooo:rsid="002a49e2"/>
    </style:style>
    <style:style style:name="T26" style:family="text">
      <style:text-properties officeooo:rsid="002b070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Слайд 1</text:span>
      </text:p>
      <text:p text:style-name="P4">Действительно, в работе сделан акцент на решение модельных задач…</text:p>
      <text:p text:style-name="P4">(пока что не придумал как получше ответить на эту группу вопросов).</text:p>
      <text:p text:style-name="P1">
        <text:span text:style-name="T1"/>
      </text:p>
      <text:p text:style-name="P3">Слайд 2</text:p>
      <text:p text:style-name="P1">
        Параметры p_1, p_2, функция нелокального влияния phi и область нелокального влияния S' являются модельными параметрами. Для их определения необходимо провести серию экспериментов и по 
        <text:span text:style-name="T2">данным из них</text:span>
         можно будет подобрать необходимые параметры.
      </text:p>
      <text:p text:style-name="P1"/>
      <text:p text:style-name="P1">
        Что касается 
        <text:span text:style-name="T3">предложенных</text:span>
         в работе семейств функций нелокального влияния, то в работе я провёл достаточно подробное исследование 
        <text:span text:style-name="T4">на эту тему,</text:span>
        <text:span text:style-name="T4">варьировал основные параметры функций</text:span>
        , установил закономерности, которыми обладают решения при тех или иных параметрах, но не увидел качественных различий между решениями, только количественные, 
        <text:span text:style-name="T4">которые проще варьировать, например,</text:span>
         весовыми параметрами модели. Поэтому остановил свой выбор на квадратичной параболе по причине простоты и скорости 
        <text:span text:style-name="T5">её </text:span>
        вычислен
        <text:span text:style-name="T5">ия</text:span>
        . 
        <text:span text:style-name="T4">Разумеется, выбор функций не </text:span>
        <text:span text:style-name="T5">ограничен</text:span>
        <text:span text:style-name="T4"> </text:span>
        <text:span text:style-name="T5">предложенными</text:span>
        <text:span text:style-name="T4"> в работе семействами и можно подобрать другие, </text:span>
        <text:span text:style-name="T6">которые возможно будут обладать дополнительными свойствами</text:span>
        <text:span text:style-name="T4">.</text:span>
      </text:p>
      <text:p text:style-name="P1"/>
      <text:p text:style-name="P3">Слайд 3</text:p>
      <text:p text:style-name="P1">Здесь я согласен, что нужно было добавить больше пояснений и ссылок. Формула (1.1) была моей попыткой обобщить постановку нелокальных задач путём введения интегрального оператора, но после разговоров с Михаилом Ушангиевичем, из ведущей организации, мне стало понятно, что для этого необходимо было внести более строгий формализм в повествовании.</text:p>
      <text:p text:style-name="P1"/>
      <text:p text:style-name="P3">Слайд 4</text:p>
      <text:p text:style-name="P1">
        С данными замечаниями 
        <text:span text:style-name="T7">тоже</text:span>
         полностью согласен. Часть из них просто опечатки, другая часть недостаточное внимание к деталям пояснения. В будущем буду внимательней относиться к своим выкладкам 
        <text:span text:style-name="T8">и текстам</text:span>
        .
      </text:p>
      <text:p text:style-name="P1"/>
      <text:p text:style-name="P3">Слайд 5</text:p>
      <text:p text:style-name="P1">
        С одной стороны 
        <text:span text:style-name="T9">это</text:span>
         хорошая идея добавить модуль для какого-нибудь популярного программного комплекса, так как нелокальные эффекты меняют лишь алгоритмы ассемблирования матриц жёсткости и теплопроводности, 
        <text:span text:style-name="T10">а другие части алгоритма остаются неизменными</text:span>
        . С другой стороны, в этом и кроется основная проблема, так как для нелокальных задач мне пришлось значительно пересмотреть многие вещи связанные с алгоритмом ассемблирования. И то, что хорошо и эффективно работает для локальных матриц, плохо масштабируется на нелокальный случай и наоборот. Более того, написание собственного программного комплекса даёт большую свободу в выборе постановок задач, хотя этот путь, разумеется, и более 
        <text:span text:style-name="T11">трудный</text:span>
        .
      </text:p>
      <text:p text:style-name="P1"/>
      <text:p text:style-name="P1">
        Насчёт сравнения метода конечных элементов и метода контрольных объёмов, вопрос понятен. Тут, отчасти, дело вкуса и потребностей. Метод конечных элементов даёт гарантию лишь для глобального выполнения балансовых соотношений, в отличие от метода конечных объёмов, который гарантирует 
        <text:span text:style-name="T12">их</text:span>
         локальное выполнение. Но в то же время, методом конечных элементов легче моделировать мультифизические задачи, так как можно менять базисы и геометрию самих элементов без изменения общего алгоритма решения. Хотя, скорее всего, метод конечных элементов может быть и более трудоёмким с вычислительной точки зрения.
      </text:p>
      <text:p text:style-name="P1"/>
      <text:p text:style-name="P3">Слайд 6</text:p>
      <text:p text:style-name="P2">
        <text:soft-page-break/>
        Использование квадратичных серендиповых элементов было обусловлено желанием получить более точные результаты решений. И вместе с этим изучить вопрос 
        <text:span text:style-name="T14">связанный с числом обусловленности рассматриваемых систем</text:span>
        <text:span text:style-name="T13">. </text:span>
        <text:span text:style-name="T15">Но по счастливой случайности</text:span>
        <text:span text:style-name="T13">, во время изучения этого вопроса удалось </text:span>
        <text:span text:style-name="T15">ещё</text:span>
        <text:span text:style-name="T13"> обнаружить, что в нелокальном случае число обусловленности становится меньше и метод сопряжённых градиентов сходится быстрее. Именно поэтому я решил добавить это исследование в свою работу.</text:span>
      </text:p>
      <text:p text:style-name="P1"/>
      <text:p text:style-name="P1">
        Если сравнивать восьмиузловой элемент с билинейными элементами, то при достаточно высокой степени дискретизации, наверное, можно обойтись и 
        <text:span text:style-name="T16">билинейными</text:span>
        . Разница между решениями билинейными элементами и квадратичными в нелокальном случае есть, но при высокой степени дискретизации она не столь значительна. Что касается лагранж
        <text:span text:style-name="T17">е</text:span>
        вы
        <text:span text:style-name="T17">х</text:span>
         элемент
        <text:span text:style-name="T17">ов</text:span>
        , то по сравнению с серендиповыми, они оказываются слишком дорогими в 
        <text:span text:style-name="T18">использовании</text:span>
        . По объёму памяти задача в нелокальной постановке занимает почти в два раза больше места, по времени счёта тоже.
      </text:p>
      <text:p text:style-name="P1"/>
      <text:p text:style-name="P1">Насчёт соотношения размеров элементов сетки и радиуса нелокальности. Хороший вопрос. Глубоких исследований на эту тему я не проводил, но одно могу сказать точно, размер элементов должен быть меньше радиуса нелокальности. Так же отмечу, что в работе использовал либо равномерные, либо близкие к равномерным сетки, чтобы у каждого элемента было примерно одинаковое количество соседей.</text:p>
      <text:p text:style-name="P1"/>
      <text:p text:style-name="P3">Слайд 7</text:p>
      <text:p text:style-name="P1">
        Здесь стоит сказать, что при расчёте эффективности параллельных вычислений я делал замеры времени для всей операции ассемблирования, включая время необходимо на формирование портрета матрицы и выделение памяти. Вероятно из-за этих операций конечные результаты получились 
        <text:span text:style-name="T19">не совсем корректными</text:span>
        .
      </text:p>
      <text:p text:style-name="P1"/>
      <text:p text:style-name="P1">Что касается абсолютных затрат времени, то здесь при сравнении стоит учитывать множество факторов. Во-первых размерность задачи, то есть на какой сетке мы считаем и как много элементов в этой сетке. Во-вторых радиус нелокальности, чем он больше, тем объёмнее задача и соответственно дольше сам расчёт.</text:p>
      <text:p text:style-name="P1"/>
      <text:p text:style-name="P1">
        Если 
        <text:span text:style-name="T20">говорить о тех задачах</text:span>
        , которые я 
        <text:span text:style-name="T21">решал</text:span>
         в рамках своей работы, то 
        <text:span text:style-name="T22">в среднем картина следующая: л</text:span>
        окальные задачи целиком, то есть от начала и до конца, решались от нескольких секунд, до пары минут; 
        <text:span text:style-name="T23">н</text:span>
        елокальные задачи от 
        <text:span text:style-name="T23">5</text:span>
         минут, до 2 часов.
      </text:p>
      <text:p text:style-name="P1"/>
      <text:p text:style-name="P3">Слайд 8</text:p>
      <text:p text:style-name="P1">Основная идея в использовании в качестве предобуславливателя неполное разложение Холецкого заключается в том, что локальная матрица занимает на порядок, иногда даже на несколько порядков, меньше оперативной памяти, по сравнению с нелокальной. Поэтому использование таких &lt;&lt;серьёзных&gt;&gt; параллельных библиотек для настолько вычислительно простой задачи не имеет практического смысла.</text:p>
      <text:p text:style-name="P1"/>
      <text:p text:style-name="P1">
        В моей программе была использована готовая реализация из библиотеки линейной алгебры Eigen и 
        <text:span text:style-name="T24">ввиду небольшого размера этих матриц,</text:span>
         каждый отдельный процесс хранит в себе копию этого разложения.
      </text:p>
      <text:p text:style-name="P1"/>
      <text:p text:style-name="P1">
        Использование предобуславливателей на основе многосетного метода может быть 
        <text:span text:style-name="T25">перспетивной</text:span>
         идеей, 
        <text:span text:style-name="T26">которая</text:span>
         требу
        <text:span text:style-name="T26">ет</text:span>
         адаптации под рассматриваемые задачи. Пока что я этим ещё не занимался.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2024-12-14T00:57:03.675820009</dc:date>
    <meta:editing-duration>PT19M11S</meta:editing-duration>
    <meta:editing-cycles>33</meta:editing-cycles>
    <meta:generator>LibreOffice/7.3.7.2$Linux_X86_64 LibreOffice_project/30$Build-2</meta:generator>
    <meta:document-statistic meta:table-count="0" meta:image-count="0" meta:object-count="0" meta:page-count="2" meta:paragraph-count="25" meta:word-count="801" meta:character-count="5913" meta:non-whitespace-character-count="513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39370</config:config-item>
      <config:config-item config:name="ViewAreaLeft" config:type="long">0</config:config-item>
      <config:config-item config:name="ViewAreaWidth" config:type="long">23550</config:config-item>
      <config:config-item config:name="ViewAreaHeight" config:type="long">21354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10269</config:config-item>
          <config:config-item config:name="ViewTop" config:type="long">56071</config:config-item>
          <config:config-item config:name="VisibleLeft" config:type="long">0</config:config-item>
          <config:config-item config:name="VisibleTop" config:type="long">39370</config:config-item>
          <config:config-item config:name="VisibleRight" config:type="long">23548</config:config-item>
          <config:config-item config:name="VisibleBottom" config:type="long">60722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2819855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565993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mo" svg:font-family="Arimo" style:font-family-generic="system" style:font-pitch="variable"/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DejaVu Sans" style:font-size-asian="12pt" style:language-asian="none" style:country-asian="none" style:font-name-complex="Arimo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