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3"/>
        <w:numPr>
          <w:ilvl w:val="0"/>
          <w:numId w:val="0"/>
        </w:numPr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8"/>
        <w:gridCol w:w="4818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МОСКОВСКИЙ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ГОСУДАРСТВЕННЫЙ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УНИВЕРСИТЕТ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имени М.В. Ломоносова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(МГУ)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Ленинские горы, Москва,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ГСП-1, 119991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Тел.: 939-10-00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Факс: 939-01-26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___________№_____________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На №_____________________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«У Т В Е Р Ж Д А Ю»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МГУ имени М.В. Ломоносова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</w:t>
            </w:r>
          </w:p>
          <w:p>
            <w:pPr>
              <w:pStyle w:val="TableContents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А.А. Федянин</w:t>
            </w:r>
          </w:p>
        </w:tc>
      </w:tr>
    </w:tbl>
    <w:p>
      <w:pPr>
        <w:pStyle w:val="BodyText3"/>
        <w:numPr>
          <w:ilvl w:val="0"/>
          <w:numId w:val="0"/>
        </w:numPr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BodyText3"/>
        <w:numPr>
          <w:ilvl w:val="0"/>
          <w:numId w:val="0"/>
        </w:numPr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BodyText3"/>
        <w:numPr>
          <w:ilvl w:val="0"/>
          <w:numId w:val="0"/>
        </w:numPr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BodyText3"/>
        <w:numPr>
          <w:ilvl w:val="0"/>
          <w:numId w:val="0"/>
        </w:numPr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ОТЗЫВ ВЕДУЩЕЙ ОРГАНИЗАЦИИ</w:t>
      </w:r>
    </w:p>
    <w:p>
      <w:pPr>
        <w:pStyle w:val="BodyText3"/>
        <w:numPr>
          <w:ilvl w:val="0"/>
          <w:numId w:val="0"/>
        </w:numPr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pacing w:val="-4"/>
          <w:sz w:val="28"/>
          <w:szCs w:val="28"/>
        </w:rPr>
        <w:t>Федерального государственного бюджетного</w:t>
      </w:r>
    </w:p>
    <w:p>
      <w:pPr>
        <w:pStyle w:val="BodyText3"/>
        <w:numPr>
          <w:ilvl w:val="0"/>
          <w:numId w:val="0"/>
        </w:numPr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pacing w:val="-4"/>
          <w:sz w:val="28"/>
          <w:szCs w:val="28"/>
        </w:rPr>
        <w:t>Образовательного учреждения высшего образования</w:t>
      </w:r>
    </w:p>
    <w:p>
      <w:pPr>
        <w:pStyle w:val="BodyText3"/>
        <w:numPr>
          <w:ilvl w:val="0"/>
          <w:numId w:val="0"/>
        </w:numPr>
        <w:outlineLvl w:val="0"/>
        <w:rPr/>
      </w:pPr>
      <w:r>
        <w:rPr>
          <w:b w:val="false"/>
          <w:bCs w:val="false"/>
          <w:color w:val="000000"/>
          <w:spacing w:val="-4"/>
          <w:sz w:val="28"/>
          <w:szCs w:val="28"/>
        </w:rPr>
        <w:t>«Московский государственный университет имени М.В. Ломоносова»</w:t>
      </w:r>
    </w:p>
    <w:p>
      <w:pPr>
        <w:pStyle w:val="Defaul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на диссертацию А.А. Соколова «Математические модели нелокальной термоупругости и их численная реализация», представленную на соискание учёной степени кандидата физико-математических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наук по специальности 1.2.2 – Математическое моделирование, численные методы и комплексы программ</w:t>
      </w:r>
    </w:p>
    <w:p>
      <w:pPr>
        <w:pStyle w:val="BodyText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материалов с заранее определёнными физико-механическими свойствами, которые проявляются в зависимости от условий их использования, является важной задачей в механике деформируемых твёрдых тел. Решение этой задачи связано с возможностью управления внутренней структурой материалов, включая создание иерархий моделей, описывающих материал на разных масштабных уровнях, на каждом из которых действуют свои специфические соотношения. Первые шаги в этом направлении были сделаны в результате активного развития механики композитов и соответствующего математического аппарата, связанного с разрывными функциями, в последней трети XX века. С начала XXI века наблюдается активное развитие механики нанокомпозитов, а также различных теорий, таких как моментные, нелокальные, микрополярные и микроморфные, которые не зависят от принципа инвариантности относительно масштабов длины и времени. В связи с этим данная диссертационная работа, посвящённая исследованию математических моделей термомеханических процессов в структурно-чувствительных материалах и элементах композиционных конструкций, имеет важное прикладное значение и является </w:t>
      </w:r>
      <w:r>
        <w:rPr>
          <w:b/>
          <w:bCs/>
          <w:sz w:val="28"/>
          <w:szCs w:val="28"/>
          <w:lang w:val="ru-RU"/>
        </w:rPr>
        <w:t>актуальной</w:t>
      </w:r>
      <w:r>
        <w:rPr>
          <w:sz w:val="28"/>
          <w:szCs w:val="28"/>
          <w:lang w:val="ru-RU"/>
        </w:rPr>
        <w:t xml:space="preserve"> в современных условиях.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этом стоит отметить, что важным этапом исследования моделей является их адаптация для вычислительных машин в виде численных методов, с последующей реализацией в виде программного комплекса. В рамках текущей работы, Соколов А.А. реализовал программный комплекс NonLocFEM, специально разработанный для решения задач термомеханики в нелокальных постановках, а представленные в работе результаты свидетельствуют о достоверности вычислений и высокой эффективности комплекса.</w:t>
      </w:r>
    </w:p>
    <w:p>
      <w:pPr>
        <w:pStyle w:val="TextBody"/>
        <w:spacing w:lineRule="auto" w:line="372"/>
        <w:rPr/>
      </w:pPr>
      <w:r>
        <w:rPr>
          <w:sz w:val="28"/>
          <w:szCs w:val="28"/>
          <w:lang w:val="ru-RU"/>
        </w:rPr>
        <w:t>Работа состоит из введения, пяти глав, заключения, списка литературы и приложения; её объём составляет 111 страниц, в тексте имеются 37 рисунков и 9 таблиц. Список литературы включает 138 позиций.</w:t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lang w:val="ru-RU"/>
        </w:rPr>
        <w:t>Во введении</w:t>
      </w:r>
      <w:r>
        <w:rPr>
          <w:sz w:val="28"/>
          <w:szCs w:val="28"/>
          <w:lang w:val="ru-RU"/>
        </w:rPr>
        <w:t xml:space="preserve"> проведён обзор инженерных приложений, в которых могут быть востребованы задачи теплопроводности и термоупругости. Определена проблема моделирования поведения материалов, обладающих микро- и наноструктурой и иерархия моделей механики твёрдого тела. После этого Соколов А.А. приводит широкий обзор моделей обобщённой механики сплошной среды и останавливается на рассмотрении нелокальных моделей, их особенностях и методах численного исследования. Помимо обзорной части здесь также определены цели работы, её научная новизна, практическая значимость и личный вклад соискателя.</w:t>
      </w:r>
    </w:p>
    <w:p>
      <w:pPr>
        <w:pStyle w:val="TextBody"/>
        <w:spacing w:lineRule="auto" w:line="372"/>
        <w:rPr>
          <w:shd w:fill="FFFF00" w:val="clear"/>
        </w:rPr>
      </w:pPr>
      <w:r>
        <w:rPr>
          <w:b/>
          <w:bCs/>
          <w:sz w:val="28"/>
          <w:szCs w:val="28"/>
          <w:lang w:val="ru-RU"/>
        </w:rPr>
        <w:t xml:space="preserve">Глава 1 </w:t>
      </w:r>
      <w:r>
        <w:rPr>
          <w:sz w:val="28"/>
          <w:szCs w:val="28"/>
          <w:lang w:val="ru-RU"/>
        </w:rPr>
        <w:t>посвящена описанию основных соотношений нелокальных моделей теплопроводности и термоупругости. Представлен интегральный нелокальный оператор и определённые с его помощью вектор плотности теплового потока и тензор напряжений, которые используются при описании уравнения стационарной теплопроводности и равновесия.</w:t>
      </w:r>
    </w:p>
    <w:p>
      <w:pPr>
        <w:pStyle w:val="TextBody"/>
        <w:spacing w:lineRule="auto" w:line="372"/>
        <w:rPr/>
      </w:pPr>
      <w:r>
        <w:rPr>
          <w:sz w:val="28"/>
          <w:szCs w:val="28"/>
          <w:lang w:val="ru-RU"/>
        </w:rPr>
        <w:t>Нелокальная модель обладает тремя основными параметрами: весовой параметр, область нелокального влияния и функция нелокального влияния. Последние два параметра тесно связаны между собой, поэтому их определению посвящён целый раздел главы, где Соколов А.А. рассуждает о возможных вариациях областей нелокального влияния и определяет на них два семейства функций нелокального влияния: полиномиальное и экспоненциальное.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Глава 2</w:t>
      </w:r>
      <w:r>
        <w:rPr>
          <w:sz w:val="28"/>
          <w:szCs w:val="28"/>
          <w:lang w:val="ru-RU"/>
        </w:rPr>
        <w:t xml:space="preserve"> развивает методы численного решения уравнений при помощи метода конечных элементов. Был предложен способ квадратурной аппроксимации области нелокального влияния, где область нелокального влияния необходимо аппроксимировать относительно квадратурных узлов сетки. В конечном итоге автор приходит к системам линейных алгебраических уравнений (СЛАУ), в которых, аналогично интегральному нелокальному оператора, матрицы теплопроводности и жёсткости представлены в виде взвешенной суммы.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Глава 3 </w:t>
      </w:r>
      <w:r>
        <w:rPr>
          <w:sz w:val="28"/>
          <w:szCs w:val="28"/>
          <w:lang w:val="ru-RU"/>
        </w:rPr>
        <w:t>посвящена реализации программного комплекса NonLocFEM. В этой главе описана структура комплекса и приведено краткое описание его возможностей, в частности, использование параллельных вычислений при помощи технологий OpenMP и MPI. Предложен альтернативный способ аппроксимирования области нелокального влияния относительно центров элементов. Это позволило упростить алгоритмы ассемблирования матрицы и сделать их пригодными для распараллеливания.</w:t>
      </w:r>
    </w:p>
    <w:p>
      <w:pPr>
        <w:pStyle w:val="TextBody"/>
        <w:spacing w:lineRule="auto" w:line="372"/>
        <w:rPr/>
      </w:pPr>
      <w:r>
        <w:rPr>
          <w:sz w:val="28"/>
          <w:szCs w:val="28"/>
          <w:lang w:val="ru-RU"/>
        </w:rPr>
        <w:t>В этой же главе был рассмотрен вопрос использования альтернативных базисов конечных элементов. Предложена оценка для квадратичных серендиповых элементов, при которой след матриц является минимальным.</w:t>
      </w:r>
    </w:p>
    <w:p>
      <w:pPr>
        <w:pStyle w:val="TextBody"/>
        <w:spacing w:lineRule="auto" w:line="372"/>
        <w:rPr/>
      </w:pPr>
      <w:r>
        <w:rPr/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lang w:val="ru-RU"/>
        </w:rPr>
        <w:t>Глава 4</w:t>
      </w:r>
      <w:r>
        <w:rPr>
          <w:sz w:val="28"/>
          <w:szCs w:val="28"/>
          <w:lang w:val="ru-RU"/>
        </w:rPr>
        <w:t xml:space="preserve"> посвящена расчётам, сравнению классической и нелокальной теорий между собой. В этой главе была продемонстрирована применимость принципа Сен-Венана и его аналога для тепловой задачи – принципа стабильности тепловых потоков. Здесь же были исследованы области с концентраторами напряжений и тепловых потоков, где было установлено о снижении роли концентраторов в решениях, при учёте нелокальности по пространству. </w:t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lang w:val="ru-RU"/>
        </w:rPr>
        <w:t xml:space="preserve">Глава 5 </w:t>
      </w:r>
      <w:r>
        <w:rPr>
          <w:sz w:val="28"/>
          <w:szCs w:val="28"/>
          <w:lang w:val="ru-RU"/>
        </w:rPr>
        <w:t xml:space="preserve">посвящена исследованию возможностей программного комплекса </w:t>
      </w:r>
      <w:r>
        <w:rPr>
          <w:sz w:val="28"/>
          <w:szCs w:val="28"/>
          <w:lang w:val="en-US"/>
        </w:rPr>
        <w:t>NonLocFEM</w:t>
      </w:r>
      <w:r>
        <w:rPr>
          <w:sz w:val="28"/>
          <w:szCs w:val="28"/>
          <w:lang w:val="ru-RU"/>
        </w:rPr>
        <w:t>. Продемонстрирована высокая эффективность распараллеливания алгоритма ассемблирования матриц жёсткости и теплопроводности. Так же здесь были рассмотрены методы, направленные на ускорение сходимости итерационных методов решения СЛАУ. Предложен предобуславливатель, использующий неполное разложение Холецкого локальной матрицы.</w:t>
      </w:r>
      <w:bookmarkStart w:id="0" w:name="_GoBack"/>
      <w:bookmarkEnd w:id="0"/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тексту диссертации имеются следующие </w:t>
      </w:r>
      <w:r>
        <w:rPr>
          <w:b/>
          <w:bCs/>
          <w:sz w:val="28"/>
          <w:szCs w:val="28"/>
          <w:lang w:val="ru-RU"/>
        </w:rPr>
        <w:t>вопросы, замечания и комментарии.</w:t>
      </w:r>
    </w:p>
    <w:p>
      <w:pPr>
        <w:pStyle w:val="TextBody"/>
        <w:numPr>
          <w:ilvl w:val="0"/>
          <w:numId w:val="1"/>
        </w:numPr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введении работы фигурирует термин «структурно-чувствительные материалы». Было бы уместно более чётко определить это понятие, так как не до конца ясно, какой класс материалов следует называть структурно-чувствительным.</w:t>
      </w:r>
    </w:p>
    <w:p>
      <w:pPr>
        <w:pStyle w:val="TextBody"/>
        <w:numPr>
          <w:ilvl w:val="0"/>
          <w:numId w:val="1"/>
        </w:numPr>
        <w:spacing w:lineRule="auto" w:line="372"/>
        <w:rPr>
          <w:sz w:val="28"/>
          <w:szCs w:val="28"/>
        </w:rPr>
      </w:pPr>
      <w:r>
        <w:rPr>
          <w:sz w:val="28"/>
          <w:szCs w:val="28"/>
        </w:rPr>
        <w:t xml:space="preserve">В определении интегрального нелокального оператора (1.1) фигурируют </w:t>
      </w:r>
      <w:r>
        <w:rPr>
          <w:sz w:val="28"/>
          <w:szCs w:val="28"/>
          <w:lang w:val="ru-RU"/>
        </w:rPr>
        <w:t>следующие</w:t>
      </w:r>
      <w:r>
        <w:rPr>
          <w:sz w:val="28"/>
          <w:szCs w:val="28"/>
        </w:rPr>
        <w:t xml:space="preserve"> параметры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весовые параметры </w:t>
      </w:r>
      <w:r>
        <w:rPr/>
        <mc:AlternateContent>
          <mc:Choice Requires="wps">
            <w:drawing>
              <wp:anchor behindDoc="0" distT="0" distB="0" distL="114300" distR="0" simplePos="0" locked="0" layoutInCell="0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1" name="_x0000_tole_rId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_x0000_tole_rId2" stroked="f" o:allowincell="f" style="position:absolute;margin-left:0.05pt;margin-top:0pt;width:49.95pt;height:49.95pt;mso-wrap-style:none;v-text-anchor:middle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3.95pt;height:18pt;mso-wrap-distance-right:0pt" filled="f" o:ole="">
            <v:imagedata r:id="rId3" o:title=""/>
          </v:shape>
          <o:OLEObject Type="Embed" ProgID="Equation.DSMT4" ShapeID="ole_rId2" DrawAspect="Content" ObjectID="_2113885673" r:id="rId2"/>
        </w:object>
      </w:r>
      <w:r>
        <w:rPr>
          <w:sz w:val="28"/>
          <w:szCs w:val="28"/>
        </w:rPr>
        <w:t xml:space="preserve"> и </w:t>
      </w:r>
      <w:r>
        <w:rPr/>
        <mc:AlternateContent>
          <mc:Choice Requires="wps">
            <w:drawing>
              <wp:anchor behindDoc="0" distT="0" distB="0" distL="114300" distR="0" simplePos="0" locked="0" layoutInCell="0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2" name="_x0000_tole_rId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_x0000_tole_rId4" stroked="f" o:allowincell="f" style="position:absolute;margin-left:0.05pt;margin-top:0pt;width:49.95pt;height:49.95pt;mso-wrap-style:none;v-text-anchor:middle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pt;height:18pt;mso-wrap-distance-right:0pt" filled="f" o:ole="">
            <v:imagedata r:id="rId5" o:title=""/>
          </v:shape>
          <o:OLEObject Type="Embed" ProgID="Equation.DSMT4" ShapeID="ole_rId4" DrawAspect="Content" ObjectID="_71121612" r:id="rId4"/>
        </w:object>
      </w:r>
      <w:r>
        <w:rPr>
          <w:sz w:val="28"/>
          <w:szCs w:val="28"/>
        </w:rPr>
        <w:t xml:space="preserve">, функция нелокального влияния </w:t>
      </w:r>
      <w:r>
        <w:rPr/>
        <mc:AlternateContent>
          <mc:Choice Requires="wps">
            <w:drawing>
              <wp:anchor behindDoc="0" distT="0" distB="0" distL="114300" distR="0" simplePos="0" locked="0" layoutInCell="0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3" name="_x0000_tole_rId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_x0000_tole_rId6" stroked="f" o:allowincell="f" style="position:absolute;margin-left:0.05pt;margin-top:0pt;width:49.95pt;height:49.95pt;mso-wrap-style:none;v-text-anchor:middle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1pt;height:13pt;mso-wrap-distance-right:0pt" filled="f" o:ole="">
            <v:imagedata r:id="rId7" o:title=""/>
          </v:shape>
          <o:OLEObject Type="Embed" ProgID="Equation.DSMT4" ShapeID="ole_rId6" DrawAspect="Content" ObjectID="_637678931" r:id="rId6"/>
        </w:object>
      </w:r>
      <w:r>
        <w:rPr>
          <w:sz w:val="28"/>
          <w:szCs w:val="28"/>
        </w:rPr>
        <w:t xml:space="preserve"> и область нелокального влияния 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4" name="_x0000_tole_rId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_x0000_tole_rId8" stroked="f" o:allowincell="f" style="position:absolute;margin-left:0.05pt;margin-top:0pt;width:49.95pt;height:49.95pt;mso-wrap-style:none;v-text-anchor:middle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9pt;height:16pt;mso-wrap-distance-right:0pt" filled="f" o:ole="">
            <v:imagedata r:id="rId9" o:title=""/>
          </v:shape>
          <o:OLEObject Type="Embed" ProgID="Equation.DSMT4" ShapeID="ole_rId8" DrawAspect="Content" ObjectID="_749312346" r:id="rId8"/>
        </w:object>
      </w:r>
      <w:r>
        <w:rPr>
          <w:sz w:val="28"/>
          <w:szCs w:val="28"/>
        </w:rPr>
        <w:t>, которые в дальнейшем становятся частью уравнений теплопроводности и равновесия. Какие из этих параметров являются материальными и могут быть установлены из экспериментов?</w:t>
      </w:r>
    </w:p>
    <w:p>
      <w:pPr>
        <w:pStyle w:val="TextBody"/>
        <w:spacing w:lineRule="auto" w:line="372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Сделанные замечания не влияют на общую положительную оценку работы. Она выполнена на высоком механико-математическом и физическом уровне, содержит новые результаты и удовлетворяет всем требованиям, предъявляемым ВАК РФ к кандидатским диссертациям по специальности 1.2.2. – Математическое моделирование, численные методы и комплексы программ. Её автор, Соколов Андрей Александрович, несомненно, заслуживает присуждения ему искомой степени кандидата физико-математических наук.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диссертации были доложены соискателем 11 октября 2024 г. на научно-исследовательском семинаре им. А.А. Ильюшина кафедры теории упругости МГУ имени М.В. Ломоносова и получили положительные отзывы специалистов. Настоящий отзыв на диссертации. А.А. Соколова рассмотрен и одобрен __ ноября 2024 г. (протокол № __) на заседании кафедры теории упругости МГУ имени М.В. Ломоносова.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059"/>
        <w:gridCol w:w="3577"/>
      </w:tblGrid>
      <w:tr>
        <w:trPr/>
        <w:tc>
          <w:tcPr>
            <w:tcW w:w="6059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теории упругости</w:t>
            </w:r>
          </w:p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МГУ имени М.В. Ломоносова,</w:t>
            </w:r>
          </w:p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доктор физико-математических наук, профессор,</w:t>
            </w:r>
          </w:p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профессор РАН</w:t>
            </w:r>
          </w:p>
        </w:tc>
        <w:tc>
          <w:tcPr>
            <w:tcW w:w="35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 Георгиевский</w:t>
            </w:r>
          </w:p>
        </w:tc>
      </w:tr>
    </w:tbl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ind w:hanging="0"/>
        <w:rPr>
          <w:sz w:val="28"/>
          <w:szCs w:val="28"/>
        </w:rPr>
      </w:pPr>
      <w:r>
        <w:rPr>
          <w:sz w:val="28"/>
          <w:szCs w:val="28"/>
        </w:rPr>
        <w:t>Телефон: 8 (495) 939-55-39</w:t>
      </w:r>
    </w:p>
    <w:p>
      <w:pPr>
        <w:pStyle w:val="TextBody"/>
        <w:spacing w:lineRule="auto" w:line="372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r>
        <w:rPr>
          <w:rStyle w:val="InternetLink"/>
          <w:sz w:val="28"/>
          <w:szCs w:val="28"/>
        </w:rPr>
        <w:t>georgiev@mech.math.msu.su</w:t>
      </w:r>
    </w:p>
    <w:p>
      <w:pPr>
        <w:pStyle w:val="TextBody"/>
        <w:spacing w:lineRule="auto" w:line="372"/>
        <w:ind w:hanging="0"/>
        <w:rPr/>
      </w:pPr>
      <w:r>
        <w:rPr>
          <w:sz w:val="28"/>
          <w:szCs w:val="28"/>
        </w:rPr>
        <w:t>__ ноября 2024 г.</w:t>
      </w:r>
      <w:r>
        <w:br w:type="page"/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СВЕДЕНИЯ О ВЕДУЩЕЙ ОРГАНИЗАЦИИ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по диссертации Соколова Андрея Александровича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на тему «Математические модели нелокальной термоупругости и их численная реализация»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 1.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2 </w:t>
      </w:r>
      <w:r>
        <w:rPr>
          <w:sz w:val="28"/>
          <w:szCs w:val="28"/>
        </w:rPr>
        <w:t>– Математическое моделирование, численные методы и комплексы программ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на соискание учёной степени кандидата физико-математических наук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998"/>
        <w:gridCol w:w="6638"/>
      </w:tblGrid>
      <w:tr>
        <w:trPr/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наименование организации в соответствии с Уставом</w:t>
            </w:r>
          </w:p>
        </w:tc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Ломоносова»,  механико-математический факультет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МГУ имени М.В. Ломоносова, мехмат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Почтовый индекс, адрес организации</w:t>
            </w:r>
          </w:p>
        </w:tc>
        <w:tc>
          <w:tcPr>
            <w:tcW w:w="6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119991, Российская Федерация, Москва, Ленинские горы, д. 1, Московский государственный университет имени М.В. Ломоносова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Веб-сайт</w:t>
            </w:r>
          </w:p>
        </w:tc>
        <w:tc>
          <w:tcPr>
            <w:tcW w:w="6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https://www.msu.ru/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  <w:tc>
          <w:tcPr>
            <w:tcW w:w="6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 (495) 939-20-90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электронной почты</w:t>
            </w:r>
          </w:p>
        </w:tc>
        <w:tc>
          <w:tcPr>
            <w:tcW w:w="6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info@rector.msu.ru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основных публикаций работников ведущей организации по теме диссертации в рецензируемых научных изданиях за последние 5 лет (не более 15 публикаций)</w:t>
            </w:r>
          </w:p>
        </w:tc>
        <w:tc>
          <w:tcPr>
            <w:tcW w:w="6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Nikabadze M. </w:t>
            </w:r>
            <w:r>
              <w:rPr>
                <w:color w:val="000000"/>
                <w:sz w:val="24"/>
                <w:szCs w:val="24"/>
                <w:shd w:fill="FFFFFF" w:val="clear"/>
                <w:lang w:val="en-US"/>
              </w:rPr>
              <w:t xml:space="preserve">On Some Issues of Second Strain Tensor and Velocity Vector Gradient Theories of 3D Bodies and Thin Bodies // Lobachevskii Journal of Mathematics. </w:t>
            </w:r>
            <w:r>
              <w:rPr>
                <w:color w:val="000000"/>
                <w:sz w:val="24"/>
                <w:szCs w:val="24"/>
                <w:shd w:fill="FFFFFF" w:val="clear"/>
              </w:rPr>
              <w:t xml:space="preserve">2024. V. 45. No. 8. P. 3682-3705. </w:t>
            </w:r>
            <w:r>
              <w:rPr>
                <w:color w:val="000000"/>
                <w:sz w:val="24"/>
                <w:szCs w:val="24"/>
                <w:shd w:fill="FFFFFF" w:val="clear"/>
                <w:lang w:val="en-US"/>
              </w:rPr>
              <w:t>DOI: 10.1134/S1995080224604387.</w:t>
            </w:r>
          </w:p>
          <w:p>
            <w:pPr>
              <w:pStyle w:val="TableContents"/>
              <w:widowControl w:val="false"/>
              <w:rPr>
                <w:shd w:fill="FFFFFF" w:val="clear"/>
                <w:lang w:val="en-US"/>
              </w:rPr>
            </w:pPr>
            <w:r>
              <w:rPr>
                <w:shd w:fill="FFFFFF" w:val="clear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the Interlayer Contact Conditions in Multilayer Thin Body Theory and Some Issues of Splitting Initial-Boundary Value Problems // Lobachevskii Journal of Mathematic. 2022. V.43. No. 7, P. 1945-1961. DOI: 10.1134/S1995080222100304.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Generalized Reissner-type variational principle in the micropolar theories of multilayer thin bodies with one small size // Continuum Mechanics and Thermodynamics. 2022. DOI: 10.1007/s00161-022-01091-x.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some variational principles in micropolar theories of single-layer thin bodies // Continuum Mechanics and Thermodynamic. 2022. DOI: 10.1007/s00161-022-01089-5.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Matevossian H.A., Nikabadze M.U., Nordo G., Ulukhanyan A.R. Biharmonic Navier and Neumann Problems and their Application in Mechanical Engineering // Lobachevskii Journal of Mathematics. 2021. V. 42., No. 8., P. 1876-1885. DOI: 10.1134/S1995080221080199.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the Theory of Multilayer Thin Bodies // Lobachevskii Journal of Mathematic. V. 42., No. 8., P. 1900-1911. DOI: 10.1134/S1995080221080217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M.U. Eigenvalue Problems for Tensor-Block Matrices and Their Applications to Mechanics // Journal of Mathematical Sciences. 2020. V. 250. No. 6. P. 895-931. DOI: 10.1007/s10958-020-05053-z.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the Decomposition of Equations of Micropolar Elasticity and Thin Body Theory // Lobachevskii Journal of Mathematics. 2020. V. 41., No. 10., P. 2059-2074. DOI: 10.1134/S1995080220100145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M.U., Ulukhanyan A.R. Modeling of multilayer thin bodies // Continuum Mechanics and Thermodynamics. 2020. V. 32., No. 3., P. 817-842. DOI: 10.1007/s00161-019-00762-6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Nikabadze M.U., Ulukhanyan A.R., Khizhenkov A. On modeling of three-layered thin bodies // IOP Conf. Series: Materials Science and Engineering, TSER 2018, IOP Publishing. 2019. V. 683. P. 1-8. </w:t>
            </w:r>
            <w:r>
              <w:rPr>
                <w:color w:val="000000"/>
                <w:sz w:val="24"/>
                <w:szCs w:val="24"/>
              </w:rPr>
              <w:t>DOI: 10.1088/1757-899X/683/1/012018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Никабадзе М.У. К расщеплению начально-краевых задач в анизотропной линейной теории упругости //  Вестник Московского университета. Серия 1: Математика. Механика. 2019. № 5, с. 23-30.</w:t>
            </w:r>
          </w:p>
        </w:tc>
      </w:tr>
    </w:tbl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72"/>
        <w:ind w:hanging="0"/>
        <w:rPr>
          <w:sz w:val="28"/>
          <w:szCs w:val="28"/>
        </w:rPr>
      </w:pPr>
      <w:r>
        <w:rPr>
          <w:sz w:val="28"/>
          <w:szCs w:val="28"/>
        </w:rPr>
        <w:t>Декан механико-математического факультета МГУ имени М.В. Ломоносова, член-корреспондент РАН</w:t>
      </w:r>
    </w:p>
    <w:p>
      <w:pPr>
        <w:pStyle w:val="TextBody"/>
        <w:spacing w:lineRule="auto" w:line="372"/>
        <w:ind w:hanging="0"/>
        <w:jc w:val="right"/>
        <w:rPr>
          <w:sz w:val="28"/>
          <w:szCs w:val="28"/>
        </w:rPr>
      </w:pPr>
      <w:r>
        <w:rPr/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>А.И. Шафаревич</w:t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8" w:right="851" w:gutter="0" w:header="720" w:top="1418" w:footer="720" w:bottom="1418"/>
      <w:pgNumType w:fmt="decimal"/>
      <w:formProt w:val="false"/>
      <w:titlePg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5A7772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 wp14:anchorId="05A7772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7</w:t>
    </w:r>
    <w:r>
      <w:rPr>
        <w:sz w:val="28"/>
        <w:szCs w:val="28"/>
      </w:rPr>
      <w:fldChar w:fldCharType="end"/>
    </w:r>
  </w:p>
  <w:p>
    <w:pPr>
      <w:pStyle w:val="Foo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86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mphasis">
    <w:name w:val="Emphasis"/>
    <w:uiPriority w:val="20"/>
    <w:qFormat/>
    <w:rsid w:val="00e97490"/>
    <w:rPr>
      <w:i/>
      <w:iCs/>
    </w:rPr>
  </w:style>
  <w:style w:type="character" w:styleId="Style13" w:customStyle="1">
    <w:name w:val="Основной текст с отступом Знак"/>
    <w:uiPriority w:val="99"/>
    <w:qFormat/>
    <w:rsid w:val="00d20cf8"/>
    <w:rPr>
      <w:rFonts w:ascii="Calibri" w:hAnsi="Calibri" w:eastAsia="Calibri"/>
      <w:sz w:val="22"/>
      <w:szCs w:val="22"/>
      <w:lang w:eastAsia="en-US"/>
    </w:rPr>
  </w:style>
  <w:style w:type="character" w:styleId="Style14" w:customStyle="1">
    <w:name w:val="Основной текст Знак"/>
    <w:uiPriority w:val="99"/>
    <w:qFormat/>
    <w:rsid w:val="00d20cf8"/>
    <w:rPr>
      <w:sz w:val="24"/>
    </w:rPr>
  </w:style>
  <w:style w:type="character" w:styleId="Style15" w:customStyle="1">
    <w:name w:val="Нижний колонтитул Знак"/>
    <w:link w:val="Footer"/>
    <w:uiPriority w:val="99"/>
    <w:qFormat/>
    <w:rsid w:val="00d20cf8"/>
    <w:rPr/>
  </w:style>
  <w:style w:type="character" w:styleId="Style16" w:customStyle="1">
    <w:name w:val="Текст выноски Знак"/>
    <w:link w:val="BalloonText"/>
    <w:qFormat/>
    <w:rsid w:val="00272ff9"/>
    <w:rPr>
      <w:rFonts w:ascii="Tahoma" w:hAnsi="Tahoma" w:cs="Tahoma"/>
      <w:sz w:val="16"/>
      <w:szCs w:val="16"/>
    </w:rPr>
  </w:style>
  <w:style w:type="character" w:styleId="1" w:customStyle="1">
    <w:name w:val="Стиль1 Знак Знак Знак"/>
    <w:link w:val="11"/>
    <w:qFormat/>
    <w:rsid w:val="00ee1b81"/>
    <w:rPr>
      <w:sz w:val="28"/>
      <w:szCs w:val="28"/>
      <w:lang w:val="x-none" w:eastAsia="x-none"/>
    </w:rPr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4"/>
    <w:uiPriority w:val="99"/>
    <w:pPr>
      <w:spacing w:lineRule="auto" w:line="360"/>
      <w:ind w:firstLine="709"/>
      <w:jc w:val="both"/>
    </w:pPr>
    <w:rPr>
      <w:sz w:val="24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b/>
      <w:sz w:val="24"/>
    </w:rPr>
  </w:style>
  <w:style w:type="paragraph" w:styleId="BodyText3">
    <w:name w:val="Body Text 3"/>
    <w:basedOn w:val="Normal"/>
    <w:qFormat/>
    <w:pPr>
      <w:jc w:val="center"/>
    </w:pPr>
    <w:rPr>
      <w:b/>
      <w:bCs/>
      <w:sz w:val="24"/>
    </w:rPr>
  </w:style>
  <w:style w:type="paragraph" w:styleId="DocumentMap">
    <w:name w:val="Document Map"/>
    <w:basedOn w:val="Normal"/>
    <w:semiHidden/>
    <w:qFormat/>
    <w:rsid w:val="00981f3b"/>
    <w:pPr>
      <w:shd w:val="clear" w:color="auto" w:fill="000080"/>
    </w:pPr>
    <w:rPr>
      <w:rFonts w:ascii="Tahoma" w:hAnsi="Tahoma" w:cs="Tahoma"/>
    </w:rPr>
  </w:style>
  <w:style w:type="paragraph" w:styleId="Default" w:customStyle="1">
    <w:name w:val="Default"/>
    <w:qFormat/>
    <w:rsid w:val="00e97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TextBodyIndent">
    <w:name w:val="Body Text Indent"/>
    <w:basedOn w:val="Normal"/>
    <w:link w:val="Style13"/>
    <w:uiPriority w:val="99"/>
    <w:unhideWhenUsed/>
    <w:rsid w:val="00d20cf8"/>
    <w:pPr>
      <w:spacing w:lineRule="auto" w:line="276" w:before="0" w:after="120"/>
      <w:ind w:left="283" w:hanging="0"/>
    </w:pPr>
    <w:rPr>
      <w:rFonts w:ascii="Calibri" w:hAnsi="Calibri" w:eastAsia="Calibri"/>
      <w:sz w:val="22"/>
      <w:szCs w:val="22"/>
      <w:lang w:val="x-none" w:eastAsia="en-US"/>
    </w:rPr>
  </w:style>
  <w:style w:type="paragraph" w:styleId="BalloonText">
    <w:name w:val="Balloon Text"/>
    <w:basedOn w:val="Normal"/>
    <w:link w:val="Style16"/>
    <w:qFormat/>
    <w:rsid w:val="00272ff9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735f9a"/>
    <w:pPr>
      <w:spacing w:beforeAutospacing="1" w:afterAutospacing="1"/>
    </w:pPr>
    <w:rPr>
      <w:sz w:val="24"/>
      <w:szCs w:val="24"/>
    </w:rPr>
  </w:style>
  <w:style w:type="paragraph" w:styleId="11" w:customStyle="1">
    <w:name w:val="Стиль1 Знак Знак"/>
    <w:basedOn w:val="Normal"/>
    <w:link w:val="1"/>
    <w:qFormat/>
    <w:rsid w:val="00ee1b81"/>
    <w:pPr>
      <w:tabs>
        <w:tab w:val="clear" w:pos="708"/>
        <w:tab w:val="left" w:pos="284" w:leader="none"/>
      </w:tabs>
      <w:spacing w:lineRule="auto" w:line="360"/>
      <w:ind w:firstLine="567"/>
      <w:jc w:val="both"/>
    </w:pPr>
    <w:rPr>
      <w:sz w:val="28"/>
      <w:szCs w:val="28"/>
      <w:lang w:val="x-none" w:eastAsia="x-non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90B6-A63B-420B-B75A-DEB458BB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Application>LibreOffice/7.3.7.2$Linux_X86_64 LibreOffice_project/30$Build-2</Application>
  <AppVersion>15.0000</AppVersion>
  <Pages>7</Pages>
  <Words>1346</Words>
  <Characters>9761</Characters>
  <CharactersWithSpaces>11046</CharactersWithSpaces>
  <Paragraphs>78</Paragraphs>
  <Company>TsAGI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2021-08-23T13:14:00Z</dcterms:created>
  <dc:creator>Kalashnik A.V.</dc:creator>
  <dc:description/>
  <dc:language>ru-RU</dc:language>
  <cp:lastModifiedBy/>
  <cp:lastPrinted>2021-08-09T17:22:00Z</cp:lastPrinted>
  <dcterms:modified xsi:type="dcterms:W3CDTF">2024-10-28T00:45:49Z</dcterms:modified>
  <cp:revision>359</cp:revision>
  <dc:subject/>
  <dc:title>ОТЗЫВ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