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Отзыв официального оппонента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на диссертацию Соколова Андрея Александровича на тему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«МАТЕМАТИЧЕСКИЕ МОДЕЛИ НЕЛОКАЛЬНОЙ ТЕРМОУПРУГОСТИ И ИХ ЧИСЛЕННАЯ РЕАЛИЗАЦИЯ»</w:t>
      </w:r>
    </w:p>
    <w:p>
      <w:pPr>
        <w:pStyle w:val="BodyText3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представленной </w:t>
      </w:r>
      <w:r>
        <w:rPr>
          <w:b w:val="false"/>
          <w:bCs w:val="false"/>
          <w:sz w:val="28"/>
          <w:szCs w:val="28"/>
        </w:rPr>
        <w:t>на соискание учёной степени кандидата</w:t>
      </w:r>
      <w:r>
        <w:rPr>
          <w:b w:val="false"/>
          <w:sz w:val="28"/>
          <w:szCs w:val="28"/>
        </w:rPr>
        <w:t xml:space="preserve"> физико-математических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наук </w:t>
      </w:r>
      <w:r>
        <w:rPr>
          <w:b w:val="false"/>
          <w:bCs w:val="false"/>
          <w:sz w:val="28"/>
          <w:szCs w:val="28"/>
        </w:rPr>
        <w:t xml:space="preserve">по специальности </w:t>
      </w:r>
      <w:r>
        <w:rPr>
          <w:b w:val="false"/>
          <w:sz w:val="28"/>
          <w:szCs w:val="28"/>
        </w:rPr>
        <w:t>1.2.2 – Математическое моделирование, численные методы и комплексы программ</w:t>
      </w:r>
    </w:p>
    <w:p>
      <w:pPr>
        <w:pStyle w:val="BodyText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b/>
          <w:b/>
          <w:bCs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 xml:space="preserve">Актуальность работы.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Диссертационная работа Соколова А.А. посвящена исследованию нелокальных моделей теплопроводности и термоупругости. Данный класс моделей позволяет учесть дальнодействующие эффекты, которые могут возникать в материалах обладающих микро- и наноструктурой. В качестве основного преимущества данного класса моделей, по сравнению с другими моделями обобщённой механики сплошной среды, можно выделить малое количество материальных параметров, требующих экспериментального уточнения. К недостаткам стоит отнести более сложную формулировку уравнений, которые выражены в интегро-дифференциальной форме, что влечёт за собой большую вычислительную сложность.</w:t>
      </w:r>
    </w:p>
    <w:p>
      <w:pPr>
        <w:pStyle w:val="TextBody"/>
        <w:spacing w:lineRule="auto" w:line="372"/>
        <w:rPr>
          <w:b/>
          <w:b/>
          <w:bCs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Важным этапом, после разработки математических моделей, является разработка численного алгоритма решения. В работе Соколов А.А. сделал выбор в пользу метода конечных элементов, который применительно к моделям данного класса так же принято называть методом нелокальных конечных элементов. В качестве основной особенности, предложенного алгоритма, стоит выделить способ аппроксимации области нелокального влияния, где аппроксимация происходит относительно центров конечных элементов. Это позволило упростить конечный алгоритм и представить его в форме, где алгоритм интегрирования и алгоритм формирования портрета матрицы могут быть реализованы независимо друг от друга.</w:t>
      </w:r>
    </w:p>
    <w:p>
      <w:pPr>
        <w:pStyle w:val="TextBody"/>
        <w:spacing w:lineRule="auto" w:line="372"/>
        <w:rPr/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Но главным достижением в данной работе является программный комплекс NonLocFEM, который собрал в себе реализацию всех предложенных в работе алгоритмов. Данный программный комплекс предназначен для вычислений на многопроцессорных вычислительных машинах и в качестве инструментов для распараллеливания кода использует такие библиотеки, как OpenMP и MPI. Показанные в работе результаты свидетельствуют о высокой эффективности, реализованного в программе кода, а так же о достоверности решений.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 xml:space="preserve">Анализ и решение интегро-дифференциальных уравнений представляет большую выислительную </w:t>
      </w:r>
      <w:r>
        <w:rPr>
          <w:b/>
          <w:bCs/>
          <w:sz w:val="28"/>
          <w:szCs w:val="28"/>
          <w:shd w:fill="auto" w:val="clear"/>
          <w:lang w:val="ru-RU"/>
        </w:rPr>
        <w:t>сложность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>.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shd w:fill="auto" w:val="clear"/>
          <w:lang w:val="ru-RU"/>
        </w:rPr>
        <w:t>Научная новизна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 работы состоит в исследовании нелокальных уравнений стационарной теплопроводности и термоупругости, разработке новых методов их решения и реализации программного комплекса.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Диссертация состоит из введения, пяти глав, заключения и приложения. Полный объём диссертации составляет 111 страниц, включая 37 рисунков и 9 таблиц. Список литературы содержит 138  источников.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Во введении</w:t>
      </w:r>
      <w:r>
        <w:rPr>
          <w:sz w:val="28"/>
          <w:szCs w:val="28"/>
          <w:shd w:fill="auto" w:val="clear"/>
          <w:lang w:val="ru-RU"/>
        </w:rPr>
        <w:t xml:space="preserve"> приведён широкий обзор литературы, посвящённой современным инженерным задачам, трудностям, с которыми сталкиваются исследователи, а также моделям обобщённой механики сплошной среды, предназначенные для исследования материалов обладающих микро- и наноструктурой. Также здесь объяснена актуальность темы исследования, научная новизна, вклад автора, сформулированы цели и задачи исследования, положения, выносимые автором на защиту, и другие пункты.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первой главе</w:t>
      </w:r>
      <w:r>
        <w:rPr>
          <w:sz w:val="28"/>
          <w:szCs w:val="28"/>
          <w:shd w:fill="auto" w:val="clear"/>
          <w:lang w:val="ru-RU"/>
        </w:rPr>
        <w:t xml:space="preserve"> представлены математические модели нелокальной теплопроводности и нелокальной термоупругости. Рассмотрен интегральный нелокальный оператор, на его основе сформулированы уравнения стационарной теплопроводности и равновесия в интегро-дифференциальной форме, а также предложены два семейства функций нелокального влияния: полиномиальное и экспоненциальное.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Во второй главе</w:t>
      </w:r>
      <w:r>
        <w:rPr>
          <w:sz w:val="28"/>
          <w:szCs w:val="28"/>
          <w:shd w:fill="auto" w:val="clear"/>
          <w:lang w:val="ru-RU"/>
        </w:rPr>
        <w:t xml:space="preserve">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постановках. Получены матрично-векторые уравнения, основной особенностью которых является разбиение матриц теплопроводности и жёсткости на взвешенные суммы, где весовые параметры аналогичны интегральному нелокальному оператору.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Здесь же предложен способ квадратурной аппроксимации области нелокального влияния, подразумевающий аппроксимацию области относительно каждого квадратурного узла и учёт в расчёте тех элементов, квадратурные узлы которых попали в область. Представлены алгоритмы ассемблирования слагаемых систем алгебраических уравнений, соответствующих слагаемым исходных уравнений, а также вычисления производных величин, таких как вектор плотности теплового потока и тензор напряжений.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третьей главе</w:t>
      </w:r>
      <w:r>
        <w:rPr>
          <w:sz w:val="28"/>
          <w:szCs w:val="28"/>
          <w:shd w:fill="auto" w:val="clear"/>
          <w:lang w:val="ru-RU"/>
        </w:rPr>
        <w:t xml:space="preserve"> представлена общая структура программного комплекса NonLocFEM, описана взаимосвязь модулей программы, их структура и особенности. Стоит отметить возможность использовать многопроцессорные вычислительные системы при помощи технологий OpenMP и MPI.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Далее в главе описаны алгоритмы и структуры, реализованные в программном комплексе: параллельный алгоритм ассемблирования матриц теплопроводности и жёсткости, аппроксимация области нелокального влияния относительно центров жлементов на основе k-d дерева, а также оптимизированный базис для квадратичных серендиповых элементов.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четвёртой главе</w:t>
      </w:r>
      <w:r>
        <w:rPr>
          <w:sz w:val="28"/>
          <w:szCs w:val="28"/>
          <w:shd w:fill="auto" w:val="clear"/>
          <w:lang w:val="ru-RU"/>
        </w:rPr>
        <w:t xml:space="preserve"> представлен сравнительный анализ решений между классической постановкой и нелокальной. Продемонстрирована применимость принципов Сен-Венана и стабильности тепловых потоков в контексте нелокальных постановок. Изучено влияние нелокальных эффектов в областях с концентраторами тепловых потоков и напряжений. Проведён анализ температурных деформаций на областях с эллиптическими вырезами.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Главной особенностью нелокальных решений, по сравнению с их классическими аналогами, стоит считать кромочные эффекты, которые характеризуются увеличением температуры и перемещений вблизи точек приложения нагружений и снижением производных величи, таких как  плотность теплового потока и напряжения на свободных от нагружений границах. Также стоит отметить снижение роли концентраторов в нелокальных постановках и увеличению уровня напряжения внутри области.</w:t>
      </w:r>
    </w:p>
    <w:p>
      <w:pPr>
        <w:pStyle w:val="TextBody"/>
        <w:spacing w:lineRule="auto" w:line="372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  <w:lang w:val="ru-RU"/>
        </w:rPr>
        <w:t>В пятой главе</w:t>
      </w:r>
      <w:r>
        <w:rPr>
          <w:sz w:val="28"/>
          <w:szCs w:val="28"/>
          <w:shd w:fill="auto" w:val="clear"/>
          <w:lang w:val="ru-RU"/>
        </w:rPr>
        <w:t xml:space="preserve"> проведён анализ эффективности программного комплекса NonLocFEM. Представлены результаты ускорения расчётов на 18-ядерном процессоре Intel Core i9-10980XE, а также данные о балансировке данных между шестью вычислительными узлами, свидетельствующие о высоком уровне параллельности кода программы.</w:t>
      </w:r>
    </w:p>
    <w:p>
      <w:pPr>
        <w:pStyle w:val="TextBody"/>
        <w:spacing w:lineRule="auto" w:line="372"/>
        <w:rPr/>
      </w:pPr>
      <w:r>
        <w:rPr>
          <w:sz w:val="28"/>
          <w:szCs w:val="28"/>
          <w:shd w:fill="auto" w:val="clear"/>
          <w:lang w:val="ru-RU"/>
        </w:rPr>
        <w:t>Также был проведён анализ сходимости метода сопряжённых градиентов при вариации свободного параметра базиса и весового параметра модели. Представленные данные свидетельствуют об ускорении сходимости метода споряжённых градиентов при увеличении вклада нелокального влияния. В последнем разделе главы был предложен предобуславливатель на основе неполного разложения Холецкого локальной матрицы жёсткости. При применении такого способа предобуславливания системы удалось получить двукратное ускорение сходимости решения.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</w:t>
      </w:r>
      <w:r>
        <w:rPr>
          <w:b/>
          <w:bCs/>
          <w:sz w:val="28"/>
          <w:szCs w:val="28"/>
          <w:lang w:val="ru-RU"/>
        </w:rPr>
        <w:t xml:space="preserve"> замечаний по работе</w:t>
      </w:r>
      <w:r>
        <w:rPr>
          <w:sz w:val="28"/>
          <w:szCs w:val="28"/>
          <w:lang w:val="ru-RU"/>
        </w:rPr>
        <w:t xml:space="preserve"> следует отметить следующее:</w:t>
      </w:r>
    </w:p>
    <w:p>
      <w:pPr>
        <w:pStyle w:val="TextBody"/>
        <w:numPr>
          <w:ilvl w:val="0"/>
          <w:numId w:val="1"/>
        </w:numPr>
        <w:spacing w:lineRule="auto" w:line="372"/>
        <w:rPr>
          <w:sz w:val="28"/>
          <w:szCs w:val="28"/>
        </w:rPr>
      </w:pPr>
      <w:r>
        <w:rPr>
          <w:sz w:val="28"/>
          <w:szCs w:val="28"/>
        </w:rPr>
        <w:t>В работе представленно исследование двух семейств функций нелокального влияния: полиномиальные и экспоненциальные. Показано, что качественных различий в решениях, при их использовании не наблюдается. Распространяется ли это и на другие потенциальные семейства функций нелокального влияния?</w:t>
      </w:r>
    </w:p>
    <w:p>
      <w:pPr>
        <w:pStyle w:val="TextBody"/>
        <w:numPr>
          <w:ilvl w:val="0"/>
          <w:numId w:val="1"/>
        </w:numPr>
        <w:spacing w:lineRule="auto" w:line="372"/>
        <w:rPr/>
      </w:pPr>
      <w:r>
        <w:rPr>
          <w:sz w:val="28"/>
          <w:szCs w:val="28"/>
        </w:rPr>
        <w:t xml:space="preserve">Предложенный в работе алгоритм численного решения оперирует блочными матрицами и в работе были введены определения блоков, </w:t>
      </w:r>
      <w:r>
        <w:rPr>
          <w:sz w:val="28"/>
          <w:szCs w:val="28"/>
        </w:rPr>
        <w:t xml:space="preserve">из которых ассемблируются матрицы теплопроводности (2.9) и жёсткости </w:t>
      </w:r>
      <w:r>
        <w:rPr>
          <w:sz w:val="28"/>
          <w:szCs w:val="28"/>
        </w:rPr>
        <w:t xml:space="preserve">(2.10). </w:t>
      </w:r>
      <w:r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роцедура, при которой были получены имеено такие определения блоков, не до конца понятна.</w:t>
      </w:r>
    </w:p>
    <w:p>
      <w:pPr>
        <w:pStyle w:val="TextBody"/>
        <w:spacing w:lineRule="auto" w:line="372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Несмотря на высказанные замечания, работа представляет собой завершенное исследование и воспринимается как единое целое. Она содержит значительные научные результаты и может найти применение в практике.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Считаю, что работа Соколова Андрея Александровича на тему «МАТЕМАТИЧЕСКИЕ МОДЕЛИ НЕЛОКАЛЬНОЙ ТЕРМОУПРУГОСТИ И ИХ ЧИСЛЕННАЯ РЕАЛИЗАЦИЯ» удовлетворяет всем требованиям ВАК РФ, предъявляемым к кандидатским диссертациям, а ее автор, безусловно, заслуживает присуждения ему искомой ученой степени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по специальности</w:t>
      </w:r>
      <w:r>
        <w:rPr>
          <w:sz w:val="28"/>
          <w:szCs w:val="28"/>
        </w:rPr>
        <w:t xml:space="preserve">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2 </w:t>
      </w:r>
      <w:r>
        <w:rPr>
          <w:sz w:val="28"/>
          <w:szCs w:val="28"/>
        </w:rPr>
        <w:t>– Математическое моделирование, численные методы и комплексы программ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72"/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Автореферат полностью отражает содержание диссертации.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Официальный оппонент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Доктор физико-математических наук,</w:t>
        <w:tab/>
        <w:tab/>
        <w:tab/>
        <w:tab/>
        <w:t xml:space="preserve">                Евгений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Ведущий научный сотрудник,</w:t>
        <w:tab/>
        <w:tab/>
        <w:tab/>
        <w:tab/>
        <w:tab/>
        <w:t xml:space="preserve">                Борисович</w:t>
      </w:r>
    </w:p>
    <w:p>
      <w:pPr>
        <w:pStyle w:val="Normal"/>
        <w:rPr>
          <w:sz w:val="28"/>
          <w:szCs w:val="28"/>
        </w:rPr>
      </w:pPr>
      <w:r>
        <w:rPr>
          <w:sz w:val="28"/>
        </w:rPr>
        <w:t>Федеральный исследовательский центр</w:t>
      </w:r>
      <w:r>
        <w:rPr>
          <w:sz w:val="28"/>
          <w:szCs w:val="28"/>
        </w:rPr>
        <w:t xml:space="preserve">                                                  Савенков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имени М.В. Келдыша Российской академии наук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left="7788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125047, Россия, Москва,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Миусская пл., д. 4.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тел. +7 (495) </w:t>
      </w:r>
      <w:r>
        <w:rPr>
          <w:sz w:val="28"/>
          <w:szCs w:val="28"/>
          <w:shd w:fill="FFFF00" w:val="clear"/>
        </w:rPr>
        <w:t>XXX-XX-XX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e.savenkov@gmail.com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Подпись официального оппонента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Евгения Борисовича Савенкова заверяю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должность, место работы</w:t>
        <w:tab/>
        <w:tab/>
        <w:tab/>
        <w:tab/>
        <w:tab/>
        <w:t>Имя, Отчество, Фамилия</w:t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720" w:top="1418" w:footer="720" w:bottom="1418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6</w:t>
    </w:r>
    <w:r>
      <w:rPr>
        <w:sz w:val="28"/>
        <w:szCs w:val="28"/>
      </w:rPr>
      <w:fldChar w:fldCharType="end"/>
    </w:r>
  </w:p>
  <w:p>
    <w:pPr>
      <w:pStyle w:val="Foo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86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mphasis">
    <w:name w:val="Emphasis"/>
    <w:uiPriority w:val="20"/>
    <w:qFormat/>
    <w:rsid w:val="00e97490"/>
    <w:rPr>
      <w:i/>
      <w:iCs/>
    </w:rPr>
  </w:style>
  <w:style w:type="character" w:styleId="Style13" w:customStyle="1">
    <w:name w:val="Основной текст с отступом Знак"/>
    <w:uiPriority w:val="99"/>
    <w:qFormat/>
    <w:rsid w:val="00d20cf8"/>
    <w:rPr>
      <w:rFonts w:ascii="Calibri" w:hAnsi="Calibri" w:eastAsia="Calibri"/>
      <w:sz w:val="22"/>
      <w:szCs w:val="22"/>
      <w:lang w:eastAsia="en-US"/>
    </w:rPr>
  </w:style>
  <w:style w:type="character" w:styleId="Style14" w:customStyle="1">
    <w:name w:val="Основной текст Знак"/>
    <w:uiPriority w:val="99"/>
    <w:qFormat/>
    <w:rsid w:val="00d20cf8"/>
    <w:rPr>
      <w:sz w:val="24"/>
    </w:rPr>
  </w:style>
  <w:style w:type="character" w:styleId="Style15" w:customStyle="1">
    <w:name w:val="Нижний колонтитул Знак"/>
    <w:link w:val="Footer"/>
    <w:uiPriority w:val="99"/>
    <w:qFormat/>
    <w:rsid w:val="00d20cf8"/>
    <w:rPr/>
  </w:style>
  <w:style w:type="character" w:styleId="Style16" w:customStyle="1">
    <w:name w:val="Текст выноски Знак"/>
    <w:link w:val="BalloonText"/>
    <w:qFormat/>
    <w:rsid w:val="00272ff9"/>
    <w:rPr>
      <w:rFonts w:ascii="Tahoma" w:hAnsi="Tahoma" w:cs="Tahoma"/>
      <w:sz w:val="16"/>
      <w:szCs w:val="16"/>
    </w:rPr>
  </w:style>
  <w:style w:type="character" w:styleId="1" w:customStyle="1">
    <w:name w:val="Стиль1 Знак Знак Знак"/>
    <w:link w:val="11"/>
    <w:qFormat/>
    <w:rsid w:val="00ee1b81"/>
    <w:rPr>
      <w:sz w:val="28"/>
      <w:szCs w:val="28"/>
      <w:lang w:val="x-none" w:eastAsia="x-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4"/>
    <w:uiPriority w:val="99"/>
    <w:pPr>
      <w:spacing w:lineRule="auto" w:line="360"/>
      <w:ind w:firstLine="709"/>
      <w:jc w:val="both"/>
    </w:pPr>
    <w:rPr>
      <w:sz w:val="24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b/>
      <w:sz w:val="24"/>
    </w:rPr>
  </w:style>
  <w:style w:type="paragraph" w:styleId="BodyText3">
    <w:name w:val="Body Text 3"/>
    <w:basedOn w:val="Normal"/>
    <w:qFormat/>
    <w:pPr>
      <w:jc w:val="center"/>
    </w:pPr>
    <w:rPr>
      <w:b/>
      <w:bCs/>
      <w:sz w:val="24"/>
    </w:rPr>
  </w:style>
  <w:style w:type="paragraph" w:styleId="DocumentMap">
    <w:name w:val="Document Map"/>
    <w:basedOn w:val="Normal"/>
    <w:semiHidden/>
    <w:qFormat/>
    <w:rsid w:val="00981f3b"/>
    <w:pPr>
      <w:shd w:val="clear" w:color="auto" w:fill="000080"/>
    </w:pPr>
    <w:rPr>
      <w:rFonts w:ascii="Tahoma" w:hAnsi="Tahoma" w:cs="Tahoma"/>
    </w:rPr>
  </w:style>
  <w:style w:type="paragraph" w:styleId="Default" w:customStyle="1">
    <w:name w:val="Default"/>
    <w:qFormat/>
    <w:rsid w:val="00e97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extBodyIndent">
    <w:name w:val="Body Text Indent"/>
    <w:basedOn w:val="Normal"/>
    <w:link w:val="Style13"/>
    <w:uiPriority w:val="99"/>
    <w:unhideWhenUsed/>
    <w:rsid w:val="00d20cf8"/>
    <w:pPr>
      <w:spacing w:lineRule="auto" w:line="276" w:before="0" w:after="120"/>
      <w:ind w:left="283" w:hanging="0"/>
    </w:pPr>
    <w:rPr>
      <w:rFonts w:ascii="Calibri" w:hAnsi="Calibri" w:eastAsia="Calibri"/>
      <w:sz w:val="22"/>
      <w:szCs w:val="22"/>
      <w:lang w:val="x-none" w:eastAsia="en-US"/>
    </w:rPr>
  </w:style>
  <w:style w:type="paragraph" w:styleId="BalloonText">
    <w:name w:val="Balloon Text"/>
    <w:basedOn w:val="Normal"/>
    <w:link w:val="Style16"/>
    <w:qFormat/>
    <w:rsid w:val="00272ff9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735f9a"/>
    <w:pPr>
      <w:spacing w:beforeAutospacing="1" w:afterAutospacing="1"/>
    </w:pPr>
    <w:rPr>
      <w:sz w:val="24"/>
      <w:szCs w:val="24"/>
    </w:rPr>
  </w:style>
  <w:style w:type="paragraph" w:styleId="11" w:customStyle="1">
    <w:name w:val="Стиль1 Знак Знак"/>
    <w:basedOn w:val="Normal"/>
    <w:link w:val="1"/>
    <w:qFormat/>
    <w:rsid w:val="00ee1b81"/>
    <w:pPr>
      <w:tabs>
        <w:tab w:val="clear" w:pos="708"/>
        <w:tab w:val="left" w:pos="284" w:leader="none"/>
      </w:tabs>
      <w:spacing w:lineRule="auto" w:line="360"/>
      <w:ind w:firstLine="567"/>
      <w:jc w:val="both"/>
    </w:pPr>
    <w:rPr>
      <w:sz w:val="28"/>
      <w:szCs w:val="28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CE11-08FF-44D9-B634-205E68CC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Application>LibreOffice/7.3.7.2$Linux_X86_64 LibreOffice_project/30$Build-2</Application>
  <AppVersion>15.0000</AppVersion>
  <Pages>6</Pages>
  <Words>965</Words>
  <Characters>7358</Characters>
  <CharactersWithSpaces>8391</CharactersWithSpaces>
  <Paragraphs>42</Paragraphs>
  <Company>TsAGI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2021-08-23T13:14:00Z</dcterms:created>
  <dc:creator>Kalashnik A.V.</dc:creator>
  <dc:description/>
  <dc:language>ru-RU</dc:language>
  <cp:lastModifiedBy/>
  <cp:lastPrinted>2021-08-09T17:22:00Z</cp:lastPrinted>
  <dcterms:modified xsi:type="dcterms:W3CDTF">2024-10-28T16:06:58Z</dcterms:modified>
  <cp:revision>285</cp:revision>
  <dc:subject/>
  <dc:title>ОТЗЫВ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