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3"/>
        <w:numPr>
          <w:ilvl w:val="0"/>
          <w:numId w:val="0"/>
        </w:numPr>
        <w:ind w:left="0" w:hanging="0"/>
        <w:outlineLvl w:val="0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Отзыв официального оппонента</w:t>
      </w:r>
    </w:p>
    <w:p>
      <w:pPr>
        <w:pStyle w:val="Default"/>
        <w:spacing w:before="120" w:after="0"/>
        <w:jc w:val="center"/>
        <w:rPr>
          <w:sz w:val="28"/>
          <w:szCs w:val="28"/>
        </w:rPr>
      </w:pPr>
      <w:r>
        <w:rPr>
          <w:sz w:val="28"/>
          <w:szCs w:val="28"/>
        </w:rPr>
        <w:t>на диссертацию Соколова Андрея Александровича на тему</w:t>
      </w:r>
    </w:p>
    <w:p>
      <w:pPr>
        <w:pStyle w:val="Default"/>
        <w:spacing w:before="120" w:after="0"/>
        <w:jc w:val="center"/>
        <w:rPr>
          <w:sz w:val="28"/>
          <w:szCs w:val="28"/>
        </w:rPr>
      </w:pPr>
      <w:r>
        <w:rPr>
          <w:sz w:val="28"/>
          <w:szCs w:val="28"/>
        </w:rPr>
        <w:t>«МАТЕМАТИЧЕСКИЕ МОДЕЛИ НЕЛОКАЛЬНОЙ ТЕРМОУПРУГОСТИ И ИХ ЧИСЛЕННАЯ РЕАЛИЗАЦИЯ»</w:t>
      </w:r>
    </w:p>
    <w:p>
      <w:pPr>
        <w:pStyle w:val="BodyText3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представленной </w:t>
      </w:r>
      <w:r>
        <w:rPr>
          <w:b w:val="false"/>
          <w:bCs w:val="false"/>
          <w:sz w:val="28"/>
          <w:szCs w:val="28"/>
        </w:rPr>
        <w:t>на соискание учёной степени кандидата</w:t>
      </w:r>
      <w:r>
        <w:rPr>
          <w:b w:val="false"/>
          <w:sz w:val="28"/>
          <w:szCs w:val="28"/>
        </w:rPr>
        <w:t xml:space="preserve"> физико-математических</w:t>
      </w:r>
      <w:r>
        <w:rPr>
          <w:b w:val="false"/>
          <w:i/>
          <w:sz w:val="28"/>
          <w:szCs w:val="28"/>
        </w:rPr>
        <w:t xml:space="preserve"> </w:t>
      </w:r>
      <w:r>
        <w:rPr>
          <w:b w:val="false"/>
          <w:sz w:val="28"/>
          <w:szCs w:val="28"/>
        </w:rPr>
        <w:t xml:space="preserve">наук </w:t>
      </w:r>
      <w:r>
        <w:rPr>
          <w:b w:val="false"/>
          <w:bCs w:val="false"/>
          <w:sz w:val="28"/>
          <w:szCs w:val="28"/>
        </w:rPr>
        <w:t xml:space="preserve">по специальности </w:t>
      </w:r>
      <w:r>
        <w:rPr>
          <w:b w:val="false"/>
          <w:sz w:val="28"/>
          <w:szCs w:val="28"/>
        </w:rPr>
        <w:t>1.2.2 – Математическое моделирование, численные методы и комплексы программ</w:t>
      </w:r>
    </w:p>
    <w:p>
      <w:pPr>
        <w:pStyle w:val="BodyText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spacing w:lineRule="auto" w:line="372"/>
        <w:rPr>
          <w:b/>
          <w:b/>
          <w:bCs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  <w:lang w:val="ru-RU"/>
        </w:rPr>
        <w:t xml:space="preserve">Актуальность работы. </w:t>
      </w:r>
      <w:r>
        <w:rPr>
          <w:b w:val="false"/>
          <w:bCs w:val="false"/>
          <w:sz w:val="28"/>
          <w:szCs w:val="28"/>
          <w:shd w:fill="auto" w:val="clear"/>
          <w:lang w:val="ru-RU"/>
        </w:rPr>
        <w:t xml:space="preserve">Диссертационная работа Соколова А.А. посвящена исследованию нелокальных моделей теплопроводности и термоупругости. Данный класс моделей позволяет учесть дальнодействующие эффекты, которые могут возникать в материалах обладающих микро- и наноструктурой. </w:t>
      </w:r>
      <w:r>
        <w:rPr>
          <w:b w:val="false"/>
          <w:bCs w:val="false"/>
          <w:sz w:val="28"/>
          <w:szCs w:val="28"/>
          <w:shd w:fill="auto" w:val="clear"/>
          <w:lang w:val="ru-RU"/>
        </w:rPr>
        <w:t>В качестве о</w:t>
      </w:r>
      <w:r>
        <w:rPr>
          <w:b w:val="false"/>
          <w:bCs w:val="false"/>
          <w:sz w:val="28"/>
          <w:szCs w:val="28"/>
          <w:shd w:fill="auto" w:val="clear"/>
          <w:lang w:val="ru-RU"/>
        </w:rPr>
        <w:t>сновн</w:t>
      </w:r>
      <w:r>
        <w:rPr>
          <w:b w:val="false"/>
          <w:bCs w:val="false"/>
          <w:sz w:val="28"/>
          <w:szCs w:val="28"/>
          <w:shd w:fill="auto" w:val="clear"/>
          <w:lang w:val="ru-RU"/>
        </w:rPr>
        <w:t>ого</w:t>
      </w:r>
      <w:r>
        <w:rPr>
          <w:b w:val="false"/>
          <w:bCs w:val="false"/>
          <w:sz w:val="28"/>
          <w:szCs w:val="28"/>
          <w:shd w:fill="auto" w:val="clear"/>
          <w:lang w:val="ru-RU"/>
        </w:rPr>
        <w:t xml:space="preserve"> преимуществ</w:t>
      </w:r>
      <w:r>
        <w:rPr>
          <w:b w:val="false"/>
          <w:bCs w:val="false"/>
          <w:sz w:val="28"/>
          <w:szCs w:val="28"/>
          <w:shd w:fill="auto" w:val="clear"/>
          <w:lang w:val="ru-RU"/>
        </w:rPr>
        <w:t>а</w:t>
      </w:r>
      <w:r>
        <w:rPr>
          <w:b w:val="false"/>
          <w:bCs w:val="false"/>
          <w:sz w:val="28"/>
          <w:szCs w:val="28"/>
          <w:shd w:fill="auto" w:val="clear"/>
          <w:lang w:val="ru-RU"/>
        </w:rPr>
        <w:t xml:space="preserve"> данного класса моделей, по сравнению с другими моделями обобщённой механики сплошной среды, можно выделить малое количество материальных параметров, требующих экспериментального уточнения. К недостаткам стоит отнести более сложную формулировку уравнений, которые выражены в интегро-дифференциальной форме, что влечёт за собой большую вычислительную сложность.</w:t>
      </w:r>
    </w:p>
    <w:p>
      <w:pPr>
        <w:pStyle w:val="TextBody"/>
        <w:spacing w:lineRule="auto" w:line="372"/>
        <w:rPr>
          <w:b/>
          <w:b/>
          <w:bCs/>
          <w:highlight w:val="none"/>
          <w:shd w:fill="auto" w:val="clear"/>
        </w:rPr>
      </w:pPr>
      <w:r>
        <w:rPr>
          <w:b w:val="false"/>
          <w:bCs w:val="false"/>
          <w:sz w:val="28"/>
          <w:szCs w:val="28"/>
          <w:shd w:fill="auto" w:val="clear"/>
          <w:lang w:val="ru-RU"/>
        </w:rPr>
        <w:t>В</w:t>
      </w:r>
      <w:r>
        <w:rPr>
          <w:b w:val="false"/>
          <w:bCs w:val="false"/>
          <w:sz w:val="28"/>
          <w:szCs w:val="28"/>
          <w:shd w:fill="auto" w:val="clear"/>
          <w:lang w:val="ru-RU"/>
        </w:rPr>
        <w:t xml:space="preserve">ажным этапом, после разработки математических моделей, является </w:t>
      </w:r>
      <w:r>
        <w:rPr>
          <w:b w:val="false"/>
          <w:bCs w:val="false"/>
          <w:sz w:val="28"/>
          <w:szCs w:val="28"/>
          <w:shd w:fill="auto" w:val="clear"/>
          <w:lang w:val="ru-RU"/>
        </w:rPr>
        <w:t>разработка</w:t>
      </w:r>
      <w:r>
        <w:rPr>
          <w:b w:val="false"/>
          <w:bCs w:val="false"/>
          <w:sz w:val="28"/>
          <w:szCs w:val="28"/>
          <w:shd w:fill="auto" w:val="clear"/>
          <w:lang w:val="ru-RU"/>
        </w:rPr>
        <w:t xml:space="preserve"> численного алгоритма решения. В работе Соколов А.А. сделал выбор в пользу метода конечных элементов, который применительно к моделям данного класса </w:t>
      </w:r>
      <w:r>
        <w:rPr>
          <w:b w:val="false"/>
          <w:bCs w:val="false"/>
          <w:sz w:val="28"/>
          <w:szCs w:val="28"/>
          <w:shd w:fill="auto" w:val="clear"/>
          <w:lang w:val="ru-RU"/>
        </w:rPr>
        <w:t>так же</w:t>
      </w:r>
      <w:r>
        <w:rPr>
          <w:b w:val="false"/>
          <w:bCs w:val="false"/>
          <w:sz w:val="28"/>
          <w:szCs w:val="28"/>
          <w:shd w:fill="auto" w:val="clear"/>
          <w:lang w:val="ru-RU"/>
        </w:rPr>
        <w:t xml:space="preserve"> принято называть методом нелокальных конечных элементов. </w:t>
      </w:r>
      <w:r>
        <w:rPr>
          <w:b w:val="false"/>
          <w:bCs w:val="false"/>
          <w:sz w:val="28"/>
          <w:szCs w:val="28"/>
          <w:shd w:fill="auto" w:val="clear"/>
          <w:lang w:val="ru-RU"/>
        </w:rPr>
        <w:t>В качестве основной особенности, предложенного алгоритма, стоит выделить способ аппроксимации области нелокального влияния, где аппроксимация происходит относительно центров конечных элементов. Это позволило упростить конечный алгоритм и представить его в форме, где алгоритм интегрирования и алгоритм формирования портрета матрицы могут быть реализованы независимо друг от друга.</w:t>
      </w:r>
    </w:p>
    <w:p>
      <w:pPr>
        <w:pStyle w:val="TextBody"/>
        <w:spacing w:lineRule="auto" w:line="372"/>
        <w:rPr/>
      </w:pPr>
      <w:r>
        <w:rPr>
          <w:b w:val="false"/>
          <w:bCs w:val="false"/>
          <w:sz w:val="28"/>
          <w:szCs w:val="28"/>
          <w:shd w:fill="auto" w:val="clear"/>
          <w:lang w:val="ru-RU"/>
        </w:rPr>
        <w:t>Но главным достижением в данной работе является программный комплекс NonLocFEM, который собрал в себе реализацию всех предложенных в работе алгоритмов. Данный программный комплекс предназначен для вычислений на многопроцессорных вычислительных машинах и в качестве инструментов для распараллеливания кода использует такие библиотеки как OpenMP и MPI. Показанные в работе результаты свидетельствуют о высокой эффективности, реализованного в программе кода, а так же о достоверности решений.</w:t>
      </w:r>
    </w:p>
    <w:p>
      <w:pPr>
        <w:pStyle w:val="TextBody"/>
        <w:spacing w:lineRule="auto" w:line="372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  <w:lang w:val="ru-RU"/>
        </w:rPr>
        <w:t xml:space="preserve">Анализ и решение интегро-дифференциальных уравнений представляет большую выислительную </w:t>
      </w:r>
      <w:r>
        <w:rPr>
          <w:b/>
          <w:bCs/>
          <w:sz w:val="28"/>
          <w:szCs w:val="28"/>
          <w:shd w:fill="auto" w:val="clear"/>
          <w:lang w:val="ru-RU"/>
        </w:rPr>
        <w:t>сложность</w:t>
      </w:r>
      <w:r>
        <w:rPr>
          <w:b w:val="false"/>
          <w:bCs w:val="false"/>
          <w:sz w:val="28"/>
          <w:szCs w:val="28"/>
          <w:shd w:fill="auto" w:val="clear"/>
          <w:lang w:val="ru-RU"/>
        </w:rPr>
        <w:t>.</w:t>
      </w:r>
    </w:p>
    <w:p>
      <w:pPr>
        <w:pStyle w:val="TextBody"/>
        <w:spacing w:lineRule="auto" w:line="372"/>
        <w:rPr/>
      </w:pPr>
      <w:r>
        <w:rPr>
          <w:b/>
          <w:bCs/>
          <w:sz w:val="28"/>
          <w:szCs w:val="28"/>
          <w:shd w:fill="auto" w:val="clear"/>
          <w:lang w:val="ru-RU"/>
        </w:rPr>
        <w:t>Научная новизна</w:t>
      </w:r>
      <w:r>
        <w:rPr>
          <w:b w:val="false"/>
          <w:bCs w:val="false"/>
          <w:sz w:val="28"/>
          <w:szCs w:val="28"/>
          <w:shd w:fill="auto" w:val="clear"/>
          <w:lang w:val="ru-RU"/>
        </w:rPr>
        <w:t xml:space="preserve"> работы состоит в исследовании нелокальных уравнений стационарной теплопроводности и термоупругости, разработке новых методов их решения и реализации программного комплекса.</w:t>
      </w:r>
    </w:p>
    <w:p>
      <w:pPr>
        <w:pStyle w:val="TextBody"/>
        <w:spacing w:lineRule="auto" w:line="372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  <w:lang w:val="ru-RU"/>
        </w:rPr>
        <w:t>Диссертация состоит из введения, пяти глав, заключения и приложения. Полный объём диссертации составляет 111 страниц, включая 37 рисунков и 9 таблиц. Список литературы содержит 138  источников.</w:t>
      </w:r>
    </w:p>
    <w:p>
      <w:pPr>
        <w:pStyle w:val="TextBody"/>
        <w:spacing w:lineRule="auto" w:line="372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  <w:lang w:val="ru-RU"/>
        </w:rPr>
        <w:t>Во введении</w:t>
      </w:r>
      <w:r>
        <w:rPr>
          <w:sz w:val="28"/>
          <w:szCs w:val="28"/>
          <w:shd w:fill="auto" w:val="clear"/>
          <w:lang w:val="ru-RU"/>
        </w:rPr>
        <w:t xml:space="preserve"> приведён широкий обзор литературы, посвящённой современным инженерным задачам, трудностям, с которыми сталкиваются исследователи, а также моделям обобщённой механики сплошной среды, предназначенные для исследования материалов обладающих микро- и наноструктурой. Также здесь объяснена актуальность темы исследования, научная новизна, вклад автора, сформулированы цели и задачи исследования, положения, выносимые автором на защиту, и другие формальные пункты.</w:t>
      </w:r>
    </w:p>
    <w:p>
      <w:pPr>
        <w:pStyle w:val="TextBody"/>
        <w:spacing w:lineRule="auto" w:line="372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  <w:lang w:val="ru-RU"/>
        </w:rPr>
        <w:t>В первой главе</w:t>
      </w:r>
      <w:r>
        <w:rPr>
          <w:sz w:val="28"/>
          <w:szCs w:val="28"/>
          <w:shd w:fill="auto" w:val="clear"/>
          <w:lang w:val="ru-RU"/>
        </w:rPr>
        <w:t xml:space="preserve"> представлены математические модели нелокальной теплопроводности и нелокальной термоупругости. Рассмотрен интегральный нелокальный оператор, на его основе сформулированы уравнения стационарной теплопроводности и равновесия в интегро-дифференциальной форме, а также предложены два семейства функций нелокального влияния: полиномиальное и экспоненциальное.</w:t>
      </w:r>
    </w:p>
    <w:p>
      <w:pPr>
        <w:pStyle w:val="TextBody"/>
        <w:spacing w:lineRule="auto" w:line="372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  <w:lang w:val="ru-RU"/>
        </w:rPr>
        <w:t>Во второй главе</w:t>
      </w:r>
      <w:r>
        <w:rPr>
          <w:sz w:val="28"/>
          <w:szCs w:val="28"/>
          <w:shd w:fill="auto" w:val="clear"/>
          <w:lang w:val="ru-RU"/>
        </w:rPr>
        <w:t xml:space="preserve"> описаны общие сведения о методе конечных элементов и схема аппроксимации уравнений стационарной теплопроводности и равновесия в нелокальных постановках. Получены матрично-векторые уравнения, основной особенностью которых является разбиение матриц теплопроводности и жёсткости на взвешенные суммы, где весовые параметры аналогичны интегральному нелокальному оператору.</w:t>
      </w:r>
    </w:p>
    <w:p>
      <w:pPr>
        <w:pStyle w:val="TextBody"/>
        <w:spacing w:lineRule="auto" w:line="372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  <w:lang w:val="ru-RU"/>
        </w:rPr>
        <w:t>Здесь же предложен способ квадратурной аппроксимации области нелокального влияния, подразумевающий аппроксимацию области относительно каждого квадратурного узла и учёт в расчёте тех элементов, квадратурные узлы которых попали в область. Представлены алгоритмы ассемблирования слагаемых систем алгебраических уравнений, соответствующих слагаемым исходных уравнений, а также вычисления производных величин, таких как вектор плотности теплового потока и тензор напряжений.</w:t>
      </w:r>
    </w:p>
    <w:p>
      <w:pPr>
        <w:pStyle w:val="TextBody"/>
        <w:spacing w:lineRule="auto" w:line="372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  <w:lang w:val="ru-RU"/>
        </w:rPr>
        <w:t>В третьей главе</w:t>
      </w:r>
      <w:r>
        <w:rPr>
          <w:sz w:val="28"/>
          <w:szCs w:val="28"/>
          <w:shd w:fill="auto" w:val="clear"/>
          <w:lang w:val="ru-RU"/>
        </w:rPr>
        <w:t xml:space="preserve"> представлена общая структура программного комплекса NonLocFEM, описана взаимосвязь модулей программы, их структура и особенности. Стоит отметить возможность использовать многопроцессорные вычислительные системы при помощи технологий OpenMP и MPI.</w:t>
      </w:r>
    </w:p>
    <w:p>
      <w:pPr>
        <w:pStyle w:val="TextBody"/>
        <w:spacing w:lineRule="auto" w:line="372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  <w:lang w:val="ru-RU"/>
        </w:rPr>
        <w:t>Далее в главе описаны алгоритмы и структуры, реализованные в программном комплексе: параллельный алгоритм ассемблирования матриц теплопроводности и жёсткости, аппроксимация области нелокального влияния относительно центров жлементов на основе k-d дерева, а также оптимизированный базис для квадратичных серендиповых элементов.</w:t>
      </w:r>
    </w:p>
    <w:p>
      <w:pPr>
        <w:pStyle w:val="TextBody"/>
        <w:spacing w:lineRule="auto" w:line="372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  <w:lang w:val="ru-RU"/>
        </w:rPr>
        <w:t>В четвёртой главе</w:t>
      </w:r>
      <w:r>
        <w:rPr>
          <w:sz w:val="28"/>
          <w:szCs w:val="28"/>
          <w:shd w:fill="auto" w:val="clear"/>
          <w:lang w:val="ru-RU"/>
        </w:rPr>
        <w:t xml:space="preserve"> представлен сравнительный анализ решений между классической постановкой и нелокальной. Продемонстрирована применимость принципов Сен-Венана и стабильности тепловых потоков в контексте нелокальных постановок. Изучено влияние нелокальных эффектов в областях с концентраторами тепловых потоков и напряжений. Проведён анализ температурных деформаций на областях с эллиптическими вырезами.</w:t>
      </w:r>
    </w:p>
    <w:p>
      <w:pPr>
        <w:pStyle w:val="TextBody"/>
        <w:spacing w:lineRule="auto" w:line="372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  <w:lang w:val="ru-RU"/>
        </w:rPr>
        <w:t>Главной особенностью нелокальных решений, по сравнению с их классическими аналогами, стоит считать кромочные эффекты, которые характеризуются увеличением температуры и перемещений вблизи точек приложения нагружений и снижением производных величи, таких как  плотность теплового потока и напряжения на свободных от нагружений границах. Также стоит отметить снижение роли концентраторов в нелокальных постановках и увеличению уровня напряжения внутри области.</w:t>
      </w:r>
    </w:p>
    <w:p>
      <w:pPr>
        <w:pStyle w:val="TextBody"/>
        <w:spacing w:lineRule="auto" w:line="372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  <w:lang w:val="ru-RU"/>
        </w:rPr>
        <w:t>В пятой главе</w:t>
      </w:r>
      <w:r>
        <w:rPr>
          <w:sz w:val="28"/>
          <w:szCs w:val="28"/>
          <w:shd w:fill="auto" w:val="clear"/>
          <w:lang w:val="ru-RU"/>
        </w:rPr>
        <w:t xml:space="preserve"> проведён анализ эффективности программного комплекса NonLocFEM. Представлены результаты ускорения расчётов на 18-ядерном процессоре Intel Core i9-10980XE, а также данные о балансировке данных между шестью вычислительными узлами, свидетельствующие о высоком уровне параллельности кода программы.</w:t>
      </w:r>
    </w:p>
    <w:p>
      <w:pPr>
        <w:pStyle w:val="TextBody"/>
        <w:spacing w:lineRule="auto" w:line="372"/>
        <w:rPr/>
      </w:pPr>
      <w:r>
        <w:rPr>
          <w:sz w:val="28"/>
          <w:szCs w:val="28"/>
          <w:shd w:fill="auto" w:val="clear"/>
          <w:lang w:val="ru-RU"/>
        </w:rPr>
        <w:t>Также был проведён анализ сходимости метода сопряжённых градиентов при вариации свободного параметра базиса и весового параметра модели. Представленные данные свидетельствуют об ускорении сходимости метода споряжённых градиентов при увеличении вклада нелокального влияния. В последнем разделе главы был предложен предобуславливатель на основе неполного разложения Холецкого локальной матрицы жёсткости. При применении такого способа предобуславливания системы удалось получить двукратное ускорение сходимости решения.</w:t>
      </w:r>
    </w:p>
    <w:p>
      <w:pPr>
        <w:pStyle w:val="TextBody"/>
        <w:spacing w:lineRule="auto" w:line="37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качестве</w:t>
      </w:r>
      <w:r>
        <w:rPr>
          <w:b/>
          <w:bCs/>
          <w:sz w:val="28"/>
          <w:szCs w:val="28"/>
          <w:lang w:val="ru-RU"/>
        </w:rPr>
        <w:t xml:space="preserve"> замечаний по работе</w:t>
      </w:r>
      <w:r>
        <w:rPr>
          <w:sz w:val="28"/>
          <w:szCs w:val="28"/>
          <w:lang w:val="ru-RU"/>
        </w:rPr>
        <w:t xml:space="preserve"> следует отметить следующее:</w:t>
      </w:r>
    </w:p>
    <w:p>
      <w:pPr>
        <w:pStyle w:val="TextBody"/>
        <w:spacing w:lineRule="auto" w:line="37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1.  </w:t>
      </w:r>
    </w:p>
    <w:p>
      <w:pPr>
        <w:pStyle w:val="TextBody"/>
        <w:spacing w:lineRule="auto" w:line="37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spacing w:lineRule="auto" w:line="37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2.  </w:t>
      </w:r>
    </w:p>
    <w:p>
      <w:pPr>
        <w:pStyle w:val="TextBody"/>
        <w:spacing w:lineRule="auto" w:line="37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spacing w:lineRule="auto" w:line="37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3.  </w:t>
      </w:r>
    </w:p>
    <w:p>
      <w:pPr>
        <w:pStyle w:val="TextBody"/>
        <w:spacing w:lineRule="auto" w:line="372"/>
        <w:ind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spacing w:lineRule="auto" w:line="37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Несмотря на высказанные замечания, работа представляет собой завершенное исследование и воспринимается как единое целое. Она содержит значительные научные результаты и может найти применение в практике.</w:t>
      </w:r>
    </w:p>
    <w:p>
      <w:pPr>
        <w:pStyle w:val="TextBody"/>
        <w:spacing w:lineRule="auto" w:line="37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spacing w:lineRule="auto" w:line="37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Считаю, что работа Соколова Андрея Александровича на тему «МАТЕМАТИЧЕСКИЕ МОДЕЛИ НЕЛОКАЛЬНОЙ ТЕРМОУПРУГОСТИ И ИХ ЧИСЛЕННАЯ РЕАЛИЗАЦИЯ» удовлетворяет всем требованиям ВАК РФ, предъявляемым к кандидатским диссертациям, а ее автор, безусловно, заслуживает присуждения ему искомой ученой степени</w:t>
      </w:r>
      <w:r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по специальности</w:t>
      </w:r>
      <w:r>
        <w:rPr>
          <w:sz w:val="28"/>
          <w:szCs w:val="28"/>
        </w:rPr>
        <w:t xml:space="preserve"> 1.</w:t>
      </w:r>
      <w:r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>.</w:t>
      </w:r>
      <w:r>
        <w:rPr>
          <w:sz w:val="28"/>
          <w:szCs w:val="28"/>
          <w:lang w:val="ru-RU"/>
        </w:rPr>
        <w:t>2 </w:t>
      </w:r>
      <w:r>
        <w:rPr>
          <w:sz w:val="28"/>
          <w:szCs w:val="28"/>
        </w:rPr>
        <w:t>– Математическое моделирование, численные методы и комплексы программ</w:t>
      </w:r>
    </w:p>
    <w:p>
      <w:pPr>
        <w:pStyle w:val="TextBody"/>
        <w:spacing w:lineRule="auto" w:line="37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spacing w:lineRule="auto" w:line="372"/>
        <w:ind w:left="0" w:hanging="0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ab/>
        <w:t>Автореферат полностью отражает содержание диссертации.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Официальный оппонент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Доктор физико-математических наук,</w:t>
        <w:tab/>
        <w:tab/>
        <w:tab/>
        <w:tab/>
        <w:t xml:space="preserve">                Евгений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Ведущий научный сотрудник,</w:t>
        <w:tab/>
        <w:tab/>
        <w:tab/>
        <w:tab/>
        <w:tab/>
        <w:t xml:space="preserve">                Борисович</w:t>
      </w:r>
    </w:p>
    <w:p>
      <w:pPr>
        <w:pStyle w:val="Normal"/>
        <w:rPr>
          <w:sz w:val="28"/>
          <w:szCs w:val="28"/>
        </w:rPr>
      </w:pPr>
      <w:r>
        <w:rPr>
          <w:sz w:val="28"/>
        </w:rPr>
        <w:t>Федеральный исследовательский центр</w:t>
      </w:r>
      <w:r>
        <w:rPr>
          <w:sz w:val="28"/>
          <w:szCs w:val="28"/>
        </w:rPr>
        <w:t xml:space="preserve">                                                  Савенков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Институт прикладной математики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имени М.В. Келдыша Российской академии наук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ab/>
        <w:tab/>
        <w:tab/>
        <w:tab/>
      </w:r>
    </w:p>
    <w:p>
      <w:pPr>
        <w:pStyle w:val="Normal"/>
        <w:ind w:left="7788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125047, Россия, Москва, </w:t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Миусская пл., д. 4. 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тел. +7 (495) </w:t>
      </w:r>
      <w:r>
        <w:rPr>
          <w:sz w:val="28"/>
          <w:szCs w:val="28"/>
          <w:shd w:fill="FFFF00" w:val="clear"/>
        </w:rPr>
        <w:t>XXX-XX-XX</w:t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  <w:t>e.savenkov@gmail.com</w:t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Подпись официального оппонента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Евгения Борисовича Савенкова заверяю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highlight w:val="yellow"/>
        </w:rPr>
        <w:t>должность, место работы</w:t>
        <w:tab/>
        <w:tab/>
        <w:tab/>
        <w:tab/>
        <w:tab/>
        <w:t>Имя, Отчество, Фамилия</w:t>
      </w:r>
    </w:p>
    <w:p>
      <w:pPr>
        <w:pStyle w:val="Normal"/>
        <w:rPr>
          <w:sz w:val="28"/>
          <w:szCs w:val="28"/>
        </w:rPr>
      </w:pPr>
      <w:r>
        <w:rPr/>
      </w:r>
    </w:p>
    <w:sectPr>
      <w:headerReference w:type="default" r:id="rId2"/>
      <w:footerReference w:type="even" r:id="rId3"/>
      <w:footerReference w:type="default" r:id="rId4"/>
      <w:footerReference w:type="first" r:id="rId5"/>
      <w:type w:val="nextPage"/>
      <w:pgSz w:w="11906" w:h="16838"/>
      <w:pgMar w:left="1418" w:right="851" w:gutter="0" w:header="720" w:top="1418" w:footer="720" w:bottom="1418"/>
      <w:pgNumType w:fmt="decimal"/>
      <w:formProt w:val="false"/>
      <w:titlePg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.05pt;width:1.1pt;height:1.1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</w:instrText>
    </w:r>
    <w:r>
      <w:rPr>
        <w:sz w:val="28"/>
        <w:szCs w:val="28"/>
      </w:rPr>
      <w:fldChar w:fldCharType="separate"/>
    </w:r>
    <w:r>
      <w:rPr>
        <w:sz w:val="28"/>
        <w:szCs w:val="28"/>
      </w:rPr>
      <w:t>5</w:t>
    </w:r>
    <w:r>
      <w:rPr>
        <w:sz w:val="28"/>
        <w:szCs w:val="28"/>
      </w:rPr>
      <w:fldChar w:fldCharType="end"/>
    </w:r>
  </w:p>
  <w:p>
    <w:pPr>
      <w:pStyle w:val="Footer"/>
      <w:rPr>
        <w:sz w:val="16"/>
      </w:rPr>
    </w:pPr>
    <w:r>
      <w:rPr>
        <w:sz w:val="16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536"/>
        <w:tab w:val="clear" w:pos="9072"/>
        <w:tab w:val="left" w:pos="8620" w:leader="none"/>
      </w:tabs>
      <w:rPr/>
    </w:pPr>
    <w:r>
      <w:rPr/>
    </w:r>
  </w:p>
</w:hdr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Body Text" w:uiPriority="99"/>
    <w:lsdException w:name="Body Text Indent" w:uiPriority="99"/>
    <w:lsdException w:name="Subtitle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jc w:val="right"/>
      <w:outlineLvl w:val="0"/>
    </w:pPr>
    <w:rPr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Emphasis">
    <w:name w:val="Emphasis"/>
    <w:uiPriority w:val="20"/>
    <w:qFormat/>
    <w:rsid w:val="00e97490"/>
    <w:rPr>
      <w:i/>
      <w:iCs/>
    </w:rPr>
  </w:style>
  <w:style w:type="character" w:styleId="Style13" w:customStyle="1">
    <w:name w:val="Основной текст с отступом Знак"/>
    <w:uiPriority w:val="99"/>
    <w:qFormat/>
    <w:rsid w:val="00d20cf8"/>
    <w:rPr>
      <w:rFonts w:ascii="Calibri" w:hAnsi="Calibri" w:eastAsia="Calibri"/>
      <w:sz w:val="22"/>
      <w:szCs w:val="22"/>
      <w:lang w:eastAsia="en-US"/>
    </w:rPr>
  </w:style>
  <w:style w:type="character" w:styleId="Style14" w:customStyle="1">
    <w:name w:val="Основной текст Знак"/>
    <w:uiPriority w:val="99"/>
    <w:qFormat/>
    <w:rsid w:val="00d20cf8"/>
    <w:rPr>
      <w:sz w:val="24"/>
    </w:rPr>
  </w:style>
  <w:style w:type="character" w:styleId="Style15" w:customStyle="1">
    <w:name w:val="Нижний колонтитул Знак"/>
    <w:link w:val="Footer"/>
    <w:uiPriority w:val="99"/>
    <w:qFormat/>
    <w:rsid w:val="00d20cf8"/>
    <w:rPr/>
  </w:style>
  <w:style w:type="character" w:styleId="Style16" w:customStyle="1">
    <w:name w:val="Текст выноски Знак"/>
    <w:link w:val="BalloonText"/>
    <w:qFormat/>
    <w:rsid w:val="00272ff9"/>
    <w:rPr>
      <w:rFonts w:ascii="Tahoma" w:hAnsi="Tahoma" w:cs="Tahoma"/>
      <w:sz w:val="16"/>
      <w:szCs w:val="16"/>
    </w:rPr>
  </w:style>
  <w:style w:type="character" w:styleId="1" w:customStyle="1">
    <w:name w:val="Стиль1 Знак Знак Знак"/>
    <w:link w:val="11"/>
    <w:qFormat/>
    <w:rsid w:val="00ee1b81"/>
    <w:rPr>
      <w:sz w:val="28"/>
      <w:szCs w:val="28"/>
      <w:lang w:val="x-none" w:eastAsia="x-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Style14"/>
    <w:uiPriority w:val="99"/>
    <w:pPr>
      <w:spacing w:lineRule="auto" w:line="360"/>
      <w:ind w:firstLine="709"/>
      <w:jc w:val="both"/>
    </w:pPr>
    <w:rPr>
      <w:sz w:val="24"/>
      <w:lang w:val="x-none" w:eastAsia="x-none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15"/>
    <w:uiPriority w:val="99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BodyText2">
    <w:name w:val="Body Text 2"/>
    <w:basedOn w:val="Normal"/>
    <w:qFormat/>
    <w:pPr>
      <w:jc w:val="both"/>
    </w:pPr>
    <w:rPr>
      <w:b/>
      <w:sz w:val="24"/>
    </w:rPr>
  </w:style>
  <w:style w:type="paragraph" w:styleId="BodyText3">
    <w:name w:val="Body Text 3"/>
    <w:basedOn w:val="Normal"/>
    <w:qFormat/>
    <w:pPr>
      <w:jc w:val="center"/>
    </w:pPr>
    <w:rPr>
      <w:b/>
      <w:bCs/>
      <w:sz w:val="24"/>
    </w:rPr>
  </w:style>
  <w:style w:type="paragraph" w:styleId="DocumentMap">
    <w:name w:val="Document Map"/>
    <w:basedOn w:val="Normal"/>
    <w:semiHidden/>
    <w:qFormat/>
    <w:rsid w:val="00981f3b"/>
    <w:pPr>
      <w:shd w:val="clear" w:color="auto" w:fill="000080"/>
    </w:pPr>
    <w:rPr>
      <w:rFonts w:ascii="Tahoma" w:hAnsi="Tahoma" w:cs="Tahoma"/>
    </w:rPr>
  </w:style>
  <w:style w:type="paragraph" w:styleId="Default" w:customStyle="1">
    <w:name w:val="Default"/>
    <w:qFormat/>
    <w:rsid w:val="00e97490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TextBodyIndent">
    <w:name w:val="Body Text Indent"/>
    <w:basedOn w:val="Normal"/>
    <w:link w:val="Style13"/>
    <w:uiPriority w:val="99"/>
    <w:unhideWhenUsed/>
    <w:rsid w:val="00d20cf8"/>
    <w:pPr>
      <w:spacing w:lineRule="auto" w:line="276" w:before="0" w:after="120"/>
      <w:ind w:left="283" w:hanging="0"/>
    </w:pPr>
    <w:rPr>
      <w:rFonts w:ascii="Calibri" w:hAnsi="Calibri" w:eastAsia="Calibri"/>
      <w:sz w:val="22"/>
      <w:szCs w:val="22"/>
      <w:lang w:val="x-none" w:eastAsia="en-US"/>
    </w:rPr>
  </w:style>
  <w:style w:type="paragraph" w:styleId="BalloonText">
    <w:name w:val="Balloon Text"/>
    <w:basedOn w:val="Normal"/>
    <w:link w:val="Style16"/>
    <w:qFormat/>
    <w:rsid w:val="00272ff9"/>
    <w:pPr/>
    <w:rPr>
      <w:rFonts w:ascii="Tahoma" w:hAnsi="Tahoma"/>
      <w:sz w:val="16"/>
      <w:szCs w:val="16"/>
      <w:lang w:val="x-none" w:eastAsia="x-none"/>
    </w:rPr>
  </w:style>
  <w:style w:type="paragraph" w:styleId="NormalWeb">
    <w:name w:val="Normal (Web)"/>
    <w:basedOn w:val="Normal"/>
    <w:uiPriority w:val="99"/>
    <w:unhideWhenUsed/>
    <w:qFormat/>
    <w:rsid w:val="00735f9a"/>
    <w:pPr>
      <w:spacing w:beforeAutospacing="1" w:afterAutospacing="1"/>
    </w:pPr>
    <w:rPr>
      <w:sz w:val="24"/>
      <w:szCs w:val="24"/>
    </w:rPr>
  </w:style>
  <w:style w:type="paragraph" w:styleId="11" w:customStyle="1">
    <w:name w:val="Стиль1 Знак Знак"/>
    <w:basedOn w:val="Normal"/>
    <w:link w:val="1"/>
    <w:qFormat/>
    <w:rsid w:val="00ee1b81"/>
    <w:pPr>
      <w:tabs>
        <w:tab w:val="clear" w:pos="708"/>
        <w:tab w:val="left" w:pos="284" w:leader="none"/>
      </w:tabs>
      <w:spacing w:lineRule="auto" w:line="360"/>
      <w:ind w:firstLine="567"/>
      <w:jc w:val="both"/>
    </w:pPr>
    <w:rPr>
      <w:sz w:val="28"/>
      <w:szCs w:val="28"/>
      <w:lang w:val="x-none" w:eastAsia="x-none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49CE11-08FF-44D9-B634-205E68CCD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2285</TotalTime>
  <Application>LibreOffice/7.3.7.2$Linux_X86_64 LibreOffice_project/30$Build-2</Application>
  <AppVersion>15.0000</AppVersion>
  <Pages>5</Pages>
  <Words>895</Words>
  <Characters>6857</Characters>
  <CharactersWithSpaces>7828</CharactersWithSpaces>
  <Paragraphs>43</Paragraphs>
  <Company>TsAGI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2021-08-23T13:14:00Z</dcterms:created>
  <dc:creator>Kalashnik A.V.</dc:creator>
  <dc:description/>
  <dc:language>ru-RU</dc:language>
  <cp:lastModifiedBy/>
  <cp:lastPrinted>2021-08-09T17:22:00Z</cp:lastPrinted>
  <dcterms:modified xsi:type="dcterms:W3CDTF">2024-10-15T22:47:59Z</dcterms:modified>
  <cp:revision>278</cp:revision>
  <dc:subject/>
  <dc:title>ОТЗЫВ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