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7FA" w:rsidRDefault="00AF15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 ДИССЕРТАЦИОННОГО СОВЕТА 24.2.331.05,</w:t>
      </w:r>
    </w:p>
    <w:p w:rsidR="00D927FA" w:rsidRDefault="00AF15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СОЗДАННОГО НА БАЗЕ ФЕДЕРАЛЬНОГО ГОСУДАРСТВЕННОГО</w:t>
      </w:r>
    </w:p>
    <w:p w:rsidR="00D927FA" w:rsidRDefault="00AF15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БЮДЖЕТНОГО ОБРАЗОВАТЕЛЬНОГО УЧРЕЖДЕНИЯ ВЫСШЕГО</w:t>
      </w:r>
    </w:p>
    <w:p w:rsidR="00D927FA" w:rsidRDefault="00AF15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ОБРАЗОВАНИЯ «МОСКОВСКИЙ ГОСУДАРСТВЕННЫЙ</w:t>
      </w:r>
    </w:p>
    <w:p w:rsidR="00D927FA" w:rsidRDefault="00AF15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ТЕХНИЧЕСКИЙ УНИВЕРСИТЕТ ИМЕНИ Н.Э. БАУМАНА</w:t>
      </w:r>
    </w:p>
    <w:p w:rsidR="00D927FA" w:rsidRDefault="00AF15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(НАЦИОНАЛЬНЫЙ </w:t>
      </w:r>
      <w:r>
        <w:rPr>
          <w:rFonts w:ascii="Times New Roman" w:hAnsi="Times New Roman" w:cs="Times New Roman"/>
          <w:b/>
          <w:sz w:val="28"/>
          <w:szCs w:val="28"/>
        </w:rPr>
        <w:t>ИССЛЕДОВАТЕЛЬСКИЙ УНИВЕРСИТЕТ)»</w:t>
      </w:r>
    </w:p>
    <w:p w:rsidR="00D927FA" w:rsidRDefault="00AF15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(МГТУ им. Н.Э. Баумана),</w:t>
      </w:r>
    </w:p>
    <w:p w:rsidR="00D927FA" w:rsidRDefault="00AF15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ДИССЕРТАЦИИ НА СОИСКАНИЕ УЧЁНОЙ СТЕПЕНИ</w:t>
      </w:r>
    </w:p>
    <w:p w:rsidR="00D927FA" w:rsidRDefault="00AF15D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КАНДИДАТА НАУК</w:t>
      </w:r>
    </w:p>
    <w:p w:rsidR="00D927FA" w:rsidRDefault="00D927F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27FA" w:rsidRDefault="00D927FA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27FA" w:rsidRDefault="00AF15D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аттестационное дело № ____________</w:t>
      </w:r>
    </w:p>
    <w:p w:rsidR="00D927FA" w:rsidRDefault="00AF15D8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диссертационного совета от 17.12.2024 г. № ___</w:t>
      </w:r>
    </w:p>
    <w:p w:rsidR="00D927FA" w:rsidRDefault="00D927FA">
      <w:pPr>
        <w:spacing w:after="0" w:line="324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927FA" w:rsidRDefault="00AF15D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>
        <w:rPr>
          <w:rFonts w:ascii="Times New Roman" w:hAnsi="Times New Roman" w:cs="Times New Roman"/>
          <w:b/>
          <w:sz w:val="28"/>
          <w:szCs w:val="28"/>
        </w:rPr>
        <w:t>Соколову Андрею Александровичу</w:t>
      </w:r>
      <w:r>
        <w:rPr>
          <w:rFonts w:ascii="Times New Roman" w:hAnsi="Times New Roman" w:cs="Times New Roman"/>
          <w:sz w:val="28"/>
          <w:szCs w:val="28"/>
        </w:rPr>
        <w:t>, гр</w:t>
      </w:r>
      <w:r>
        <w:rPr>
          <w:rFonts w:ascii="Times New Roman" w:hAnsi="Times New Roman" w:cs="Times New Roman"/>
          <w:sz w:val="28"/>
          <w:szCs w:val="28"/>
        </w:rPr>
        <w:t>ажданину Российской Федерации, учёной степени кандидата физико-математических наук.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Диссертация</w:t>
      </w:r>
      <w:r>
        <w:rPr>
          <w:rFonts w:ascii="Times New Roman" w:hAnsi="Times New Roman" w:cs="Times New Roman"/>
          <w:sz w:val="28"/>
          <w:szCs w:val="28"/>
        </w:rPr>
        <w:t xml:space="preserve"> «Математические модели нелокальной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термоупругости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их численная реализация» по специальности 1.2.2 – Математическое моделирование, численные методы и комплексы</w:t>
      </w:r>
      <w:r>
        <w:rPr>
          <w:rFonts w:ascii="Times New Roman" w:hAnsi="Times New Roman" w:cs="Times New Roman"/>
          <w:sz w:val="28"/>
          <w:szCs w:val="28"/>
        </w:rPr>
        <w:t xml:space="preserve"> программ принята к защите </w:t>
      </w:r>
      <w:r>
        <w:rPr>
          <w:rFonts w:ascii="Times New Roman" w:hAnsi="Times New Roman" w:cs="Times New Roman"/>
          <w:sz w:val="28"/>
          <w:szCs w:val="28"/>
        </w:rPr>
        <w:t>15 октября</w:t>
      </w:r>
      <w:r>
        <w:rPr>
          <w:rFonts w:ascii="Times New Roman" w:hAnsi="Times New Roman" w:cs="Times New Roman"/>
          <w:sz w:val="28"/>
          <w:szCs w:val="28"/>
        </w:rPr>
        <w:t xml:space="preserve"> 2024 года (протокол заседания №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 диссертационным советом 24.2.331.05, созданным на базе МГТУ им. Н.Э. Баумана, Министерство образования и науки РФ, 105005, Москва, 2-я Бауманская ул., д. 5, стр.1, приказ №75/</w:t>
      </w:r>
      <w:proofErr w:type="spellStart"/>
      <w:r>
        <w:rPr>
          <w:rFonts w:ascii="Times New Roman" w:hAnsi="Times New Roman" w:cs="Times New Roman"/>
          <w:sz w:val="28"/>
          <w:szCs w:val="28"/>
        </w:rPr>
        <w:t>нк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от 15</w:t>
      </w:r>
      <w:r>
        <w:rPr>
          <w:rFonts w:ascii="Times New Roman" w:hAnsi="Times New Roman" w:cs="Times New Roman"/>
          <w:sz w:val="28"/>
          <w:szCs w:val="28"/>
        </w:rPr>
        <w:t xml:space="preserve"> февраля 2013 г.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Соискатель</w:t>
      </w:r>
      <w:r>
        <w:rPr>
          <w:rFonts w:ascii="Times New Roman" w:hAnsi="Times New Roman" w:cs="Times New Roman"/>
          <w:sz w:val="28"/>
          <w:szCs w:val="28"/>
        </w:rPr>
        <w:t xml:space="preserve"> Соколов Андрей Александрович, 1997 года рождения, в 2021 году окончил магистратуру кафедры прикладной математики МГТУ им. Н.Э. Баумана по направлению подготовки 01.04.04 — Прикладная математика. Является аспирантом четвёртого го</w:t>
      </w:r>
      <w:r>
        <w:rPr>
          <w:rFonts w:ascii="Times New Roman" w:hAnsi="Times New Roman" w:cs="Times New Roman"/>
          <w:sz w:val="28"/>
          <w:szCs w:val="28"/>
        </w:rPr>
        <w:t>да обучения очного отделения аспирантуры кафедры прикладной математики МГТУ им. Н.Э. Баумана.</w:t>
      </w:r>
    </w:p>
    <w:p w:rsidR="00D927FA" w:rsidRDefault="00AF15D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Диссертация выполнена на кафедре прикладной математики МГТУ им. Н.Э. Баумана.</w:t>
      </w:r>
    </w:p>
    <w:p w:rsidR="00D927FA" w:rsidRDefault="00AF15D8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 xml:space="preserve"> — Савельева Инга Юрьевна, доктор физико-математических наук, до</w:t>
      </w:r>
      <w:r>
        <w:rPr>
          <w:rFonts w:ascii="Times New Roman" w:hAnsi="Times New Roman" w:cs="Times New Roman"/>
          <w:sz w:val="28"/>
          <w:szCs w:val="28"/>
        </w:rPr>
        <w:t xml:space="preserve">цент, исполняющий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обзанности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заведующего кафедры прикладной математики МГТУ им. Н.Э. Баумана.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Официальные оппоненты: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Бураго Николай Георгиевич, </w:t>
      </w:r>
      <w:r>
        <w:rPr>
          <w:rFonts w:ascii="Times New Roman" w:hAnsi="Times New Roman" w:cs="Times New Roman"/>
          <w:sz w:val="28"/>
          <w:szCs w:val="28"/>
        </w:rPr>
        <w:t>доктор физико-математических наук, ведущий научный сотрудник, федеральное государственное бюджетное учреждение н</w:t>
      </w:r>
      <w:r>
        <w:rPr>
          <w:rFonts w:ascii="Times New Roman" w:hAnsi="Times New Roman" w:cs="Times New Roman"/>
          <w:sz w:val="28"/>
          <w:szCs w:val="28"/>
        </w:rPr>
        <w:t>ауки Институт проблем механики имени А.Ю. </w:t>
      </w:r>
      <w:proofErr w:type="spellStart"/>
      <w:r>
        <w:rPr>
          <w:rFonts w:ascii="Times New Roman" w:hAnsi="Times New Roman" w:cs="Times New Roman"/>
          <w:sz w:val="28"/>
          <w:szCs w:val="28"/>
        </w:rPr>
        <w:t>Ишлинского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Российской академии наук;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Савенков Евгений Борисович, </w:t>
      </w:r>
      <w:r>
        <w:rPr>
          <w:rFonts w:ascii="Times New Roman" w:hAnsi="Times New Roman" w:cs="Times New Roman"/>
          <w:sz w:val="28"/>
          <w:szCs w:val="28"/>
        </w:rPr>
        <w:t>доктор физико-математических наук, ведущий научный сотрудник, федеральный исследовательский центр Институт прикладной математики им. М.В. Келдыша Рос</w:t>
      </w:r>
      <w:r>
        <w:rPr>
          <w:rFonts w:ascii="Times New Roman" w:hAnsi="Times New Roman" w:cs="Times New Roman"/>
          <w:sz w:val="28"/>
          <w:szCs w:val="28"/>
        </w:rPr>
        <w:t>сийской академии наук.</w:t>
      </w:r>
    </w:p>
    <w:p w:rsidR="00D927FA" w:rsidRDefault="00AF15D8">
      <w:pPr>
        <w:spacing w:after="0" w:line="288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дали положительные отзывы на диссертацию.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Ведущая организация:</w:t>
      </w:r>
      <w:r>
        <w:rPr>
          <w:rFonts w:ascii="Times New Roman" w:hAnsi="Times New Roman" w:cs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«Московский государственный университет имени М.В. Ломоносова», механико-математический факультет, в своём положительном заключении, подписанном заведующим кафедрой механ</w:t>
      </w:r>
      <w:r>
        <w:rPr>
          <w:rFonts w:ascii="Times New Roman" w:hAnsi="Times New Roman" w:cs="Times New Roman"/>
          <w:sz w:val="28"/>
          <w:szCs w:val="28"/>
        </w:rPr>
        <w:t xml:space="preserve">ики композитов </w:t>
      </w:r>
      <w:r>
        <w:rPr>
          <w:rFonts w:ascii="Times New Roman" w:hAnsi="Times New Roman" w:cs="Times New Roman"/>
          <w:sz w:val="28"/>
          <w:szCs w:val="28"/>
        </w:rPr>
        <w:t>Владимиром Ивановичем Горбачевым</w:t>
      </w:r>
      <w:r>
        <w:rPr>
          <w:rFonts w:ascii="Times New Roman" w:hAnsi="Times New Roman" w:cs="Times New Roman"/>
          <w:sz w:val="28"/>
          <w:szCs w:val="28"/>
        </w:rPr>
        <w:t xml:space="preserve">, доктором физико-математических наук, профессором, указала, что диссертационная работа Соколова Андрея Александровича на тему «Математические модели нелокальной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термоупругости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их численная реализация» являе</w:t>
      </w:r>
      <w:r>
        <w:rPr>
          <w:rFonts w:ascii="Times New Roman" w:hAnsi="Times New Roman" w:cs="Times New Roman"/>
          <w:sz w:val="28"/>
          <w:szCs w:val="28"/>
        </w:rPr>
        <w:t>тся завершенной научно-квалификационной работой, которая по объему, актуальности, степени научной новизны, а также теоретической и практической значимости полученных результатов полностью удовлетворяет требованиям Положения о порядке присуждения ученых сте</w:t>
      </w:r>
      <w:r>
        <w:rPr>
          <w:rFonts w:ascii="Times New Roman" w:hAnsi="Times New Roman" w:cs="Times New Roman"/>
          <w:sz w:val="28"/>
          <w:szCs w:val="28"/>
        </w:rPr>
        <w:t>пеней, предъявляемым к кандидатским диссертациям.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Положительное заключение содержит замечания:</w:t>
      </w:r>
    </w:p>
    <w:p w:rsidR="00D927FA" w:rsidRDefault="00AF15D8">
      <w:pPr>
        <w:spacing w:after="0" w:line="288" w:lineRule="auto"/>
        <w:ind w:firstLine="709"/>
        <w:jc w:val="both"/>
      </w:pPr>
      <w:r>
        <w:rPr>
          <w:rFonts w:ascii="Times New Roman" w:hAnsi="Times New Roman" w:cs="Times New Roman"/>
          <w:sz w:val="28"/>
          <w:szCs w:val="28"/>
        </w:rPr>
        <w:t>1. Во введении работы фигурирует термин «структурно-чувствительные материалы». Было бы уместно более чётко определить это понятие, так как не до конца ясно, како</w:t>
      </w:r>
      <w:r>
        <w:rPr>
          <w:rFonts w:ascii="Times New Roman" w:hAnsi="Times New Roman" w:cs="Times New Roman"/>
          <w:sz w:val="28"/>
          <w:szCs w:val="28"/>
        </w:rPr>
        <w:t>й класс материалов следует называть структурно-чувствительным.</w:t>
      </w:r>
    </w:p>
    <w:p w:rsidR="00D927FA" w:rsidRPr="00A50B7B" w:rsidRDefault="00AF15D8" w:rsidP="00A50B7B">
      <w:pPr>
        <w:spacing w:after="0" w:line="288" w:lineRule="auto"/>
        <w:ind w:firstLine="709"/>
        <w:jc w:val="both"/>
        <w:rPr>
          <w:rFonts w:eastAsiaTheme="minorEastAsia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определении интегрального нелокального оператора (1.1) фигурируют следующие параметры: весовые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параметры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2" o:spid="_x0000_s1033" type="#_x0000_t75" style="position:absolute;left:0;text-align:left;margin-left:0;margin-top:0;width:50pt;height:50pt;z-index:251658240;visibility:hidden;mso-position-horizontal-relative:text;mso-position-vertical-relative:text">
            <o:lock v:ext="edit" selection="t"/>
          </v:shape>
        </w:pic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pict>
          <v:shape id="_x0000_tole_rId4" o:spid="_x0000_s1031" type="#_x0000_t75" style="position:absolute;left:0;text-align:left;margin-left:0;margin-top:0;width:50pt;height:50pt;z-index:251659264;visibility:hidden;mso-position-horizontal-relative:text;mso-position-vertical-relative:text">
            <o:lock v:ext="edit" selection="t"/>
          </v:shape>
        </w:pic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A50B7B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функция нелокального влияния </w:t>
      </w:r>
      <w:r w:rsidRPr="00A50B7B">
        <w:rPr>
          <w:sz w:val="28"/>
          <w:szCs w:val="28"/>
        </w:rPr>
        <w:pict>
          <v:shape id="_x0000_tole_rId6" o:spid="_x0000_s1029" type="#_x0000_t75" style="position:absolute;left:0;text-align:left;margin-left:0;margin-top:0;width:50pt;height:50pt;z-index:251660288;visibility:hidden;mso-position-horizontal-relative:text;mso-position-vertical-relative:text">
            <o:lock v:ext="edit" selection="t"/>
          </v:shape>
        </w:pic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область нелокального влияни</w:t>
      </w:r>
      <w:r>
        <w:rPr>
          <w:noProof/>
          <w:lang w:eastAsia="ru-RU"/>
        </w:rPr>
        <mc:AlternateContent>
          <mc:Choice Requires="wps">
            <w:drawing>
              <wp:anchor distT="0" distB="0" distL="635" distR="0" simplePos="0" relativeHeight="251654144" behindDoc="0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1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4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635" distR="0" simplePos="0" relativeHeight="251655168" behindDoc="0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2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635" distR="0" simplePos="0" relativeHeight="251656192" behindDoc="0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2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635" distR="0" simplePos="0" relativeHeight="251657216" behindDoc="0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635000" cy="635000"/>
                <wp:effectExtent l="635" t="0" r="0" b="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40" cy="635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path="m0,0l-2147483645,0l-2147483645,-2147483646l0,-2147483646xe" stroked="f" o:allowincell="f" style="position:absolute;margin-left:0.05pt;margin-top:0.05pt;width:49.95pt;height:49.95pt;mso-wrap-style:none;v-text-anchor:middle">
                <v:fill o:detectmouseclick="t" on="false"/>
                <v:stroke color="#3465a4" joinstyle="round" endcap="flat"/>
                <w10:wrap type="non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>
        <w:pict>
          <v:shape id="_x0000_tole_rId8" o:spid="_x0000_s1027" type="#_x0000_t75" style="position:absolute;left:0;text-align:left;margin-left:0;margin-top:0;width:50pt;height:50pt;z-index:251661312;visibility:hidden;mso-position-horizontal-relative:text;mso-position-vertical-relative:text">
            <o:lock v:ext="edit" selection="t"/>
          </v:shape>
        </w:pict>
      </w:r>
      <m:oMath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S'(</m:t>
        </m:r>
        <m:r>
          <m:rPr>
            <m:sty m:val="bi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x</m:t>
        </m:r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)</m:t>
        </m:r>
      </m:oMath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в дальнейшем становятся частью уравнений теплопроводности и равновесия. Какие из этих параметров являются материальными и могут быть установлены из экспериментов?</w:t>
      </w:r>
    </w:p>
    <w:p w:rsidR="00D927FA" w:rsidRDefault="00AF15D8">
      <w:pPr>
        <w:spacing w:after="0" w:line="288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Следовало подробное объяснение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происхождения формулы (1.1.), так как, как выясняется далее, оно является фундаментальным соотношением для данной диссертационной работы.</w:t>
      </w:r>
    </w:p>
    <w:p w:rsidR="00D927FA" w:rsidRDefault="00AF15D8">
      <w:pPr>
        <w:spacing w:after="0" w:line="288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Из содержания текста перед формулой (1.2) видно, что эту формулу следовало записать для двумерной области, однако 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одержание текста после этой формулы указывает на то, что оно представлено для трёхмерной области.</w:t>
      </w:r>
    </w:p>
    <w:p w:rsidR="00D927FA" w:rsidRDefault="00AF15D8">
      <w:pPr>
        <w:spacing w:after="0" w:line="288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5. Следует также отметить, что без каких-либо объяснений представлены формулы (1.3), (1.5) и (1.6). Ссылки на замечательные работы [37-39] не совсем уместны,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 как в этих работах рассматриваются «определяющие уравнения»,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«уравнение теплопроводности» и «уравнения движения» для математической модели нелокальной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термовязкоупругой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среды.</w:t>
      </w:r>
    </w:p>
    <w:p w:rsidR="00D927FA" w:rsidRDefault="00AF15D8">
      <w:pPr>
        <w:spacing w:after="0" w:line="288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6. Не указаны в формулах индексы какие значения принимают, а также не указан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 на суммирование по повторяющимися индексам.</w:t>
      </w:r>
    </w:p>
    <w:p w:rsidR="00D927FA" w:rsidRDefault="00AF15D8">
      <w:pPr>
        <w:spacing w:after="0" w:line="288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7. На 27-ой странице при получении последних двух соотношений, которые применяются на в дальнейшем, интегрирование по частям некорректно осуществлено.</w:t>
      </w:r>
    </w:p>
    <w:p w:rsidR="00D927FA" w:rsidRDefault="00AF15D8">
      <w:pPr>
        <w:spacing w:after="0" w:line="288" w:lineRule="auto"/>
        <w:ind w:firstLine="709"/>
        <w:jc w:val="both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 На 31-ой странице на 7-ой и 8-ой строках сверху написано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«… представим векторы … в виде тензоров второго ранга, …» Это высказывание некорректно, так как векторы нельзя представить в виде тензоров второго ранга.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Соискатель</w:t>
      </w:r>
      <w:r>
        <w:rPr>
          <w:rFonts w:ascii="Times New Roman" w:hAnsi="Times New Roman" w:cs="Times New Roman"/>
          <w:sz w:val="28"/>
          <w:szCs w:val="28"/>
        </w:rPr>
        <w:t xml:space="preserve"> имеет 5 опубликованных работ по теме диссертации в изданиях, индексируемых в библиографич</w:t>
      </w:r>
      <w:r>
        <w:rPr>
          <w:rFonts w:ascii="Times New Roman" w:hAnsi="Times New Roman" w:cs="Times New Roman"/>
          <w:sz w:val="28"/>
          <w:szCs w:val="28"/>
        </w:rPr>
        <w:t xml:space="preserve">еских базах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Scopus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>
        <w:rPr>
          <w:rFonts w:ascii="Times New Roman" w:hAnsi="Times New Roman" w:cs="Times New Roman"/>
          <w:sz w:val="28"/>
          <w:szCs w:val="28"/>
        </w:rPr>
        <w:t>, либо включенных в перечень ВАК РФ, и 1 зарегистрированный программный комплекс.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работ по теме диссертации:</w:t>
      </w:r>
    </w:p>
    <w:p w:rsidR="00D927FA" w:rsidRDefault="00AF15D8">
      <w:pPr>
        <w:tabs>
          <w:tab w:val="left" w:pos="1134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B7B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Pr="00A50B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Kuvyrkin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G. N.,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Savelyeva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I. Y.,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Sokolov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A. A. Features of the software implementation of the numerical solution of stationary heat equation taking into account the effects of nonlocal finite element method // Journal of Physics: Conference Series.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2020.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</w:t>
      </w:r>
      <w:r>
        <w:rPr>
          <w:rFonts w:ascii="Times New Roman" w:hAnsi="Times New Roman" w:cs="Times New Roman"/>
          <w:color w:val="000000"/>
          <w:sz w:val="28"/>
          <w:szCs w:val="28"/>
        </w:rPr>
        <w:t>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1479.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1. (0,4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п.л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./0,2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п.л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.)</w:t>
      </w:r>
    </w:p>
    <w:p w:rsidR="00D927FA" w:rsidRDefault="00AF15D8">
      <w:pPr>
        <w:tabs>
          <w:tab w:val="left" w:pos="1134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B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2.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Kuvyrkin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G. N.,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Savelyeva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I. Y.,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Sokolov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A. A. 2D nonlocal elasticity: 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vestigation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of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stress and strain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fields in complex shape regions // Journal of Applied Mathematics and Mechanics. 2023.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103.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3. (0,6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п.л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./0,3 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п.л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.)</w:t>
      </w:r>
    </w:p>
    <w:p w:rsidR="00D927FA" w:rsidRDefault="00AF15D8">
      <w:pPr>
        <w:tabs>
          <w:tab w:val="left" w:pos="1134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Кувыркин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Г. Н., Соколов А. А. Принцип Сен-Венана в задачах нело</w:t>
      </w:r>
      <w:r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кальной теории упругости // Вестник МГТУ им. Н.Э. Баумана. Сер. Естественные науки. 2023. Т. 109. № 4. С. 4—17. (0,55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п.л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./0,3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п.л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.)</w:t>
      </w:r>
    </w:p>
    <w:p w:rsidR="00D927FA" w:rsidRDefault="00AF15D8">
      <w:pPr>
        <w:tabs>
          <w:tab w:val="left" w:pos="1134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0B7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4.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Mathematical modeling of insulating co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ating of thermal conductivity in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cluding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body`s own radiation and non-local spatial effects / A. A.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Sokolov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[et al.] // Journal of Physics: Conference Series.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2024.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Vol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2817.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 1. P. 12—28. (0,35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п.л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./0,1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п.л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.)</w:t>
      </w:r>
    </w:p>
    <w:p w:rsidR="00D927FA" w:rsidRDefault="00AF15D8">
      <w:pPr>
        <w:tabs>
          <w:tab w:val="left" w:pos="1134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Кувыркин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Г. Н., Соколов А. А. Решение з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адачи о напряженно-деформированном состоянии пластины с эллиптическим вырезом при механических и температурных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нагружениях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нелокальной постановке // Прикладная механика и техническая физика. 2024. № 4. С. 193—203. (0,4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п.л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./0,2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п.л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.)</w:t>
      </w:r>
    </w:p>
    <w:p w:rsidR="00D927FA" w:rsidRDefault="00AF15D8">
      <w:pPr>
        <w:tabs>
          <w:tab w:val="left" w:pos="1134"/>
        </w:tabs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6. Свидетельство о г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осударственной регистрации программы для ЭВМ №2021661966.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NonLocFEM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/ А. А. Соколов, И. Ю. Савельева. Зарегистрировано в Реестре программ для ЭВМ 20.07.2021.</w:t>
      </w:r>
    </w:p>
    <w:p w:rsidR="00D927FA" w:rsidRDefault="00AF15D8">
      <w:pPr>
        <w:spacing w:after="0" w:line="33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работе [1] Соколовым А.А. разработан алгоритм решения двумерного интегро-дифференциального уравн</w:t>
      </w:r>
      <w:r>
        <w:rPr>
          <w:rFonts w:ascii="Times New Roman" w:hAnsi="Times New Roman" w:cs="Times New Roman"/>
          <w:sz w:val="28"/>
          <w:szCs w:val="28"/>
        </w:rPr>
        <w:t>ения нелокальной теплопроводности, проанализирована алгоритмическая сложность и решена задача теплопроводности о прохождении теплового потока сквозь прямоугольную пластину. В работе [2] Соколов А.А. рассмотрел задачу нелокальной упругости, в которой изучал</w:t>
      </w:r>
      <w:r>
        <w:rPr>
          <w:rFonts w:ascii="Times New Roman" w:hAnsi="Times New Roman" w:cs="Times New Roman"/>
          <w:sz w:val="28"/>
          <w:szCs w:val="28"/>
        </w:rPr>
        <w:t xml:space="preserve"> особенности решений на области со ступенчатым переходом, где были выявлены особенности, связанные с полем деформации в окрестности концентратора решений. В работе [3] Соколовым А.А. изучена применимость принципа Сен-Венана к модели нелокальной упругости, </w:t>
      </w:r>
      <w:r>
        <w:rPr>
          <w:rFonts w:ascii="Times New Roman" w:hAnsi="Times New Roman" w:cs="Times New Roman"/>
          <w:sz w:val="28"/>
          <w:szCs w:val="28"/>
        </w:rPr>
        <w:t xml:space="preserve">в работе [4] — модель двумерной нелокальной теплопроводности с радиационным излучением на границе, а в работе [5] — нелокальная задача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обобщением на эллиптические вырезы; также в данной работе был проведён анализ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температурных напряжений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возникающи</w:t>
      </w:r>
      <w:r>
        <w:rPr>
          <w:rFonts w:ascii="Times New Roman" w:hAnsi="Times New Roman" w:cs="Times New Roman"/>
          <w:sz w:val="28"/>
          <w:szCs w:val="28"/>
        </w:rPr>
        <w:t xml:space="preserve">х на той же области при прохождении через неё теплового потока. Все исследования были выполнены при помощи разработанного автором программного комплекса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NonLocFEM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[6].</w:t>
      </w:r>
    </w:p>
    <w:p w:rsidR="00D927FA" w:rsidRDefault="00AF15D8">
      <w:pPr>
        <w:spacing w:after="0" w:line="288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 диссертацию и автореферат поступили отзывы от:</w:t>
      </w:r>
    </w:p>
    <w:p w:rsidR="00D927FA" w:rsidRDefault="00AF15D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="00A50B7B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Института общеинженерной </w:t>
      </w:r>
      <w:r>
        <w:rPr>
          <w:rFonts w:ascii="Times New Roman" w:hAnsi="Times New Roman" w:cs="Times New Roman"/>
          <w:sz w:val="28"/>
          <w:szCs w:val="28"/>
        </w:rPr>
        <w:t>подготовки федерального государственного бюджетного образовательного учреждения высшего образования «Московский авиационный институт (национальный исследовательский университет)». Отзыв подписан доктором физико-математических наук, доцентом кафедры «Сопрот</w:t>
      </w:r>
      <w:r>
        <w:rPr>
          <w:rFonts w:ascii="Times New Roman" w:hAnsi="Times New Roman" w:cs="Times New Roman"/>
          <w:sz w:val="28"/>
          <w:szCs w:val="28"/>
        </w:rPr>
        <w:t xml:space="preserve">ивление материалов, динамика и прочность машин» </w:t>
      </w:r>
      <w:proofErr w:type="spellStart"/>
      <w:r>
        <w:rPr>
          <w:rFonts w:ascii="Times New Roman" w:hAnsi="Times New Roman" w:cs="Times New Roman"/>
          <w:sz w:val="28"/>
          <w:szCs w:val="28"/>
        </w:rPr>
        <w:t>Федотенковым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Григорием Валерьевичем.</w:t>
      </w:r>
    </w:p>
    <w:p w:rsidR="00D927FA" w:rsidRDefault="00AF15D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2.</w:t>
      </w:r>
      <w:r w:rsidR="00A50B7B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Федерального государственного бюджетного учреждения науки Института системного программирования им. В.П. Иванникова Российской академии наук (ИСП РАН). Отзыв подписан </w:t>
      </w:r>
      <w:r>
        <w:rPr>
          <w:rFonts w:ascii="Times New Roman" w:hAnsi="Times New Roman" w:cs="Times New Roman"/>
          <w:sz w:val="28"/>
          <w:szCs w:val="28"/>
        </w:rPr>
        <w:t xml:space="preserve">кандидатом технических наук, старшим научным сотрудником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Стрижаком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Сергеем Владимировичем.</w:t>
      </w:r>
    </w:p>
    <w:p w:rsidR="00D927FA" w:rsidRDefault="00AF15D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3. Федерального государственного автономного образовательного учреждения высшего образования «Московский физико-технический институт (национальный исследовательский</w:t>
      </w:r>
      <w:r>
        <w:rPr>
          <w:rFonts w:ascii="Times New Roman" w:hAnsi="Times New Roman" w:cs="Times New Roman"/>
          <w:sz w:val="28"/>
          <w:szCs w:val="28"/>
        </w:rPr>
        <w:t xml:space="preserve"> университет)». Отзыв подписан кандидатом технических наук, доцентом, главным специалистом Ступиным Дмитрием Дмитриевичем.</w:t>
      </w:r>
    </w:p>
    <w:p w:rsidR="00D927FA" w:rsidRDefault="00D927FA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7FA" w:rsidRDefault="00AF15D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Все отзывы положительные</w:t>
      </w:r>
      <w:r>
        <w:rPr>
          <w:rFonts w:ascii="Times New Roman" w:hAnsi="Times New Roman" w:cs="Times New Roman"/>
          <w:sz w:val="28"/>
          <w:szCs w:val="28"/>
        </w:rPr>
        <w:t>. Отзывы содержат следующие замечания.</w:t>
      </w:r>
    </w:p>
    <w:p w:rsidR="00D927FA" w:rsidRDefault="00AF15D8">
      <w:pPr>
        <w:spacing w:after="0" w:line="288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1. В автореферате не указаны допустимые соотношения размеров элемент</w:t>
      </w:r>
      <w:r>
        <w:rPr>
          <w:rFonts w:ascii="Times New Roman" w:hAnsi="Times New Roman" w:cs="Times New Roman"/>
          <w:sz w:val="28"/>
          <w:szCs w:val="28"/>
        </w:rPr>
        <w:t xml:space="preserve">ов сетки и радиуса нелокального влияния. Также не совсем ясен </w:t>
      </w:r>
      <w:r>
        <w:rPr>
          <w:rFonts w:ascii="Times New Roman" w:hAnsi="Times New Roman" w:cs="Times New Roman"/>
          <w:sz w:val="28"/>
          <w:szCs w:val="28"/>
        </w:rPr>
        <w:lastRenderedPageBreak/>
        <w:t>принцип, по которому можно перейти от одного способа аппроксимации области нелокального влияния к другому.</w:t>
      </w:r>
    </w:p>
    <w:p w:rsidR="00D927FA" w:rsidRDefault="00AF15D8">
      <w:pPr>
        <w:spacing w:after="0" w:line="288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2. Не ясным остаётся способ оценки эффективности распараллеливания алгоритма ассемблир</w:t>
      </w:r>
      <w:r>
        <w:rPr>
          <w:rFonts w:ascii="Times New Roman" w:hAnsi="Times New Roman" w:cs="Times New Roman"/>
          <w:sz w:val="28"/>
          <w:szCs w:val="28"/>
        </w:rPr>
        <w:t>ования матриц теплопроводности и жёсткости. Почему в локальном случае рассмотрения классических матриц эффективность распараллеливания ниже, чем в нелокальном?</w:t>
      </w:r>
    </w:p>
    <w:p w:rsidR="00D927FA" w:rsidRDefault="00AF15D8">
      <w:pPr>
        <w:spacing w:after="0" w:line="288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3. С учётом того, что основой численного метода является метод конечных элементов, не совсем яс</w:t>
      </w:r>
      <w:r>
        <w:rPr>
          <w:rFonts w:ascii="Times New Roman" w:hAnsi="Times New Roman" w:cs="Times New Roman"/>
          <w:sz w:val="28"/>
          <w:szCs w:val="28"/>
        </w:rPr>
        <w:t>на целесообразность создания собственного программного комплекса вместо написания модуля к уже существующим. Это бы позволило решать более сложные задачи и сосредоточить внимание на математической стороне вопроса. Сам выбор метода конечных элементов не сов</w:t>
      </w:r>
      <w:r>
        <w:rPr>
          <w:rFonts w:ascii="Times New Roman" w:hAnsi="Times New Roman" w:cs="Times New Roman"/>
          <w:sz w:val="28"/>
          <w:szCs w:val="28"/>
        </w:rPr>
        <w:t>сем понятен: почему приоритет отдан именно ему, а не, например, методу контрольных объёмов, обеспечивающему строгое выполнение балансовых соотношений.</w:t>
      </w:r>
    </w:p>
    <w:p w:rsidR="00D927FA" w:rsidRDefault="00AF15D8">
      <w:pPr>
        <w:spacing w:after="0" w:line="288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4. В автореферате нет указаний на примеры решения каких-либо практических задач. Кроме того, не вполне п</w:t>
      </w:r>
      <w:r>
        <w:rPr>
          <w:rFonts w:ascii="Times New Roman" w:hAnsi="Times New Roman" w:cs="Times New Roman"/>
          <w:sz w:val="28"/>
          <w:szCs w:val="28"/>
        </w:rPr>
        <w:t xml:space="preserve">онятно,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какх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физических экспериментов можно установить параметры, характеризующие нелокальные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материала  (</w:t>
      </w:r>
      <w:proofErr w:type="gramEnd"/>
      <w:r>
        <w:rPr>
          <w:rFonts w:ascii="Times New Roman" w:hAnsi="Times New Roman" w:cs="Times New Roman"/>
          <w:sz w:val="28"/>
          <w:szCs w:val="28"/>
        </w:rPr>
        <w:t>вид функции нелокального влияния, характерный размер носителя этой функции, весовые параметры). Всё это несколько снижает практическую цен</w:t>
      </w:r>
      <w:r>
        <w:rPr>
          <w:rFonts w:ascii="Times New Roman" w:hAnsi="Times New Roman" w:cs="Times New Roman"/>
          <w:sz w:val="28"/>
          <w:szCs w:val="28"/>
        </w:rPr>
        <w:t>ность представленных результатов.</w:t>
      </w:r>
    </w:p>
    <w:p w:rsidR="00D927FA" w:rsidRDefault="00AF15D8">
      <w:pPr>
        <w:spacing w:after="0" w:line="288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5. Отсутствуют какие-либо оценки абсолютных затрат времени на выполнение расчётов, хотя бы по сравнению с решением аналогичных по постановке задач, но в рамках классических («локальных») моделей. Нет данных по эффективнос</w:t>
      </w:r>
      <w:r>
        <w:rPr>
          <w:rFonts w:ascii="Times New Roman" w:hAnsi="Times New Roman" w:cs="Times New Roman"/>
          <w:sz w:val="28"/>
          <w:szCs w:val="28"/>
        </w:rPr>
        <w:t>ти распараллеливания алгоритма при использовании технологии MPI.</w:t>
      </w:r>
    </w:p>
    <w:p w:rsidR="00D927FA" w:rsidRPr="00A50B7B" w:rsidRDefault="00AF15D8">
      <w:pPr>
        <w:spacing w:after="0" w:line="288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ab/>
        <w:t>6. В автореферате были приведены два семейства функций нелокального влияния, но не были описаны различия между ними. В связи с этим представляется неясным, из каких соображений нужно выбират</w:t>
      </w:r>
      <w:r>
        <w:rPr>
          <w:rFonts w:ascii="Times New Roman" w:hAnsi="Times New Roman" w:cs="Times New Roman"/>
          <w:sz w:val="28"/>
          <w:szCs w:val="28"/>
        </w:rPr>
        <w:t>ь ту или иную функцию нелокального влияния и другие параметры нелокальной модели. Кроме того, автореферат представляется несколько перегруженным в плане различных формул, возможно, в ущерб объяснениям полученных результатов с точки зрения физического смысл</w:t>
      </w:r>
      <w:r>
        <w:rPr>
          <w:rFonts w:ascii="Times New Roman" w:hAnsi="Times New Roman" w:cs="Times New Roman"/>
          <w:sz w:val="28"/>
          <w:szCs w:val="28"/>
        </w:rPr>
        <w:t>а.</w:t>
      </w:r>
    </w:p>
    <w:p w:rsidR="00A50B7B" w:rsidRPr="00A50B7B" w:rsidRDefault="00AF15D8" w:rsidP="00033C4F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Выбор оппонентом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доктора физико-математических наук, ведущего научного сотрудника федерального государственного бюджетного учреждения науки Института проблем механики имени А.Ю. </w:t>
      </w:r>
      <w:proofErr w:type="spellStart"/>
      <w:r>
        <w:rPr>
          <w:rFonts w:ascii="Times New Roman" w:hAnsi="Times New Roman" w:cs="Times New Roman"/>
          <w:sz w:val="28"/>
          <w:szCs w:val="28"/>
        </w:rPr>
        <w:t>Ишлинского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Российской академии наук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Бураго Николая Георгиевича </w:t>
      </w:r>
      <w:r>
        <w:rPr>
          <w:rFonts w:ascii="Times New Roman" w:hAnsi="Times New Roman" w:cs="Times New Roman"/>
          <w:sz w:val="28"/>
          <w:szCs w:val="28"/>
        </w:rPr>
        <w:t xml:space="preserve">обусловлен </w:t>
      </w:r>
      <w:r>
        <w:rPr>
          <w:rFonts w:ascii="Times New Roman" w:hAnsi="Times New Roman" w:cs="Times New Roman"/>
          <w:sz w:val="28"/>
          <w:szCs w:val="28"/>
        </w:rPr>
        <w:t xml:space="preserve">его достижениями в </w:t>
      </w:r>
      <w:r>
        <w:rPr>
          <w:rFonts w:ascii="Times New Roman" w:hAnsi="Times New Roman" w:cs="Times New Roman"/>
          <w:sz w:val="28"/>
          <w:szCs w:val="28"/>
        </w:rPr>
        <w:lastRenderedPageBreak/>
        <w:t>разработке аналитических и численных методов и алгоритмов решения задач механики деформируемого твердого тела.</w:t>
      </w:r>
    </w:p>
    <w:p w:rsidR="00D927FA" w:rsidRDefault="00AF15D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ыбор оппонентом доктора физико-математических наук, ведущего научного сотрудника федерального исследовательского центра Институт прикладной математики им. М.В. Келдыша</w:t>
      </w:r>
      <w:r>
        <w:rPr>
          <w:rFonts w:ascii="Times New Roman" w:hAnsi="Times New Roman" w:cs="Times New Roman"/>
          <w:sz w:val="28"/>
          <w:szCs w:val="28"/>
        </w:rPr>
        <w:t xml:space="preserve"> Российской академии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наук,  Савенкова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Евгения Борисовича связан с тем, что он является</w:t>
      </w:r>
      <w:r>
        <w:rPr>
          <w:rFonts w:ascii="Times New Roman" w:hAnsi="Times New Roman" w:cs="Times New Roman"/>
          <w:sz w:val="28"/>
          <w:szCs w:val="28"/>
        </w:rPr>
        <w:t xml:space="preserve"> специалистом в области математического моделирования, разработки и применения численных методов для решения широкого класса задач механики сплошной среды.</w:t>
      </w:r>
    </w:p>
    <w:p w:rsidR="00D927FA" w:rsidRDefault="00AF15D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федерального государственного бюджетного образовательного учреждения высшего образования «Московский государственный университет имен</w:t>
      </w:r>
      <w:r>
        <w:rPr>
          <w:rFonts w:ascii="Times New Roman" w:hAnsi="Times New Roman" w:cs="Times New Roman"/>
          <w:sz w:val="28"/>
          <w:szCs w:val="28"/>
        </w:rPr>
        <w:t>и М.В. Ломоносова» в качестве ведущей организации обусловлен тем, что данный университет является одним из лидеров в стране в области математического моделирования, численных методов и вычислительных технологий, представлен следующими ведущими специалистам</w:t>
      </w:r>
      <w:r>
        <w:rPr>
          <w:rFonts w:ascii="Times New Roman" w:hAnsi="Times New Roman" w:cs="Times New Roman"/>
          <w:sz w:val="28"/>
          <w:szCs w:val="28"/>
        </w:rPr>
        <w:t xml:space="preserve">и. </w:t>
      </w:r>
    </w:p>
    <w:p w:rsidR="00D927FA" w:rsidRDefault="00AF15D8">
      <w:pPr>
        <w:spacing w:after="0" w:line="288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Доктор физико-математических наук, профессор 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Никабадзе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Михаил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Ушангиевич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специалистом </w:t>
      </w:r>
      <w:r>
        <w:rPr>
          <w:rFonts w:ascii="Times New Roman" w:hAnsi="Times New Roman" w:cs="Times New Roman"/>
          <w:sz w:val="28"/>
          <w:szCs w:val="28"/>
        </w:rPr>
        <w:t>в области неклассических моделей микронеоднородных сред (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микрополярные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среды,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наноструктуры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D927FA" w:rsidRDefault="00AF15D8">
      <w:pPr>
        <w:spacing w:after="0" w:line="288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Заведующий кафедрой теории упругости, профессор РАН, доктор фи</w:t>
      </w:r>
      <w:r>
        <w:rPr>
          <w:rFonts w:ascii="Times New Roman" w:hAnsi="Times New Roman" w:cs="Times New Roman"/>
          <w:sz w:val="28"/>
          <w:szCs w:val="28"/>
        </w:rPr>
        <w:t>зико-математических наук, профессор Георгиевский Дмитрий Владимирович – признанный специалист в области нелинейных моделей механики сплошной среды, а также в области многомасштабного моделирования.</w:t>
      </w:r>
    </w:p>
    <w:p w:rsidR="00D927FA" w:rsidRDefault="00AF15D8">
      <w:pPr>
        <w:spacing w:after="0" w:line="288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Доктор технических наук, профессор Лурье Сергей </w:t>
      </w:r>
      <w:r>
        <w:rPr>
          <w:rFonts w:ascii="Times New Roman" w:hAnsi="Times New Roman" w:cs="Times New Roman"/>
          <w:sz w:val="28"/>
          <w:szCs w:val="28"/>
        </w:rPr>
        <w:t xml:space="preserve">Альбертович является специалистом в области градиентной теории упругости, механики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нанокомпозитных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материалов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метаматериалов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27FA" w:rsidRDefault="00AF15D8">
      <w:pPr>
        <w:spacing w:after="0" w:line="288" w:lineRule="auto"/>
        <w:ind w:firstLine="708"/>
        <w:jc w:val="both"/>
      </w:pPr>
      <w:r>
        <w:rPr>
          <w:rFonts w:ascii="Times New Roman" w:hAnsi="Times New Roman" w:cs="Times New Roman"/>
          <w:sz w:val="28"/>
          <w:szCs w:val="28"/>
        </w:rPr>
        <w:t>Заведующий кафедрой механики композитов, доктор физико-математических наук, профессор Горбачев Владимир Иванович — известный спе</w:t>
      </w:r>
      <w:r>
        <w:rPr>
          <w:rFonts w:ascii="Times New Roman" w:hAnsi="Times New Roman" w:cs="Times New Roman"/>
          <w:sz w:val="28"/>
          <w:szCs w:val="28"/>
        </w:rPr>
        <w:t xml:space="preserve">циалист в области моментных моделей упругости, а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термоупругости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нанокомпозитов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927FA" w:rsidRDefault="00AF15D8">
      <w:pPr>
        <w:spacing w:after="0" w:line="32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Диссертационный совет отмечает</w:t>
      </w:r>
      <w:r>
        <w:rPr>
          <w:rFonts w:ascii="Times New Roman" w:hAnsi="Times New Roman" w:cs="Times New Roman"/>
          <w:sz w:val="28"/>
          <w:szCs w:val="28"/>
        </w:rPr>
        <w:t>, что на основании выполненных соискателем исследований:</w:t>
      </w:r>
    </w:p>
    <w:p w:rsidR="00D927FA" w:rsidRDefault="00AF15D8">
      <w:pPr>
        <w:spacing w:after="0" w:line="324" w:lineRule="auto"/>
        <w:ind w:firstLine="708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разработаны </w:t>
      </w:r>
      <w:r>
        <w:rPr>
          <w:rFonts w:ascii="Times New Roman" w:hAnsi="Times New Roman" w:cs="Times New Roman"/>
          <w:sz w:val="28"/>
          <w:szCs w:val="28"/>
        </w:rPr>
        <w:t xml:space="preserve">численные алгоритмы решения уравнения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стационарной  теплопроводности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равновесия в нелокальных постановках на основе метода конечных элементов для исследования полей температуры, плотности теплового потока, перемещений, деформации и напряжений; предложенные алгоритмы адаптированы для вычислений на многопроцессорных вычислите</w:t>
      </w:r>
      <w:r>
        <w:rPr>
          <w:rFonts w:ascii="Times New Roman" w:hAnsi="Times New Roman" w:cs="Times New Roman"/>
          <w:sz w:val="28"/>
          <w:szCs w:val="28"/>
        </w:rPr>
        <w:t>льных машинах с общей и распределённой памятью;</w:t>
      </w:r>
    </w:p>
    <w:p w:rsidR="00D927FA" w:rsidRDefault="00AF15D8">
      <w:pPr>
        <w:spacing w:after="0" w:line="324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разработан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программный комплекс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NonLocFEM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в рамках которого были реализованы все предложенные в работе алгоритмы, в частности, алгоритмы ассемблирования матриц теплопроводности и жёсткости; алгоритмы аппрокс</w:t>
      </w:r>
      <w:r>
        <w:rPr>
          <w:rFonts w:ascii="Times New Roman" w:hAnsi="Times New Roman" w:cs="Times New Roman"/>
          <w:bCs/>
          <w:sz w:val="28"/>
          <w:szCs w:val="28"/>
        </w:rPr>
        <w:t xml:space="preserve">имации области нелокального влияния, использующие k-d деревья; алгоритмы балансировки данных; алгоритмы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предобуславливания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решения систем линейных алгебраических уравнений.</w:t>
      </w:r>
    </w:p>
    <w:p w:rsidR="00D927FA" w:rsidRDefault="00AF15D8">
      <w:pPr>
        <w:spacing w:after="0" w:line="324" w:lineRule="auto"/>
        <w:ind w:firstLine="708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исследованы </w:t>
      </w:r>
      <w:r>
        <w:rPr>
          <w:rFonts w:ascii="Times New Roman" w:hAnsi="Times New Roman" w:cs="Times New Roman"/>
          <w:sz w:val="28"/>
          <w:szCs w:val="28"/>
        </w:rPr>
        <w:t xml:space="preserve">два параметрических семейства функций нелокального влияния, проведён </w:t>
      </w:r>
      <w:r>
        <w:rPr>
          <w:rFonts w:ascii="Times New Roman" w:hAnsi="Times New Roman" w:cs="Times New Roman"/>
          <w:sz w:val="28"/>
          <w:szCs w:val="28"/>
        </w:rPr>
        <w:t>сравнительный анализ влияния параметров функций на отклонения решений относительно классических;</w:t>
      </w:r>
    </w:p>
    <w:p w:rsidR="00D927FA" w:rsidRDefault="00AF15D8">
      <w:pPr>
        <w:spacing w:after="0" w:line="324" w:lineRule="auto"/>
        <w:ind w:firstLine="708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исследованы</w:t>
      </w:r>
      <w:r>
        <w:rPr>
          <w:rFonts w:ascii="Times New Roman" w:hAnsi="Times New Roman" w:cs="Times New Roman"/>
          <w:sz w:val="28"/>
          <w:szCs w:val="28"/>
        </w:rPr>
        <w:t xml:space="preserve"> принципы Сен-Венана и стабильности тепловых потоков в контексте нелокальных постановок задач: показано, что вдали от точек приложения тепловых или </w:t>
      </w:r>
      <w:r>
        <w:rPr>
          <w:rFonts w:ascii="Times New Roman" w:hAnsi="Times New Roman" w:cs="Times New Roman"/>
          <w:sz w:val="28"/>
          <w:szCs w:val="28"/>
        </w:rPr>
        <w:t xml:space="preserve">механических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нагружений</w:t>
      </w:r>
      <w:proofErr w:type="spellEnd"/>
      <w:r>
        <w:rPr>
          <w:rFonts w:ascii="Times New Roman" w:hAnsi="Times New Roman" w:cs="Times New Roman"/>
          <w:sz w:val="28"/>
          <w:szCs w:val="28"/>
        </w:rPr>
        <w:t>, кривые напряжения и плотности теплового потока сливаются в единые поверхности, которые характеризуются наличием кромочного эффекта на свободных от условий границах;</w:t>
      </w:r>
    </w:p>
    <w:p w:rsidR="00D927FA" w:rsidRDefault="00AF15D8">
      <w:pPr>
        <w:spacing w:after="0" w:line="324" w:lineRule="auto"/>
        <w:ind w:firstLine="708"/>
        <w:jc w:val="both"/>
        <w:rPr>
          <w:b/>
          <w:bCs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исследованы</w:t>
      </w:r>
      <w:r>
        <w:rPr>
          <w:rFonts w:ascii="Times New Roman" w:hAnsi="Times New Roman" w:cs="Times New Roman"/>
          <w:sz w:val="28"/>
          <w:szCs w:val="28"/>
        </w:rPr>
        <w:t xml:space="preserve"> решения в областях с концентраторами полей напряжения </w:t>
      </w:r>
      <w:r>
        <w:rPr>
          <w:rFonts w:ascii="Times New Roman" w:hAnsi="Times New Roman" w:cs="Times New Roman"/>
          <w:sz w:val="28"/>
          <w:szCs w:val="28"/>
        </w:rPr>
        <w:t xml:space="preserve">и плотности теплового потока на примере решения задач о растяжении Т-образной пластины и задачи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Кирша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обобщением на эллиптические вырезы; полученные решения демонстрируют снижение роли концентраторов в решениях;</w:t>
      </w:r>
    </w:p>
    <w:p w:rsidR="00D927FA" w:rsidRDefault="00AF15D8">
      <w:pPr>
        <w:spacing w:after="0" w:line="324" w:lineRule="auto"/>
        <w:ind w:firstLine="708"/>
        <w:jc w:val="both"/>
      </w:pPr>
      <w:r>
        <w:rPr>
          <w:rFonts w:ascii="Times New Roman" w:hAnsi="Times New Roman" w:cs="Times New Roman"/>
          <w:b/>
          <w:bCs/>
          <w:sz w:val="28"/>
          <w:szCs w:val="28"/>
        </w:rPr>
        <w:t>исследованы</w:t>
      </w:r>
      <w:r>
        <w:rPr>
          <w:rFonts w:ascii="Times New Roman" w:hAnsi="Times New Roman" w:cs="Times New Roman"/>
          <w:sz w:val="28"/>
          <w:szCs w:val="28"/>
        </w:rPr>
        <w:t xml:space="preserve"> возможности ускорения сходимос</w:t>
      </w:r>
      <w:r>
        <w:rPr>
          <w:rFonts w:ascii="Times New Roman" w:hAnsi="Times New Roman" w:cs="Times New Roman"/>
          <w:sz w:val="28"/>
          <w:szCs w:val="28"/>
        </w:rPr>
        <w:t>ти метода сопряжённых градиентов при решении систем алгебраических уравнений, полученных после дискретизации уравнений стационарной теплопроводности и равновесия в нелокальных постановках при помощи метода конечных элементов.</w:t>
      </w:r>
    </w:p>
    <w:p w:rsidR="00D927FA" w:rsidRDefault="00AF15D8">
      <w:pPr>
        <w:spacing w:after="0" w:line="319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Теоретическая значимость иссле</w:t>
      </w:r>
      <w:r>
        <w:rPr>
          <w:rFonts w:ascii="Times New Roman" w:hAnsi="Times New Roman" w:cs="Times New Roman"/>
          <w:b/>
          <w:sz w:val="28"/>
          <w:szCs w:val="28"/>
        </w:rPr>
        <w:t>дования обоснована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тем, что рассматриваемая математическая модель, описывающая термомеханическое состояние среды с учётом пространственной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нелокальности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позволяет моделировать внутренние термодинамические эффекты, такие как кромочные эффекты.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Значение пол</w:t>
      </w:r>
      <w:r>
        <w:rPr>
          <w:rFonts w:ascii="Times New Roman" w:hAnsi="Times New Roman" w:cs="Times New Roman"/>
          <w:b/>
          <w:sz w:val="28"/>
          <w:szCs w:val="28"/>
        </w:rPr>
        <w:t>ученных соискателем результатов исследования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практики </w:t>
      </w:r>
      <w:r>
        <w:rPr>
          <w:rFonts w:ascii="Times New Roman" w:hAnsi="Times New Roman" w:cs="Times New Roman"/>
          <w:sz w:val="28"/>
          <w:szCs w:val="28"/>
        </w:rPr>
        <w:t xml:space="preserve">состоит в разработанных алгоритмах ассемблирования матриц теплопроводности и жёсткости с учётом пространственной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нелокальности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>, их адаптации под многопроцессорные вычислительные системы и реализацию</w:t>
      </w:r>
      <w:r>
        <w:rPr>
          <w:rFonts w:ascii="Times New Roman" w:hAnsi="Times New Roman" w:cs="Times New Roman"/>
          <w:sz w:val="28"/>
          <w:szCs w:val="28"/>
        </w:rPr>
        <w:t xml:space="preserve"> в виде собственного программного комплекса, который позволяет проводить расчёты на неструктурированных сетках, образующих области произвольной </w:t>
      </w:r>
      <w:r>
        <w:rPr>
          <w:rFonts w:ascii="Times New Roman" w:hAnsi="Times New Roman" w:cs="Times New Roman"/>
          <w:sz w:val="28"/>
          <w:szCs w:val="28"/>
        </w:rPr>
        <w:lastRenderedPageBreak/>
        <w:t>формы. Программный комплекс обрабатывает структурированные запросы, что даёт широкие возможности пользователю дл</w:t>
      </w:r>
      <w:r>
        <w:rPr>
          <w:rFonts w:ascii="Times New Roman" w:hAnsi="Times New Roman" w:cs="Times New Roman"/>
          <w:sz w:val="28"/>
          <w:szCs w:val="28"/>
        </w:rPr>
        <w:t>я настройки параметров модели и расчёта. Модульная структура программного комплекса позволяет добавлять новые типы расчётов в программу, не меняя общей структуры программы.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Оценка достоверности результатов исследования</w:t>
      </w:r>
      <w:r>
        <w:rPr>
          <w:rFonts w:ascii="Times New Roman" w:hAnsi="Times New Roman" w:cs="Times New Roman"/>
          <w:sz w:val="28"/>
          <w:szCs w:val="28"/>
        </w:rPr>
        <w:t xml:space="preserve"> выявила следующее:</w:t>
      </w:r>
    </w:p>
    <w:p w:rsidR="00D927FA" w:rsidRDefault="00AF15D8">
      <w:pPr>
        <w:pStyle w:val="ab"/>
        <w:numPr>
          <w:ilvl w:val="0"/>
          <w:numId w:val="1"/>
        </w:numPr>
        <w:tabs>
          <w:tab w:val="left" w:pos="1276"/>
        </w:tabs>
        <w:spacing w:after="0" w:line="288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получен</w:t>
      </w:r>
      <w:r>
        <w:rPr>
          <w:rFonts w:ascii="Times New Roman" w:hAnsi="Times New Roman" w:cs="Times New Roman"/>
          <w:sz w:val="28"/>
          <w:szCs w:val="28"/>
        </w:rPr>
        <w:t>ы с помощью использования строгого математического аппарата и согласуются с известными результатами других авторов;</w:t>
      </w:r>
    </w:p>
    <w:p w:rsidR="00D927FA" w:rsidRDefault="00AF15D8">
      <w:pPr>
        <w:pStyle w:val="ab"/>
        <w:numPr>
          <w:ilvl w:val="0"/>
          <w:numId w:val="1"/>
        </w:numPr>
        <w:tabs>
          <w:tab w:val="left" w:pos="1276"/>
        </w:tabs>
        <w:spacing w:after="0" w:line="288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 xml:space="preserve">работоспособность предложенных методов подтверждена результатами </w:t>
      </w:r>
      <w:r>
        <w:rPr>
          <w:rFonts w:ascii="Times New Roman" w:hAnsi="Times New Roman" w:cs="Times New Roman"/>
          <w:sz w:val="28"/>
          <w:szCs w:val="28"/>
        </w:rPr>
        <w:t>математического моделирования.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Личный вклад соискателя. </w:t>
      </w:r>
      <w:r>
        <w:rPr>
          <w:rFonts w:ascii="Times New Roman" w:hAnsi="Times New Roman" w:cs="Times New Roman"/>
          <w:sz w:val="28"/>
          <w:szCs w:val="28"/>
        </w:rPr>
        <w:t xml:space="preserve">Все исследования, </w:t>
      </w:r>
      <w:r>
        <w:rPr>
          <w:rFonts w:ascii="Times New Roman" w:hAnsi="Times New Roman" w:cs="Times New Roman"/>
          <w:sz w:val="28"/>
          <w:szCs w:val="28"/>
        </w:rPr>
        <w:t>изложенные в диссертации, выполнены соискателем лично в процессе научной деятельности. Из совместных публикаций включен только тот материал, который принадлежит соискателю.</w:t>
      </w:r>
    </w:p>
    <w:p w:rsidR="00D927FA" w:rsidRDefault="00AF15D8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защиты диссертации были высказаны следующие </w:t>
      </w:r>
      <w:r>
        <w:rPr>
          <w:rFonts w:ascii="Times New Roman" w:hAnsi="Times New Roman" w:cs="Times New Roman"/>
          <w:b/>
          <w:sz w:val="28"/>
          <w:szCs w:val="28"/>
        </w:rPr>
        <w:t>критические замечания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C0765" w:rsidRDefault="00B46533" w:rsidP="00CC0765">
      <w:pPr>
        <w:pStyle w:val="LO-normal"/>
        <w:spacing w:line="372" w:lineRule="auto"/>
        <w:ind w:firstLine="70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1.</w:t>
      </w:r>
      <w:r w:rsidR="00A24315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A24315" w:rsidRPr="00A24315">
        <w:rPr>
          <w:rFonts w:eastAsia="Times New Roman" w:cs="Times New Roman"/>
          <w:color w:val="000000"/>
          <w:sz w:val="28"/>
          <w:szCs w:val="28"/>
        </w:rPr>
        <w:t>Во введении работы фигурирует термин «структурно-чувствительные материалы». Было бы уместно более чётко определить это понятие, так как не до конца ясно, какой класс материалов следует называть структурно-чувствительным.</w:t>
      </w:r>
    </w:p>
    <w:p w:rsidR="00CC0765" w:rsidRPr="00CC0765" w:rsidRDefault="00CC0765" w:rsidP="00CC0765">
      <w:pPr>
        <w:pStyle w:val="LO-normal"/>
        <w:spacing w:line="372" w:lineRule="auto"/>
        <w:ind w:firstLine="70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2.</w:t>
      </w:r>
      <w:r w:rsidR="00B46533">
        <w:rPr>
          <w:rFonts w:eastAsia="Times New Roman" w:cs="Times New Roman"/>
          <w:color w:val="000000"/>
          <w:sz w:val="28"/>
          <w:szCs w:val="28"/>
        </w:rPr>
        <w:t xml:space="preserve"> </w:t>
      </w:r>
      <w:r w:rsidRPr="00CC0765">
        <w:rPr>
          <w:rFonts w:eastAsia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CC0765">
        <w:rPr>
          <w:rFonts w:eastAsia="Times New Roman" w:cs="Times New Roman"/>
          <w:color w:val="000000"/>
          <w:sz w:val="28"/>
          <w:szCs w:val="28"/>
        </w:rPr>
        <w:t>предобуславливания</w:t>
      </w:r>
      <w:proofErr w:type="spellEnd"/>
      <w:r w:rsidRPr="00CC0765">
        <w:rPr>
          <w:rFonts w:eastAsia="Times New Roman" w:cs="Times New Roman"/>
          <w:color w:val="000000"/>
          <w:sz w:val="28"/>
          <w:szCs w:val="28"/>
        </w:rPr>
        <w:t xml:space="preserve"> системы линейных алгебраических уравнений конечно-элементных аппроксимаций использован алгоритм неполного разложения </w:t>
      </w:r>
      <w:proofErr w:type="spellStart"/>
      <w:r w:rsidRPr="00CC0765">
        <w:rPr>
          <w:rFonts w:eastAsia="Times New Roman" w:cs="Times New Roman"/>
          <w:color w:val="000000"/>
          <w:sz w:val="28"/>
          <w:szCs w:val="28"/>
        </w:rPr>
        <w:t>Холецкого</w:t>
      </w:r>
      <w:proofErr w:type="spellEnd"/>
      <w:r w:rsidRPr="00CC0765">
        <w:rPr>
          <w:rFonts w:eastAsia="Times New Roman" w:cs="Times New Roman"/>
          <w:color w:val="000000"/>
          <w:sz w:val="28"/>
          <w:szCs w:val="28"/>
        </w:rPr>
        <w:t xml:space="preserve">. Детали его реализации не приводятся. Вместе с тем, в настоящее время существуют достаточно эффективные параллельные (MPI, </w:t>
      </w:r>
      <w:proofErr w:type="spellStart"/>
      <w:r w:rsidRPr="00CC0765">
        <w:rPr>
          <w:rFonts w:eastAsia="Times New Roman" w:cs="Times New Roman"/>
          <w:color w:val="000000"/>
          <w:sz w:val="28"/>
          <w:szCs w:val="28"/>
        </w:rPr>
        <w:t>OpenMP</w:t>
      </w:r>
      <w:proofErr w:type="spellEnd"/>
      <w:r w:rsidRPr="00CC0765">
        <w:rPr>
          <w:rFonts w:eastAsia="Times New Roman" w:cs="Times New Roman"/>
          <w:color w:val="000000"/>
          <w:sz w:val="28"/>
          <w:szCs w:val="28"/>
        </w:rPr>
        <w:t xml:space="preserve">) реализации неполного разложения </w:t>
      </w:r>
      <w:proofErr w:type="spellStart"/>
      <w:r w:rsidRPr="00CC0765">
        <w:rPr>
          <w:rFonts w:eastAsia="Times New Roman" w:cs="Times New Roman"/>
          <w:color w:val="000000"/>
          <w:sz w:val="28"/>
          <w:szCs w:val="28"/>
        </w:rPr>
        <w:t>Холецкого</w:t>
      </w:r>
      <w:proofErr w:type="spellEnd"/>
      <w:r w:rsidRPr="00CC0765">
        <w:rPr>
          <w:rFonts w:eastAsia="Times New Roman" w:cs="Times New Roman"/>
          <w:color w:val="000000"/>
          <w:sz w:val="28"/>
          <w:szCs w:val="28"/>
        </w:rPr>
        <w:t xml:space="preserve">, например, в свободной и бесплатной библиотеке </w:t>
      </w:r>
      <w:proofErr w:type="spellStart"/>
      <w:r w:rsidRPr="00CC0765">
        <w:rPr>
          <w:rFonts w:eastAsia="Times New Roman" w:cs="Times New Roman"/>
          <w:color w:val="000000"/>
          <w:sz w:val="28"/>
          <w:szCs w:val="28"/>
        </w:rPr>
        <w:t>SuperLU</w:t>
      </w:r>
      <w:proofErr w:type="spellEnd"/>
      <w:r w:rsidRPr="00CC0765">
        <w:rPr>
          <w:rFonts w:eastAsia="Times New Roman" w:cs="Times New Roman"/>
          <w:color w:val="000000"/>
          <w:sz w:val="28"/>
          <w:szCs w:val="28"/>
        </w:rPr>
        <w:t xml:space="preserve">. Использование подобных библиотек сделало бы параллельной самую вычислительно «тяжелую» часть программной реализации и позволило бы рассматривать задачи существенно большей сеточной размерности. Так же автору следует рассмотреть возможность использования </w:t>
      </w:r>
      <w:proofErr w:type="spellStart"/>
      <w:r w:rsidRPr="00CC0765">
        <w:rPr>
          <w:rFonts w:eastAsia="Times New Roman" w:cs="Times New Roman"/>
          <w:color w:val="000000"/>
          <w:sz w:val="28"/>
          <w:szCs w:val="28"/>
        </w:rPr>
        <w:t>предобуславливателей</w:t>
      </w:r>
      <w:proofErr w:type="spellEnd"/>
      <w:r w:rsidRPr="00CC0765">
        <w:rPr>
          <w:rFonts w:eastAsia="Times New Roman" w:cs="Times New Roman"/>
          <w:color w:val="000000"/>
          <w:sz w:val="28"/>
          <w:szCs w:val="28"/>
        </w:rPr>
        <w:t xml:space="preserve"> на основе многосеточного метода, имеющих практически идеальную масштабируемость и «</w:t>
      </w:r>
      <w:proofErr w:type="spellStart"/>
      <w:proofErr w:type="gramStart"/>
      <w:r w:rsidRPr="00CC0765">
        <w:rPr>
          <w:rFonts w:eastAsia="Times New Roman" w:cs="Times New Roman"/>
          <w:color w:val="000000"/>
          <w:sz w:val="28"/>
          <w:szCs w:val="28"/>
        </w:rPr>
        <w:t>по-элементных</w:t>
      </w:r>
      <w:proofErr w:type="spellEnd"/>
      <w:proofErr w:type="gramEnd"/>
      <w:r w:rsidRPr="00CC0765">
        <w:rPr>
          <w:rFonts w:eastAsia="Times New Roman" w:cs="Times New Roman"/>
          <w:color w:val="000000"/>
          <w:sz w:val="28"/>
          <w:szCs w:val="28"/>
        </w:rPr>
        <w:t>» («</w:t>
      </w:r>
      <w:proofErr w:type="spellStart"/>
      <w:r w:rsidRPr="00CC0765">
        <w:rPr>
          <w:rFonts w:eastAsia="Times New Roman" w:cs="Times New Roman"/>
          <w:color w:val="000000"/>
          <w:sz w:val="28"/>
          <w:szCs w:val="28"/>
        </w:rPr>
        <w:t>element-by-element</w:t>
      </w:r>
      <w:proofErr w:type="spellEnd"/>
      <w:r w:rsidRPr="00CC0765">
        <w:rPr>
          <w:rFonts w:eastAsia="Times New Roman" w:cs="Times New Roman"/>
          <w:color w:val="000000"/>
          <w:sz w:val="28"/>
          <w:szCs w:val="28"/>
        </w:rPr>
        <w:t xml:space="preserve">») </w:t>
      </w:r>
      <w:proofErr w:type="spellStart"/>
      <w:r w:rsidRPr="00CC0765">
        <w:rPr>
          <w:rFonts w:eastAsia="Times New Roman" w:cs="Times New Roman"/>
          <w:color w:val="000000"/>
          <w:sz w:val="28"/>
          <w:szCs w:val="28"/>
        </w:rPr>
        <w:t>предобуславливателей</w:t>
      </w:r>
      <w:proofErr w:type="spellEnd"/>
      <w:r w:rsidRPr="00CC0765">
        <w:rPr>
          <w:rFonts w:eastAsia="Times New Roman" w:cs="Times New Roman"/>
          <w:color w:val="000000"/>
          <w:sz w:val="28"/>
          <w:szCs w:val="28"/>
        </w:rPr>
        <w:t xml:space="preserve">. </w:t>
      </w:r>
    </w:p>
    <w:p w:rsidR="00CC0765" w:rsidRDefault="00CC0765" w:rsidP="00A24315">
      <w:pPr>
        <w:pStyle w:val="LO-normal"/>
        <w:spacing w:line="372" w:lineRule="auto"/>
        <w:ind w:firstLine="708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lastRenderedPageBreak/>
        <w:t xml:space="preserve">3. </w:t>
      </w:r>
      <w:r w:rsidRPr="00CC0765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033C4F" w:rsidRPr="00033C4F">
        <w:rPr>
          <w:rFonts w:eastAsia="Times New Roman" w:cs="Times New Roman"/>
          <w:color w:val="000000"/>
          <w:sz w:val="28"/>
          <w:szCs w:val="28"/>
        </w:rPr>
        <w:t>В определении интегрального нелокального оператора (1.1) фигурируют следующие параметры: весовые параметры p_1 и p_2, функция нелокального влияния φ и область нелокального влияния S'(x), которые в дальнейшем становятся частью уравнений теплопроводности и равновесия. Какие из этих параметров являются материальными и могут быть установлены из экспериментов?</w:t>
      </w:r>
    </w:p>
    <w:p w:rsidR="00CC0765" w:rsidRDefault="00CC0765" w:rsidP="00CC0765">
      <w:pPr>
        <w:pStyle w:val="LO-normal"/>
        <w:spacing w:line="372" w:lineRule="auto"/>
        <w:ind w:firstLine="708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Соискатель Соколов А.А. ответил на задаваемые ему в ходе заседания вопросы и привёл собственную аргументацию</w:t>
      </w:r>
    </w:p>
    <w:p w:rsidR="00A24315" w:rsidRPr="00A24315" w:rsidRDefault="00A24315" w:rsidP="00A24315">
      <w:pPr>
        <w:pStyle w:val="LO-normal"/>
        <w:spacing w:line="372" w:lineRule="auto"/>
        <w:jc w:val="both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A24315">
        <w:rPr>
          <w:rFonts w:cs="Times New Roman"/>
          <w:sz w:val="28"/>
          <w:szCs w:val="28"/>
        </w:rPr>
        <w:t xml:space="preserve">1. </w:t>
      </w:r>
      <w:r>
        <w:rPr>
          <w:rFonts w:cs="Times New Roman"/>
          <w:sz w:val="28"/>
          <w:szCs w:val="28"/>
        </w:rPr>
        <w:t xml:space="preserve">Термин структурно-чувствительные материалы подразумевает под собой материалы, которые состоят из зёрен, связи между которыми образуют упорядоченные структуры и свойства которых могут зависеть от конфигурации этих структур. Как правило к таким материалам относятся </w:t>
      </w:r>
      <w:proofErr w:type="spellStart"/>
      <w:r>
        <w:rPr>
          <w:rFonts w:cs="Times New Roman"/>
          <w:sz w:val="28"/>
          <w:szCs w:val="28"/>
        </w:rPr>
        <w:t>наноматериалы</w:t>
      </w:r>
      <w:proofErr w:type="spellEnd"/>
      <w:r>
        <w:rPr>
          <w:rFonts w:cs="Times New Roman"/>
          <w:sz w:val="28"/>
          <w:szCs w:val="28"/>
        </w:rPr>
        <w:t xml:space="preserve">, в частности </w:t>
      </w:r>
      <w:proofErr w:type="spellStart"/>
      <w:r>
        <w:rPr>
          <w:rFonts w:cs="Times New Roman"/>
          <w:sz w:val="28"/>
          <w:szCs w:val="28"/>
        </w:rPr>
        <w:t>нанокомпозиты</w:t>
      </w:r>
      <w:proofErr w:type="spellEnd"/>
      <w:r>
        <w:rPr>
          <w:rFonts w:cs="Times New Roman"/>
          <w:sz w:val="28"/>
          <w:szCs w:val="28"/>
        </w:rPr>
        <w:t>.</w:t>
      </w:r>
    </w:p>
    <w:p w:rsidR="00A24315" w:rsidRPr="00A24315" w:rsidRDefault="00A24315" w:rsidP="00A24315">
      <w:pPr>
        <w:pStyle w:val="LO-normal"/>
        <w:spacing w:line="372" w:lineRule="auto"/>
        <w:ind w:firstLine="708"/>
        <w:jc w:val="both"/>
        <w:rPr>
          <w:rFonts w:cs="Times New Roman"/>
          <w:sz w:val="28"/>
          <w:szCs w:val="28"/>
        </w:rPr>
      </w:pPr>
      <w:r w:rsidRPr="00A24315">
        <w:rPr>
          <w:rFonts w:cs="Times New Roman"/>
          <w:sz w:val="28"/>
          <w:szCs w:val="28"/>
        </w:rPr>
        <w:t xml:space="preserve">2. </w:t>
      </w:r>
      <w:r>
        <w:rPr>
          <w:rFonts w:cs="Times New Roman"/>
          <w:sz w:val="28"/>
          <w:szCs w:val="28"/>
        </w:rPr>
        <w:t xml:space="preserve">Основная идея в использовании неполного разложения </w:t>
      </w:r>
      <w:proofErr w:type="spellStart"/>
      <w:r>
        <w:rPr>
          <w:rFonts w:cs="Times New Roman"/>
          <w:sz w:val="28"/>
          <w:szCs w:val="28"/>
        </w:rPr>
        <w:t>Холецкого</w:t>
      </w:r>
      <w:proofErr w:type="spellEnd"/>
      <w:r>
        <w:rPr>
          <w:rFonts w:cs="Times New Roman"/>
          <w:sz w:val="28"/>
          <w:szCs w:val="28"/>
        </w:rPr>
        <w:t xml:space="preserve"> заключается в том, что раскладывается лишь локальная матрица жёсткости, которая занимает значительно меньше оперативной памяти и для её разложения требуется значительно меньше вычислительных ресурсов, поэтом использование таких «серьёзных» библиотек не требуется</w:t>
      </w:r>
      <w:r w:rsidRPr="00A24315">
        <w:rPr>
          <w:rFonts w:cs="Times New Roman"/>
          <w:sz w:val="28"/>
          <w:szCs w:val="28"/>
        </w:rPr>
        <w:t xml:space="preserve">. </w:t>
      </w:r>
      <w:r>
        <w:rPr>
          <w:rFonts w:cs="Times New Roman"/>
          <w:sz w:val="28"/>
          <w:szCs w:val="28"/>
        </w:rPr>
        <w:t xml:space="preserve">Построение </w:t>
      </w:r>
      <w:proofErr w:type="spellStart"/>
      <w:r>
        <w:rPr>
          <w:rFonts w:cs="Times New Roman"/>
          <w:sz w:val="28"/>
          <w:szCs w:val="28"/>
        </w:rPr>
        <w:t>предобуславливателей</w:t>
      </w:r>
      <w:proofErr w:type="spellEnd"/>
      <w:r>
        <w:rPr>
          <w:rFonts w:cs="Times New Roman"/>
          <w:sz w:val="28"/>
          <w:szCs w:val="28"/>
        </w:rPr>
        <w:t xml:space="preserve"> на основе многосеточных методов требует дополнительной адаптации под рассматриваемый в работе класс нелокальных моделей</w:t>
      </w:r>
      <w:r w:rsidR="003936D3">
        <w:rPr>
          <w:rFonts w:cs="Times New Roman"/>
          <w:sz w:val="28"/>
          <w:szCs w:val="28"/>
        </w:rPr>
        <w:t xml:space="preserve">, на текущей момент такие </w:t>
      </w:r>
      <w:proofErr w:type="spellStart"/>
      <w:r w:rsidR="003936D3">
        <w:rPr>
          <w:rFonts w:cs="Times New Roman"/>
          <w:sz w:val="28"/>
          <w:szCs w:val="28"/>
        </w:rPr>
        <w:t>предобуславливатели</w:t>
      </w:r>
      <w:proofErr w:type="spellEnd"/>
      <w:r w:rsidR="003936D3">
        <w:rPr>
          <w:rFonts w:cs="Times New Roman"/>
          <w:sz w:val="28"/>
          <w:szCs w:val="28"/>
        </w:rPr>
        <w:t xml:space="preserve"> пока не рассматривались.</w:t>
      </w:r>
    </w:p>
    <w:p w:rsidR="00CC0765" w:rsidRDefault="00A24315" w:rsidP="00033C4F">
      <w:pPr>
        <w:pStyle w:val="LO-normal"/>
        <w:spacing w:line="372" w:lineRule="auto"/>
        <w:ind w:firstLine="708"/>
        <w:jc w:val="both"/>
        <w:rPr>
          <w:rFonts w:cs="Times New Roman"/>
          <w:sz w:val="28"/>
          <w:szCs w:val="28"/>
        </w:rPr>
      </w:pPr>
      <w:r w:rsidRPr="00A24315">
        <w:rPr>
          <w:rFonts w:cs="Times New Roman"/>
          <w:sz w:val="28"/>
          <w:szCs w:val="28"/>
        </w:rPr>
        <w:t xml:space="preserve">3. </w:t>
      </w:r>
      <w:r w:rsidR="00033C4F">
        <w:rPr>
          <w:rFonts w:cs="Times New Roman"/>
          <w:sz w:val="28"/>
          <w:szCs w:val="28"/>
        </w:rPr>
        <w:t xml:space="preserve"> Все параметры модели не являются материальными, а являются модельными параметрами. Для их установления необходимо провести серию экспериментов, после чего необходимо провести регрессионный анализ для вычисления параметров модели.</w:t>
      </w:r>
    </w:p>
    <w:p w:rsidR="00D927FA" w:rsidRDefault="00AF15D8">
      <w:pPr>
        <w:spacing w:after="0" w:line="32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 xml:space="preserve">а заседании 17 декабря 2024 года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диссертационный совет принял решение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присудить Соколову Андрею Александровичу учёную степень кандидата физико-математических наук.</w:t>
      </w:r>
    </w:p>
    <w:p w:rsidR="00D927FA" w:rsidRDefault="00AF15D8">
      <w:pPr>
        <w:spacing w:after="0" w:line="324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тайном голосовании участвовало ____ членов диссертационного совета из ____ присутствующих. При проведении тайного голосования </w:t>
      </w:r>
      <w:r>
        <w:rPr>
          <w:rFonts w:ascii="Times New Roman" w:hAnsi="Times New Roman" w:cs="Times New Roman"/>
          <w:b/>
          <w:bCs/>
          <w:sz w:val="28"/>
          <w:szCs w:val="28"/>
        </w:rPr>
        <w:t>диссертационный совет</w:t>
      </w:r>
      <w:r>
        <w:rPr>
          <w:rFonts w:ascii="Times New Roman" w:hAnsi="Times New Roman" w:cs="Times New Roman"/>
          <w:sz w:val="28"/>
          <w:szCs w:val="28"/>
        </w:rPr>
        <w:t xml:space="preserve"> в количестве ____ человек, из них </w:t>
      </w:r>
      <w:r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 xml:space="preserve"> докторов по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специальности  1.2.2</w:t>
      </w:r>
      <w:proofErr w:type="gramEnd"/>
      <w:r>
        <w:rPr>
          <w:rFonts w:ascii="Times New Roman" w:hAnsi="Times New Roman" w:cs="Times New Roman"/>
          <w:sz w:val="28"/>
          <w:szCs w:val="28"/>
        </w:rPr>
        <w:t> – Математическое моделирование, чи</w:t>
      </w:r>
      <w:r>
        <w:rPr>
          <w:rFonts w:ascii="Times New Roman" w:hAnsi="Times New Roman" w:cs="Times New Roman"/>
          <w:sz w:val="28"/>
          <w:szCs w:val="28"/>
        </w:rPr>
        <w:t xml:space="preserve">сленные методы и комплексы программ (____ технические науки, ____ физико-математические науки),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участвоваших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заседании, из ____ человек,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проголосовали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 xml:space="preserve">за </w:t>
      </w:r>
      <w:r>
        <w:rPr>
          <w:rFonts w:ascii="Times New Roman" w:hAnsi="Times New Roman" w:cs="Times New Roman"/>
          <w:sz w:val="28"/>
          <w:szCs w:val="28"/>
        </w:rPr>
        <w:t>– 18 ,</w:t>
      </w:r>
      <w:r>
        <w:rPr>
          <w:rFonts w:ascii="Times New Roman" w:hAnsi="Times New Roman" w:cs="Times New Roman"/>
          <w:b/>
          <w:sz w:val="28"/>
          <w:szCs w:val="28"/>
        </w:rPr>
        <w:t xml:space="preserve"> против </w:t>
      </w:r>
      <w:r>
        <w:rPr>
          <w:rFonts w:ascii="Times New Roman" w:hAnsi="Times New Roman" w:cs="Times New Roman"/>
          <w:sz w:val="28"/>
          <w:szCs w:val="28"/>
        </w:rPr>
        <w:t>– 0,</w:t>
      </w:r>
      <w:r>
        <w:rPr>
          <w:rFonts w:ascii="Times New Roman" w:hAnsi="Times New Roman" w:cs="Times New Roman"/>
          <w:b/>
          <w:sz w:val="28"/>
          <w:szCs w:val="28"/>
        </w:rPr>
        <w:t xml:space="preserve"> недействительных бюллетеней </w:t>
      </w:r>
      <w:r>
        <w:rPr>
          <w:rFonts w:ascii="Times New Roman" w:hAnsi="Times New Roman" w:cs="Times New Roman"/>
          <w:sz w:val="28"/>
          <w:szCs w:val="28"/>
        </w:rPr>
        <w:t>– 0.</w:t>
      </w:r>
    </w:p>
    <w:p w:rsidR="00D927FA" w:rsidRDefault="00D927FA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7FA" w:rsidRDefault="00AF15D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Председатель</w:t>
      </w:r>
    </w:p>
    <w:p w:rsidR="00D927FA" w:rsidRDefault="00AF15D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диссертационного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совета,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Зим</w:t>
      </w:r>
      <w:r>
        <w:rPr>
          <w:rFonts w:ascii="Times New Roman" w:hAnsi="Times New Roman" w:cs="Times New Roman"/>
          <w:sz w:val="28"/>
          <w:szCs w:val="28"/>
        </w:rPr>
        <w:t>ин</w:t>
      </w:r>
    </w:p>
    <w:p w:rsidR="00D927FA" w:rsidRDefault="00AF15D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д.т.н., </w:t>
      </w:r>
      <w:proofErr w:type="spellStart"/>
      <w:r>
        <w:rPr>
          <w:rFonts w:ascii="Times New Roman" w:hAnsi="Times New Roman" w:cs="Times New Roman"/>
          <w:sz w:val="28"/>
          <w:szCs w:val="28"/>
        </w:rPr>
        <w:t>с.н.с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Владимир Николаевич</w:t>
      </w:r>
    </w:p>
    <w:p w:rsidR="00D927FA" w:rsidRDefault="00D927FA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7FA" w:rsidRDefault="00AF15D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Учёный секретарь</w:t>
      </w:r>
    </w:p>
    <w:p w:rsidR="00D927FA" w:rsidRDefault="00AF15D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диссертационного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совета,</w:t>
      </w:r>
      <w:r>
        <w:rPr>
          <w:rFonts w:ascii="Times New Roman" w:hAnsi="Times New Roman" w:cs="Times New Roman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Аттетков</w:t>
      </w:r>
      <w:proofErr w:type="spellEnd"/>
    </w:p>
    <w:p w:rsidR="00D927FA" w:rsidRDefault="00AF15D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к.т.н., доцент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Александр Владимирович</w:t>
      </w:r>
    </w:p>
    <w:p w:rsidR="00D927FA" w:rsidRDefault="00D927FA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927FA" w:rsidRDefault="00AF15D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«17» декабря 2024 г.</w:t>
      </w:r>
      <w:bookmarkStart w:id="0" w:name="_GoBack"/>
      <w:bookmarkEnd w:id="0"/>
    </w:p>
    <w:sectPr w:rsidR="00D927FA">
      <w:headerReference w:type="default" r:id="rId7"/>
      <w:pgSz w:w="11906" w:h="16838"/>
      <w:pgMar w:top="1134" w:right="850" w:bottom="1134" w:left="1418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5D8" w:rsidRDefault="00AF15D8">
      <w:pPr>
        <w:spacing w:after="0" w:line="240" w:lineRule="auto"/>
      </w:pPr>
      <w:r>
        <w:separator/>
      </w:r>
    </w:p>
  </w:endnote>
  <w:endnote w:type="continuationSeparator" w:id="0">
    <w:p w:rsidR="00AF15D8" w:rsidRDefault="00AF1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Noto Serif CJK SC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5D8" w:rsidRDefault="00AF15D8">
      <w:pPr>
        <w:spacing w:after="0" w:line="240" w:lineRule="auto"/>
      </w:pPr>
      <w:r>
        <w:separator/>
      </w:r>
    </w:p>
  </w:footnote>
  <w:footnote w:type="continuationSeparator" w:id="0">
    <w:p w:rsidR="00AF15D8" w:rsidRDefault="00AF1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27FA" w:rsidRDefault="00AF15D8">
    <w:pPr>
      <w:pStyle w:val="a4"/>
      <w:jc w:val="right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ПРОЕКТ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954CE4"/>
    <w:multiLevelType w:val="hybridMultilevel"/>
    <w:tmpl w:val="DA02FD52"/>
    <w:lvl w:ilvl="0" w:tplc="215AC5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46881622"/>
    <w:multiLevelType w:val="multilevel"/>
    <w:tmpl w:val="89AC223C"/>
    <w:lvl w:ilvl="0">
      <w:start w:val="1"/>
      <w:numFmt w:val="bullet"/>
      <w:lvlText w:val="̶"/>
      <w:lvlJc w:val="left"/>
      <w:pPr>
        <w:tabs>
          <w:tab w:val="num" w:pos="0"/>
        </w:tabs>
        <w:ind w:left="1428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5E6C1291"/>
    <w:multiLevelType w:val="multilevel"/>
    <w:tmpl w:val="D79620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660E647F"/>
    <w:multiLevelType w:val="hybridMultilevel"/>
    <w:tmpl w:val="85D49314"/>
    <w:lvl w:ilvl="0" w:tplc="86CA816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6FC292B"/>
    <w:multiLevelType w:val="multilevel"/>
    <w:tmpl w:val="25FC972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7FA"/>
    <w:rsid w:val="00033C4F"/>
    <w:rsid w:val="003936D3"/>
    <w:rsid w:val="00A24315"/>
    <w:rsid w:val="00A50B7B"/>
    <w:rsid w:val="00AF15D8"/>
    <w:rsid w:val="00B46533"/>
    <w:rsid w:val="00CC0765"/>
    <w:rsid w:val="00D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5:docId w15:val="{8D766C98-FE25-40E0-BE80-6B2EA4DC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ECB"/>
    <w:pPr>
      <w:spacing w:after="160" w:line="259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6B0075"/>
  </w:style>
  <w:style w:type="character" w:customStyle="1" w:styleId="a5">
    <w:name w:val="Нижний колонтитул Знак"/>
    <w:basedOn w:val="a0"/>
    <w:link w:val="a6"/>
    <w:uiPriority w:val="99"/>
    <w:qFormat/>
    <w:rsid w:val="006B0075"/>
  </w:style>
  <w:style w:type="character" w:styleId="a7">
    <w:name w:val="Hyperlink"/>
    <w:rPr>
      <w:color w:val="000080"/>
      <w:u w:val="single"/>
    </w:rPr>
  </w:style>
  <w:style w:type="paragraph" w:customStyle="1" w:styleId="Heading">
    <w:name w:val="Heading"/>
    <w:basedOn w:val="a"/>
    <w:next w:val="a8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Noto Sans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6B0075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6B0075"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List Paragraph"/>
    <w:basedOn w:val="a"/>
    <w:uiPriority w:val="34"/>
    <w:qFormat/>
    <w:rsid w:val="008B208D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A50B7B"/>
    <w:rPr>
      <w:color w:val="808080"/>
    </w:rPr>
  </w:style>
  <w:style w:type="paragraph" w:customStyle="1" w:styleId="LO-normal">
    <w:name w:val="LO-normal"/>
    <w:qFormat/>
    <w:rsid w:val="00B46533"/>
    <w:rPr>
      <w:rFonts w:ascii="Times New Roman" w:eastAsia="Noto Serif CJK SC" w:hAnsi="Times New Roman" w:cs="Noto Sans Devanagari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2656</TotalTime>
  <Pages>1</Pages>
  <Words>2932</Words>
  <Characters>16718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Andrey</cp:lastModifiedBy>
  <cp:revision>328</cp:revision>
  <dcterms:created xsi:type="dcterms:W3CDTF">2021-09-21T16:55:00Z</dcterms:created>
  <dcterms:modified xsi:type="dcterms:W3CDTF">2024-12-22T19:27:00Z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