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hd w:fill="1E3A5F" w:val="clear"/>
        <w:spacing w:after="0" w:before="200"/>
        <w:jc w:val="center"/>
      </w:pPr>
      <w:r>
        <w:rPr>
          <w:rFonts w:ascii="Arial" w:cs="Arial" w:eastAsia="Arial" w:hAnsi="Arial"/>
          <w:b/>
          <w:bCs/>
          <w:color w:val="FFFFFF"/>
          <w:sz w:val="52"/>
          <w:szCs w:val="52"/>
        </w:rPr>
        <w:t xml:space="preserve">QA ENGINEERING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0"/>
              <w:left w:type="dxa" w:w="200"/>
              <w:bottom w:type="dxa" w:w="200"/>
              <w:right w:type="dxa" w:w="200"/>
            </w:tcMar>
          </w:tcPr>
          <w:p>
            <w:pPr>
              <w:spacing w:after="20" w:before="100"/>
              <w:jc w:val="center"/>
            </w:pPr>
            <w:r>
              <w:rPr>
                <w:rFonts w:ascii="Arial" w:cs="Arial" w:eastAsia="Arial" w:hAnsi="Arial"/>
                <w:b/>
                <w:bCs/>
                <w:color w:val="FFFFFF"/>
                <w:sz w:val="80"/>
                <w:szCs w:val="80"/>
              </w:rPr>
              <w:t xml:space="preserve">AssetIQ</w:t>
            </w:r>
          </w:p>
          <w:p>
            <w:pPr>
              <w:spacing w:after="60" w:before="0"/>
              <w:jc w:val="center"/>
            </w:pPr>
            <w:r>
              <w:rPr>
                <w:rFonts w:ascii="Arial" w:cs="Arial" w:eastAsia="Arial" w:hAnsi="Arial"/>
                <w:color w:val="A8C4E0"/>
                <w:sz w:val="36"/>
                <w:szCs w:val="36"/>
              </w:rPr>
              <w:t xml:space="preserve">Enterprise Asset Manager</w:t>
            </w:r>
          </w:p>
          <w:p>
            <w:pPr>
              <w:spacing w:after="100" w:before="0"/>
              <w:jc w:val="center"/>
            </w:pPr>
            <w:r>
              <w:rPr>
                <w:rFonts w:ascii="Arial" w:cs="Arial" w:eastAsia="Arial" w:hAnsi="Arial"/>
                <w:i/>
                <w:iCs/>
                <w:color w:val="A8C4E0"/>
                <w:sz w:val="28"/>
                <w:szCs w:val="28"/>
              </w:rPr>
              <w:t xml:space="preserve">Comprehensive QA Engineering Review</w:t>
            </w:r>
          </w:p>
          <w:p>
            <w:pPr>
              <w:spacing w:after="100" w:before="0"/>
              <w:jc w:val="center"/>
            </w:pPr>
            <w:r>
              <w:rPr>
                <w:rFonts w:ascii="Arial" w:cs="Arial" w:eastAsia="Arial" w:hAnsi="Arial"/>
                <w:color w:val="2E75B6"/>
                <w:sz w:val="22"/>
                <w:szCs w:val="22"/>
              </w:rPr>
              <w:t xml:space="preserve">―――――――――――――――</w:t>
            </w:r>
          </w:p>
          <w:p>
            <w:pPr>
              <w:spacing w:after="0" w:before="0"/>
              <w:jc w:val="center"/>
            </w:pPr>
            <w:r>
              <w:rPr>
                <w:rFonts w:ascii="Arial" w:cs="Arial" w:eastAsia="Arial" w:hAnsi="Arial"/>
                <w:color w:val="A8C4E0"/>
                <w:sz w:val="22"/>
                <w:szCs w:val="22"/>
              </w:rPr>
              <w:t xml:space="preserve">Version 1.0  |  23 April 2026</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Review Scope</w:t>
            </w:r>
          </w:p>
        </w:tc>
        <w:tc>
          <w:tcPr>
            <w:tcW w:type="dxa" w:w="6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000000"/>
                <w:sz w:val="20"/>
                <w:szCs w:val="20"/>
              </w:rPr>
              <w:t xml:space="preserve">Full-stack review — Spring Boot backend, Next.js portal, Docker deployment, CI/CD pipeline, test strategy</w:t>
            </w:r>
          </w:p>
        </w:tc>
      </w:tr>
      <w:tr>
        <w:tc>
          <w:tcPr>
            <w:tcW w:type="dxa" w:w="288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Reviewer Role</w:t>
            </w:r>
          </w:p>
        </w:tc>
        <w:tc>
          <w:tcPr>
            <w:tcW w:type="dxa" w:w="6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000000"/>
                <w:sz w:val="20"/>
                <w:szCs w:val="20"/>
              </w:rPr>
              <w:t xml:space="preserve">Senior QA Engineer (independent assessment)</w:t>
            </w:r>
          </w:p>
        </w:tc>
      </w:tr>
      <w:tr>
        <w:tc>
          <w:tcPr>
            <w:tcW w:type="dxa" w:w="288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Codebase Date</w:t>
            </w:r>
          </w:p>
        </w:tc>
        <w:tc>
          <w:tcPr>
            <w:tcW w:type="dxa" w:w="6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000000"/>
                <w:sz w:val="20"/>
                <w:szCs w:val="20"/>
              </w:rPr>
              <w:t xml:space="preserve">April 2026 snapshot</w:t>
            </w:r>
          </w:p>
        </w:tc>
      </w:tr>
      <w:tr>
        <w:tc>
          <w:tcPr>
            <w:tcW w:type="dxa" w:w="288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1E3A5F"/>
                <w:sz w:val="20"/>
                <w:szCs w:val="20"/>
              </w:rPr>
              <w:t xml:space="preserve">Classification</w:t>
            </w:r>
          </w:p>
        </w:tc>
        <w:tc>
          <w:tcPr>
            <w:tcW w:type="dxa" w:w="64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000000"/>
                <w:sz w:val="20"/>
                <w:szCs w:val="20"/>
              </w:rPr>
              <w:t xml:space="preserve">CONFIDENTIAL — Internal use only</w:t>
            </w:r>
          </w:p>
        </w:tc>
      </w:tr>
    </w:tbl>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1. Executive Summary</w:t>
      </w:r>
    </w:p>
    <w:p>
      <w:pPr>
        <w:spacing w:after="60" w:before="60"/>
      </w:pPr>
      <w:r>
        <w:rPr>
          <w:rFonts w:ascii="Arial" w:cs="Arial" w:eastAsia="Arial" w:hAnsi="Arial"/>
          <w:color w:val="000000"/>
          <w:sz w:val="22"/>
          <w:szCs w:val="22"/>
        </w:rPr>
        <w:t xml:space="preserve">AssetIQ is an architecturally ambitious enterprise asset management platform targeting Ghanaian financial institutions and regulated enterprises. The codebase demonstrates serious engineering investment: a well-structured Spring Boot 3.3 backend with 58 JPA entities, 44 REST controllers, multi-tenancy isolation, RBAC, SAML2/OAuth2 SSO, and a standalone self-hosted edition with RSA-signed license enforcement.</w:t>
      </w:r>
    </w:p>
    <w:p>
      <w:pPr>
        <w:spacing w:after="0" w:before="60"/>
      </w:pPr>
      <w:r>
        <w:t xml:space="preserve"/>
      </w:r>
    </w:p>
    <w:p>
      <w:pPr>
        <w:spacing w:after="60" w:before="60"/>
      </w:pPr>
      <w:r>
        <w:rPr>
          <w:rFonts w:ascii="Arial" w:cs="Arial" w:eastAsia="Arial" w:hAnsi="Arial"/>
          <w:color w:val="000000"/>
          <w:sz w:val="22"/>
          <w:szCs w:val="22"/>
        </w:rPr>
        <w:t xml:space="preserve">However, as a senior QA engineer conducting this review, I must flag that the platform carries significant quality risks that would make shipping to paying enterprise customers in its current state inadvisable without targeted remediation. The most serious concerns are:</w:t>
      </w:r>
    </w:p>
    <w:p>
      <w:pPr>
        <w:spacing w:after="0" w:before="6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Dangerously thin automated test coverage (~3% file ratio; money paths untested)</w:t>
      </w:r>
    </w:p>
    <w:p>
      <w:pPr>
        <w:pStyle w:val="ListParagraph"/>
        <w:numPr>
          <w:ilvl w:val="0"/>
          <w:numId w:val="2"/>
        </w:numPr>
        <w:spacing w:after="40" w:before="40"/>
      </w:pPr>
      <w:r>
        <w:rPr>
          <w:rFonts w:ascii="Arial" w:cs="Arial" w:eastAsia="Arial" w:hAnsi="Arial"/>
          <w:b/>
          <w:bCs/>
          <w:color w:val="000000"/>
          <w:sz w:val="22"/>
          <w:szCs w:val="22"/>
        </w:rPr>
        <w:t xml:space="preserve">A placeholder Flyway migration (V7) that will break production schema management</w:t>
      </w:r>
    </w:p>
    <w:p>
      <w:pPr>
        <w:pStyle w:val="ListParagraph"/>
        <w:numPr>
          <w:ilvl w:val="0"/>
          <w:numId w:val="2"/>
        </w:numPr>
        <w:spacing w:after="40" w:before="40"/>
      </w:pPr>
      <w:r>
        <w:rPr>
          <w:rFonts w:ascii="Arial" w:cs="Arial" w:eastAsia="Arial" w:hAnsi="Arial"/>
          <w:b/>
          <w:bCs/>
          <w:color w:val="000000"/>
          <w:sz w:val="22"/>
          <w:szCs w:val="22"/>
        </w:rPr>
        <w:t xml:space="preserve">Currency inconsistency across the product (USD / NGN / GHS in three different places)</w:t>
      </w:r>
    </w:p>
    <w:p>
      <w:pPr>
        <w:pStyle w:val="ListParagraph"/>
        <w:numPr>
          <w:ilvl w:val="0"/>
          <w:numId w:val="2"/>
        </w:numPr>
        <w:spacing w:after="40" w:before="40"/>
      </w:pPr>
      <w:r>
        <w:rPr>
          <w:rFonts w:ascii="Arial" w:cs="Arial" w:eastAsia="Arial" w:hAnsi="Arial"/>
          <w:b/>
          <w:bCs/>
          <w:color w:val="000000"/>
          <w:sz w:val="22"/>
          <w:szCs w:val="22"/>
        </w:rPr>
        <w:t xml:space="preserve">No Ghana Data Protection Act (DPA 2012) compliance module</w:t>
      </w:r>
    </w:p>
    <w:p>
      <w:pPr>
        <w:pStyle w:val="ListParagraph"/>
        <w:numPr>
          <w:ilvl w:val="0"/>
          <w:numId w:val="2"/>
        </w:numPr>
        <w:spacing w:after="40" w:before="40"/>
      </w:pPr>
      <w:r>
        <w:rPr>
          <w:rFonts w:ascii="Arial" w:cs="Arial" w:eastAsia="Arial" w:hAnsi="Arial"/>
          <w:b/>
          <w:bCs/>
          <w:color w:val="000000"/>
          <w:sz w:val="22"/>
          <w:szCs w:val="22"/>
        </w:rPr>
        <w:t xml:space="preserve">Mobile Money (MTN, Telecel, AirtelTigo) not surfaced in the payment checkout flow</w:t>
      </w:r>
    </w:p>
    <w:p>
      <w:pPr>
        <w:spacing w:after="0" w:before="80"/>
      </w:pPr>
      <w:r>
        <w:t xml:space="preserve"/>
      </w:r>
    </w:p>
    <w:p>
      <w:pPr>
        <w:spacing w:after="60" w:before="60"/>
      </w:pPr>
      <w:r>
        <w:rPr>
          <w:rFonts w:ascii="Arial" w:cs="Arial" w:eastAsia="Arial" w:hAnsi="Arial"/>
          <w:color w:val="000000"/>
          <w:sz w:val="22"/>
          <w:szCs w:val="22"/>
        </w:rPr>
        <w:t xml:space="preserve">The overall QA readiness score is 5.4 / 10. The platform needs an 8-12 week hardening sprint before it is suitable for enterprise production rollout.</w:t>
      </w:r>
    </w:p>
    <w:p>
      <w:pPr>
        <w:spacing w:after="0" w:before="100"/>
      </w:pPr>
      <w:r>
        <w:t xml:space="preserve"/>
      </w:r>
    </w:p>
    <w:p>
      <w:pPr>
        <w:pStyle w:val="Heading2"/>
        <w:spacing w:after="80" w:before="240"/>
      </w:pPr>
      <w:r>
        <w:rPr>
          <w:rFonts w:ascii="Arial" w:cs="Arial" w:eastAsia="Arial" w:hAnsi="Arial"/>
          <w:b/>
          <w:bCs/>
          <w:color w:val="2E75B6"/>
          <w:sz w:val="26"/>
          <w:szCs w:val="26"/>
        </w:rPr>
        <w:t xml:space="preserve">Overall Quality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c>
          <w:tcPr>
            <w:tcW w:type="dxa" w:w="4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Domain</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Score</w:t>
            </w:r>
          </w:p>
        </w:tc>
        <w:tc>
          <w:tcPr>
            <w:tcW w:type="dxa" w:w="3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Key Concern</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Backend Architecture</w:t>
            </w:r>
          </w:p>
        </w:tc>
        <w:tc>
          <w:tcPr>
            <w:tcW w:type="dxa" w:w="1500"/>
            <w:tcBorders>
              <w:top w:val="single" w:color="DDDDDD" w:sz="1"/>
              <w:left w:val="single" w:color="DDDDDD" w:sz="1"/>
              <w:bottom w:val="single" w:color="DDDDDD" w:sz="1"/>
              <w:right w:val="single" w:color="DDDDDD"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8/10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Multi-tenancy, RBAC, virtual threads solid</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API Design</w:t>
            </w:r>
          </w:p>
        </w:tc>
        <w:tc>
          <w:tcPr>
            <w:tcW w:type="dxa" w:w="1500"/>
            <w:tcBorders>
              <w:top w:val="single" w:color="DDDDDD" w:sz="1"/>
              <w:left w:val="single" w:color="DDDDDD" w:sz="1"/>
              <w:bottom w:val="single" w:color="DDDDDD" w:sz="1"/>
              <w:right w:val="single" w:color="DDDDDD"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Broad coverage; versioning strategy incomplete</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Security Posture</w:t>
            </w:r>
          </w:p>
        </w:tc>
        <w:tc>
          <w:tcPr>
            <w:tcW w:type="dxa" w:w="1500"/>
            <w:tcBorders>
              <w:top w:val="single" w:color="DDDDDD" w:sz="1"/>
              <w:left w:val="single" w:color="DDDDDD" w:sz="1"/>
              <w:bottom w:val="single" w:color="DDDDDD" w:sz="1"/>
              <w:right w:val="single" w:color="DDDDDD"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JWT + RBAC good; input sanitization gaps</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Database Management</w:t>
            </w:r>
          </w:p>
        </w:tc>
        <w:tc>
          <w:tcPr>
            <w:tcW w:type="dxa" w:w="1500"/>
            <w:tcBorders>
              <w:top w:val="single" w:color="DDDDDD" w:sz="1"/>
              <w:left w:val="single" w:color="DDDDDD" w:sz="1"/>
              <w:bottom w:val="single" w:color="DDDDDD" w:sz="1"/>
              <w:right w:val="single" w:color="DDDDDD" w:sz="1"/>
            </w:tcBorders>
            <w:shd w:fill="E36C0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V7 baseline placeholder; 10 migrations for 58 entities</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Test Coverage</w:t>
            </w:r>
          </w:p>
        </w:tc>
        <w:tc>
          <w:tcPr>
            <w:tcW w:type="dxa" w:w="1500"/>
            <w:tcBorders>
              <w:top w:val="single" w:color="DDDDDD" w:sz="1"/>
              <w:left w:val="single" w:color="DDDDDD" w:sz="1"/>
              <w:bottom w:val="single" w:color="DDDDDD" w:sz="1"/>
              <w:right w:val="single" w:color="DDDDDD"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15 test files for 417 Java files; money paths bare</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Frontend Portal</w:t>
            </w:r>
          </w:p>
        </w:tc>
        <w:tc>
          <w:tcPr>
            <w:tcW w:type="dxa" w:w="1500"/>
            <w:tcBorders>
              <w:top w:val="single" w:color="DDDDDD" w:sz="1"/>
              <w:left w:val="single" w:color="DDDDDD" w:sz="1"/>
              <w:bottom w:val="single" w:color="DDDDDD" w:sz="1"/>
              <w:right w:val="single" w:color="DDDDDD" w:sz="1"/>
            </w:tcBorders>
            <w:shd w:fill="E36C0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Currency hard-coded NGN; missing legal pages</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Observability</w:t>
            </w:r>
          </w:p>
        </w:tc>
        <w:tc>
          <w:tcPr>
            <w:tcW w:type="dxa" w:w="1500"/>
            <w:tcBorders>
              <w:top w:val="single" w:color="DDDDDD" w:sz="1"/>
              <w:left w:val="single" w:color="DDDDDD" w:sz="1"/>
              <w:bottom w:val="single" w:color="DDDDDD" w:sz="1"/>
              <w:right w:val="single" w:color="DDDDDD"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8/10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Sentry + correlation IDs; good health endpoints</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Ghana Market Readiness</w:t>
            </w:r>
          </w:p>
        </w:tc>
        <w:tc>
          <w:tcPr>
            <w:tcW w:type="dxa" w:w="1500"/>
            <w:tcBorders>
              <w:top w:val="single" w:color="DDDDDD" w:sz="1"/>
              <w:left w:val="single" w:color="DDDDDD" w:sz="1"/>
              <w:bottom w:val="single" w:color="DDDDDD" w:sz="1"/>
              <w:right w:val="single" w:color="DDDDDD"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No DPA module; MoMo not exposed; currency chaos</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Deployment &amp; DevOps</w:t>
            </w:r>
          </w:p>
        </w:tc>
        <w:tc>
          <w:tcPr>
            <w:tcW w:type="dxa" w:w="1500"/>
            <w:tcBorders>
              <w:top w:val="single" w:color="DDDDDD" w:sz="1"/>
              <w:left w:val="single" w:color="DDDDDD" w:sz="1"/>
              <w:bottom w:val="single" w:color="DDDDDD" w:sz="1"/>
              <w:right w:val="single" w:color="DDDDDD"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Clean Docker multi-stage; CI gate at 30% coverage</w:t>
            </w:r>
          </w:p>
        </w:tc>
      </w:tr>
      <w:tr>
        <w:tc>
          <w:tcPr>
            <w:tcW w:type="dxa" w:w="45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b/>
                <w:bCs/>
                <w:color w:val="1E3A5F"/>
                <w:sz w:val="21"/>
                <w:szCs w:val="21"/>
              </w:rPr>
              <w:t xml:space="preserve">Documentation</w:t>
            </w:r>
          </w:p>
        </w:tc>
        <w:tc>
          <w:tcPr>
            <w:tcW w:type="dxa" w:w="1500"/>
            <w:tcBorders>
              <w:top w:val="single" w:color="DDDDDD" w:sz="1"/>
              <w:left w:val="single" w:color="DDDDDD" w:sz="1"/>
              <w:bottom w:val="single" w:color="DDDDDD" w:sz="1"/>
              <w:right w:val="single" w:color="DDDDDD"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7/10</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i/>
                <w:iCs/>
                <w:color w:val="595959"/>
                <w:sz w:val="20"/>
                <w:szCs w:val="20"/>
              </w:rPr>
              <w:t xml:space="preserve">Swagger, QA checklist, readiness report present</w:t>
            </w:r>
          </w:p>
        </w:tc>
      </w:tr>
    </w:tbl>
    <w:p>
      <w:pPr>
        <w:spacing w:after="0" w:before="80"/>
      </w:pPr>
      <w:r>
        <w:t xml:space="preserve"/>
      </w:r>
    </w:p>
    <w:p>
      <w:pPr>
        <w:spacing w:after="60" w:before="100"/>
      </w:pPr>
      <w:r>
        <w:rPr>
          <w:rFonts w:ascii="Arial" w:cs="Arial" w:eastAsia="Arial" w:hAnsi="Arial"/>
          <w:b/>
          <w:bCs/>
          <w:color w:val="1E3A5F"/>
          <w:sz w:val="24"/>
          <w:szCs w:val="24"/>
        </w:rPr>
        <w:t xml:space="preserve">OVERALL QA READINESS: </w:t>
      </w:r>
      <w:r>
        <w:rPr>
          <w:rFonts w:ascii="Arial" w:cs="Arial" w:eastAsia="Arial" w:hAnsi="Arial"/>
          <w:b/>
          <w:bCs/>
          <w:color w:val="E36C09"/>
          <w:sz w:val="28"/>
          <w:szCs w:val="28"/>
        </w:rPr>
        <w:t xml:space="preserve">5.4 / 10  </w:t>
      </w:r>
      <w:r>
        <w:rPr>
          <w:rFonts w:ascii="Arial" w:cs="Arial" w:eastAsia="Arial" w:hAnsi="Arial"/>
          <w:b/>
          <w:bCs/>
          <w:color w:val="C00000"/>
          <w:sz w:val="22"/>
          <w:szCs w:val="22"/>
        </w:rPr>
        <w:t xml:space="preserve">NOT READY FOR PRODUCTION WITHOUT REMEDIATION</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2. Issue Register</w:t>
      </w:r>
    </w:p>
    <w:p>
      <w:pPr>
        <w:spacing w:after="60" w:before="60"/>
      </w:pPr>
      <w:r>
        <w:rPr>
          <w:rFonts w:ascii="Arial" w:cs="Arial" w:eastAsia="Arial" w:hAnsi="Arial"/>
          <w:color w:val="000000"/>
          <w:sz w:val="22"/>
          <w:szCs w:val="22"/>
        </w:rPr>
        <w:t xml:space="preserve">The following table summarises all findings by ID, severity, and domain. Detailed findings with impact analysis and remediation guidance follow in subsequent sections.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500"/>
        <w:gridCol w:w="2100"/>
      </w:tblGrid>
      <w:tr>
        <w:tc>
          <w:tcPr>
            <w:tcW w:type="dxa" w:w="9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48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21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Domain</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CR-01</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Flyway V7 baseline migration is a placeholder</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C00000"/>
                <w:sz w:val="20"/>
                <w:szCs w:val="20"/>
              </w:rPr>
              <w:t xml:space="preserve">CRITICAL</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Database</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CR-02</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Automated test coverage ~3% — money paths untested</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C00000"/>
                <w:sz w:val="20"/>
                <w:szCs w:val="20"/>
              </w:rPr>
              <w:t xml:space="preserve">CRITICAL</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Testing</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CR-03</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Currency inconsistency (USD / NGN / GHS) across product</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C00000"/>
                <w:sz w:val="20"/>
                <w:szCs w:val="20"/>
              </w:rPr>
              <w:t xml:space="preserve">CRITICAL</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Billing/Payments</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CR-04</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Ghana DPA 2012 compliance module absent</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C00000"/>
                <w:sz w:val="20"/>
                <w:szCs w:val="20"/>
              </w:rPr>
              <w:t xml:space="preserve">CRITICAL</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Compliance</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CR-05</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Paystack checkout does not expose Mobile Money channels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C00000"/>
                <w:sz w:val="20"/>
                <w:szCs w:val="20"/>
              </w:rPr>
              <w:t xml:space="preserve">CRITICAL</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Billing/Payments</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HI-01</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integration tests for Paystack webhook handlers</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HIGH</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Billing/Testing</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HI-02</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Plan limit enforcement not fully covered by tests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E36C09"/>
                <w:sz w:val="20"/>
                <w:szCs w:val="20"/>
              </w:rPr>
              <w:t xml:space="preserve">HIGH</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Licensing/Testing</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HI-03</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Standalone edition references missing frontend repository</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HIGH</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Deployment</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HI-04</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replay-attack protection on webhook delivery</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E36C09"/>
                <w:sz w:val="20"/>
                <w:szCs w:val="20"/>
              </w:rPr>
              <w:t xml:space="preserve">HIGH</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Security</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HI-05</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data residency controls for tenant storage</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HIGH</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Compliance/Security</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HI-06</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EndOfLifeAlertJob dispatch logic is TODO (unimplemented)</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E36C09"/>
                <w:sz w:val="20"/>
                <w:szCs w:val="20"/>
              </w:rPr>
              <w:t xml:space="preserve">HIGH</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Backend/Jobs</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ME-01</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Idempotency keys have no TTL — unbounded growth</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B8860B"/>
                <w:sz w:val="20"/>
                <w:szCs w:val="20"/>
              </w:rPr>
              <w:t xml:space="preserve">MEDIUM</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Backend</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ME-02</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Async job executor has no retry / dead-letter queue</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B8860B"/>
                <w:sz w:val="20"/>
                <w:szCs w:val="20"/>
              </w:rPr>
              <w:t xml:space="preserve">MEDIUM</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Backend/Jobs</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ME-03</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Rate limiting not confirmed on all write (POST/PUT/DELETE) endpoints</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B8860B"/>
                <w:sz w:val="20"/>
                <w:szCs w:val="20"/>
              </w:rPr>
              <w:t xml:space="preserve">MEDIUM</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Security/API</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ME-04</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Sensitive fields may leak through logs (correlation ID off by default)</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B8860B"/>
                <w:sz w:val="20"/>
                <w:szCs w:val="20"/>
              </w:rPr>
              <w:t xml:space="preserve">MEDIUM</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Observability</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ME-05</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Lombok @Data on JPA entities generates unsafe equals/hashCode</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B8860B"/>
                <w:sz w:val="20"/>
                <w:szCs w:val="20"/>
              </w:rPr>
              <w:t xml:space="preserve">MEDIUM</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Backend/Data</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ME-06</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API v2 declared but has no endpoints; v1 sunset undocumented</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B8860B"/>
                <w:sz w:val="20"/>
                <w:szCs w:val="20"/>
              </w:rPr>
              <w:t xml:space="preserve">MEDIUM</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API Design</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ME-07</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SSO / storage config changes not captured in audit trail</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B8860B"/>
                <w:sz w:val="20"/>
                <w:szCs w:val="20"/>
              </w:rPr>
              <w:t xml:space="preserve">MEDIUM</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Auditing</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LO-01</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Cold start time not benchmarked in containerised environment</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LOW</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Performance</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LO-02</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MapStruct mapper config lacks contract tests</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595959"/>
                <w:sz w:val="20"/>
                <w:szCs w:val="20"/>
              </w:rPr>
              <w:t xml:space="preserve">LOW</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Testing</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LO-03</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Email SMTP disabled by default; credentials unencrypted in .env</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95959"/>
                <w:sz w:val="20"/>
                <w:szCs w:val="20"/>
              </w:rPr>
              <w:t xml:space="preserve">LOW</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95959"/>
                <w:sz w:val="20"/>
                <w:szCs w:val="20"/>
              </w:rPr>
              <w:t xml:space="preserve">Config/Security</w:t>
            </w:r>
          </w:p>
        </w:tc>
      </w:tr>
      <w:tr>
        <w:tc>
          <w:tcPr>
            <w:tcW w:type="dxa" w:w="9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2E75B6"/>
                <w:sz w:val="20"/>
                <w:szCs w:val="20"/>
              </w:rPr>
              <w:t xml:space="preserve">LO-04</w:t>
            </w:r>
          </w:p>
        </w:tc>
        <w:tc>
          <w:tcPr>
            <w:tcW w:type="dxa" w:w="48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Startup validator does not check Paystack key format or S3 access</w:t>
            </w:r>
          </w:p>
        </w:tc>
        <w:tc>
          <w:tcPr>
            <w:tcW w:type="dxa" w:w="15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595959"/>
                <w:sz w:val="20"/>
                <w:szCs w:val="20"/>
              </w:rPr>
              <w:t xml:space="preserve">LOW</w:t>
            </w:r>
          </w:p>
        </w:tc>
        <w:tc>
          <w:tcPr>
            <w:tcW w:type="dxa" w:w="21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595959"/>
                <w:sz w:val="20"/>
                <w:szCs w:val="20"/>
              </w:rPr>
              <w:t xml:space="preserve">Config</w:t>
            </w:r>
          </w:p>
        </w:tc>
      </w:tr>
    </w:tbl>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3. Critical Findings</w:t>
      </w:r>
    </w:p>
    <w:p>
      <w:pPr>
        <w:spacing w:after="60" w:before="60"/>
      </w:pPr>
      <w:r>
        <w:rPr>
          <w:rFonts w:ascii="Arial" w:cs="Arial" w:eastAsia="Arial" w:hAnsi="Arial"/>
          <w:color w:val="000000"/>
          <w:sz w:val="22"/>
          <w:szCs w:val="22"/>
        </w:rPr>
        <w:t xml:space="preserve">Critical findings are launch blockers. Each must be resolved and verified before any production deployment or paid customer onboarding.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CR-01  </w:t>
            </w:r>
            <w:r>
              <w:rPr>
                <w:rFonts w:ascii="Arial" w:cs="Arial" w:eastAsia="Arial" w:hAnsi="Arial"/>
                <w:b/>
                <w:bCs/>
                <w:color w:val="1E3A5F"/>
                <w:sz w:val="22"/>
                <w:szCs w:val="22"/>
              </w:rPr>
              <w:t xml:space="preserve">Flyway V7 Baseline Migration Is a Placeholder</w:t>
            </w:r>
            <w:r>
              <w:rPr>
                <w:rFonts w:ascii="Arial" w:cs="Arial" w:eastAsia="Arial" w:hAnsi="Arial"/>
                <w:b/>
                <w:bCs/>
                <w:color w:val="C00000"/>
                <w:sz w:val="20"/>
                <w:szCs w:val="20"/>
              </w:rPr>
              <w:t xml:space="preserve">   [CRITICAL]</w:t>
            </w:r>
            <w:r>
              <w:rPr>
                <w:rFonts w:ascii="Arial" w:cs="Arial" w:eastAsia="Arial" w:hAnsi="Arial"/>
                <w:i/>
                <w:iCs/>
                <w:color w:val="595959"/>
                <w:sz w:val="20"/>
                <w:szCs w:val="20"/>
              </w:rPr>
              <w:t xml:space="preserve">   Database Management</w:t>
            </w:r>
          </w:p>
          <w:p>
            <w:pPr>
              <w:spacing w:after="80" w:before="0"/>
            </w:pPr>
            <w:r>
              <w:rPr>
                <w:rFonts w:ascii="Arial" w:cs="Arial" w:eastAsia="Arial" w:hAnsi="Arial"/>
                <w:color w:val="000000"/>
                <w:sz w:val="20"/>
                <w:szCs w:val="20"/>
              </w:rPr>
              <w:t xml:space="preserve">The file V7__baseline.sql contains a comment indicating it must be replaced with a real schema dump. Production is configured with ddl-auto=validate, meaning Hibernate will validate the schema against entity definitions on startup. With only 10 Flyway migrations covering 58 entities, the migration history is insufficient to reconstruct the schema deterministically on a fresh database — or to safely apply incremental changes in an existing deployment.</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Any new production deployment will fail to initialise cleanly. Any future schema migration applied on top of an inconsistent baseline risks data corruption or failed deployments. This is a P0 data integrity risk.</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Generate a complete SQL schema dump from a known-good development database and commit it as V7__baseline.sql immediately. Freeze all entity-level Hibernate auto-DDL. Going forward, every schema change must go through a new numbered Flyway script. Add a CI test that spins up a clean Postgres instance, runs all migrations, and validates schema integrity.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CR-02  </w:t>
            </w:r>
            <w:r>
              <w:rPr>
                <w:rFonts w:ascii="Arial" w:cs="Arial" w:eastAsia="Arial" w:hAnsi="Arial"/>
                <w:b/>
                <w:bCs/>
                <w:color w:val="1E3A5F"/>
                <w:sz w:val="22"/>
                <w:szCs w:val="22"/>
              </w:rPr>
              <w:t xml:space="preserve">Automated Test Coverage Is ~3% — Critical Paths Bare</w:t>
            </w:r>
            <w:r>
              <w:rPr>
                <w:rFonts w:ascii="Arial" w:cs="Arial" w:eastAsia="Arial" w:hAnsi="Arial"/>
                <w:b/>
                <w:bCs/>
                <w:color w:val="C00000"/>
                <w:sz w:val="20"/>
                <w:szCs w:val="20"/>
              </w:rPr>
              <w:t xml:space="preserve">   [CRITICAL]</w:t>
            </w:r>
            <w:r>
              <w:rPr>
                <w:rFonts w:ascii="Arial" w:cs="Arial" w:eastAsia="Arial" w:hAnsi="Arial"/>
                <w:i/>
                <w:iCs/>
                <w:color w:val="595959"/>
                <w:sz w:val="20"/>
                <w:szCs w:val="20"/>
              </w:rPr>
              <w:t xml:space="preserve">   Testing</w:t>
            </w:r>
          </w:p>
          <w:p>
            <w:pPr>
              <w:spacing w:after="80" w:before="0"/>
            </w:pPr>
            <w:r>
              <w:rPr>
                <w:rFonts w:ascii="Arial" w:cs="Arial" w:eastAsia="Arial" w:hAnsi="Arial"/>
                <w:color w:val="000000"/>
                <w:sz w:val="20"/>
                <w:szCs w:val="20"/>
              </w:rPr>
              <w:t xml:space="preserve">The project contains 15 test files for 417 Java source files. The Jacoco gate enforces 30% line and 20% branch coverage, but the exclusion list (entities, DTOs, mappers, config) is broad enough that the gate can pass while entire service and controller layers have zero automated test coverage. Billing, webhook processing, license enforcement, asset state transitions, and compliance logic have no unit or integration tests.</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An untested billing path means a defect in subscription creation, plan upgrade, or Paystack webhook processing could silently corrupt billing state for paying customers with no automated detection. Untested compliance logic undermines the BOG ICT Directive value proposition. A regression in any of these areas would only surface in production.</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Immediately add 20+ integration tests covering: Paystack checkout initiation, webhook payment confirmation, plan limits enforcement, license key activation and expiry, and asset state transition guards. Target 40% meaningful line coverage (after exclusions) within 8 weeks. Ratchet the CI coverage gate upward as tests are added. Prioritise service layer tests over controller tests.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CR-03  </w:t>
            </w:r>
            <w:r>
              <w:rPr>
                <w:rFonts w:ascii="Arial" w:cs="Arial" w:eastAsia="Arial" w:hAnsi="Arial"/>
                <w:b/>
                <w:bCs/>
                <w:color w:val="1E3A5F"/>
                <w:sz w:val="22"/>
                <w:szCs w:val="22"/>
              </w:rPr>
              <w:t xml:space="preserve">Currency Inconsistency — USD, NGN, and GHS in the Same Product</w:t>
            </w:r>
            <w:r>
              <w:rPr>
                <w:rFonts w:ascii="Arial" w:cs="Arial" w:eastAsia="Arial" w:hAnsi="Arial"/>
                <w:b/>
                <w:bCs/>
                <w:color w:val="C00000"/>
                <w:sz w:val="20"/>
                <w:szCs w:val="20"/>
              </w:rPr>
              <w:t xml:space="preserve">   [CRITICAL]</w:t>
            </w:r>
            <w:r>
              <w:rPr>
                <w:rFonts w:ascii="Arial" w:cs="Arial" w:eastAsia="Arial" w:hAnsi="Arial"/>
                <w:i/>
                <w:iCs/>
                <w:color w:val="595959"/>
                <w:sz w:val="20"/>
                <w:szCs w:val="20"/>
              </w:rPr>
              <w:t xml:space="preserve">   Billing / Payments</w:t>
            </w:r>
          </w:p>
          <w:p>
            <w:pPr>
              <w:spacing w:after="80" w:before="0"/>
            </w:pPr>
            <w:r>
              <w:rPr>
                <w:rFonts w:ascii="Arial" w:cs="Arial" w:eastAsia="Arial" w:hAnsi="Arial"/>
                <w:color w:val="000000"/>
                <w:sz w:val="20"/>
                <w:szCs w:val="20"/>
              </w:rPr>
              <w:t xml:space="preserve">The application contains three different currencies in three different locations: the backend application.yml configures billing plan prices in GHS (Ghanaian Cedi); the Next.js customer portal hard-codes NGN (Nigerian Naira) in the Paystack checkout initialisation; and some backend utility code defaults to USD. A customer paying via the portal would be charged in Naira, while the backend records and displays amounts in Cedi, creating irreconcilable billing records.</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This is a direct financial harm risk. A customer billed NGN 99 instead of GHS 99 receives a completely different charge. Accounting reconciliation between Paystack settlement statements and internal billing records will be impossible. This is also a regulatory risk under Bank of Ghana and GDPA guidelines on transparent billing.</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Standardise on GHS across the entire codebase immediately. Audit every occurrence of currency literals, Paystack initialisation calls, and amount formatting utilities. Update the portal checkout to use GHS and verify Paystack plan codes correspond to GHS-denominated plans in the Paystack dashboard. Add a CI lint rule that fails if NGN or USD appear in billing-related source files.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CR-04  </w:t>
            </w:r>
            <w:r>
              <w:rPr>
                <w:rFonts w:ascii="Arial" w:cs="Arial" w:eastAsia="Arial" w:hAnsi="Arial"/>
                <w:b/>
                <w:bCs/>
                <w:color w:val="1E3A5F"/>
                <w:sz w:val="22"/>
                <w:szCs w:val="22"/>
              </w:rPr>
              <w:t xml:space="preserve">No Ghana Data Protection Act (DPA 2012) Compliance Module</w:t>
            </w:r>
            <w:r>
              <w:rPr>
                <w:rFonts w:ascii="Arial" w:cs="Arial" w:eastAsia="Arial" w:hAnsi="Arial"/>
                <w:b/>
                <w:bCs/>
                <w:color w:val="C00000"/>
                <w:sz w:val="20"/>
                <w:szCs w:val="20"/>
              </w:rPr>
              <w:t xml:space="preserve">   [CRITICAL]</w:t>
            </w:r>
            <w:r>
              <w:rPr>
                <w:rFonts w:ascii="Arial" w:cs="Arial" w:eastAsia="Arial" w:hAnsi="Arial"/>
                <w:i/>
                <w:iCs/>
                <w:color w:val="595959"/>
                <w:sz w:val="20"/>
                <w:szCs w:val="20"/>
              </w:rPr>
              <w:t xml:space="preserve">   Compliance / Legal</w:t>
            </w:r>
          </w:p>
          <w:p>
            <w:pPr>
              <w:spacing w:after="80" w:before="0"/>
            </w:pPr>
            <w:r>
              <w:rPr>
                <w:rFonts w:ascii="Arial" w:cs="Arial" w:eastAsia="Arial" w:hAnsi="Arial"/>
                <w:color w:val="000000"/>
                <w:sz w:val="20"/>
                <w:szCs w:val="20"/>
              </w:rPr>
              <w:t xml:space="preserve">The platform targets Ghanaian financial institutions including banks and telcos, all of which are subject to the Data Protection Act 2012 and the Bank of Ghana ICT Security Directive. The codebase has no consent tracking, no data subject access request (DSAR) workflow, no automated data retention or erasure mechanism, no Data Protection Officer (DPO) contact field on the Organisation model, and no bulk data export endpoint for tenant portability.</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Enterprise procurement in Ghanaian banking and government requires a DPA compliance attestation. Absence of this module is a procurement disqualifier for the primary target market. It also exposes AssetIQ and its customers to regulatory sanctions from the Data Protection Commission.</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Design and implement a DPA module in the next sprint: add a consent_record table, a dsar_request workflow (submit, acknowledge, fulfil, close), a data_retention_policy per organisation, a bulk export endpoint, and a DPO contact field on Organisation. Document the module in a dedicated DPA Compliance Guide and include it in the product data sheet.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CR-05  </w:t>
            </w:r>
            <w:r>
              <w:rPr>
                <w:rFonts w:ascii="Arial" w:cs="Arial" w:eastAsia="Arial" w:hAnsi="Arial"/>
                <w:b/>
                <w:bCs/>
                <w:color w:val="1E3A5F"/>
                <w:sz w:val="22"/>
                <w:szCs w:val="22"/>
              </w:rPr>
              <w:t xml:space="preserve">Paystack Checkout Does Not Expose Mobile Money Channels</w:t>
            </w:r>
            <w:r>
              <w:rPr>
                <w:rFonts w:ascii="Arial" w:cs="Arial" w:eastAsia="Arial" w:hAnsi="Arial"/>
                <w:b/>
                <w:bCs/>
                <w:color w:val="C00000"/>
                <w:sz w:val="20"/>
                <w:szCs w:val="20"/>
              </w:rPr>
              <w:t xml:space="preserve">   [CRITICAL]</w:t>
            </w:r>
            <w:r>
              <w:rPr>
                <w:rFonts w:ascii="Arial" w:cs="Arial" w:eastAsia="Arial" w:hAnsi="Arial"/>
                <w:i/>
                <w:iCs/>
                <w:color w:val="595959"/>
                <w:sz w:val="20"/>
                <w:szCs w:val="20"/>
              </w:rPr>
              <w:t xml:space="preserve">   Billing / Payments</w:t>
            </w:r>
          </w:p>
          <w:p>
            <w:pPr>
              <w:spacing w:after="80" w:before="0"/>
            </w:pPr>
            <w:r>
              <w:rPr>
                <w:rFonts w:ascii="Arial" w:cs="Arial" w:eastAsia="Arial" w:hAnsi="Arial"/>
                <w:color w:val="000000"/>
                <w:sz w:val="20"/>
                <w:szCs w:val="20"/>
              </w:rPr>
              <w:t xml:space="preserve">The Next.js portal initiates Paystack transactions without specifying the channels parameter. Paystack defaults to card-only when channels is omitted. Mobile Money (MTN MoMo, Telecel Cash, AirtelTigo Money) is the dominant payment method in Ghana — bank card penetration is comparatively low, particularly outside Accra. The portal also contains no mention of Mobile Money in its UI copy, pricing tables, or FAQ.</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Customers who prefer or exclusively use Mobile Money are blocked from subscribing. This directly suppresses conversion, particularly for SME and public sector customers outside major urban centres. It also signals to procurement reviewers that the product was not designed for the Ghanaian market.</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Add channels: ["mobile_money", "card", "bank_transfer"] to all Paystack transaction initialisation calls. Add Mobile Money provider logos (MTN, Telecel, AirtelTigo) to the pricing and checkout pages. Update portal copy to call out "Pay with MoMo" as a first-class option. Test the full MoMo payment flow in the Paystack test environment before launch.</w:t>
            </w:r>
          </w:p>
        </w:tc>
      </w:tr>
    </w:tbl>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4. High Priority Findings</w:t>
      </w:r>
    </w:p>
    <w:p>
      <w:pPr>
        <w:spacing w:after="60" w:before="60"/>
      </w:pPr>
      <w:r>
        <w:rPr>
          <w:rFonts w:ascii="Arial" w:cs="Arial" w:eastAsia="Arial" w:hAnsi="Arial"/>
          <w:color w:val="000000"/>
          <w:sz w:val="22"/>
          <w:szCs w:val="22"/>
        </w:rPr>
        <w:t xml:space="preserve">High priority findings are not day-one blockers but carry significant risk of customer-facing defects, security incidents, or regulatory exposure if left unresolved beyond the first production release.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HI-01  </w:t>
            </w:r>
            <w:r>
              <w:rPr>
                <w:rFonts w:ascii="Arial" w:cs="Arial" w:eastAsia="Arial" w:hAnsi="Arial"/>
                <w:b/>
                <w:bCs/>
                <w:color w:val="1E3A5F"/>
                <w:sz w:val="22"/>
                <w:szCs w:val="22"/>
              </w:rPr>
              <w:t xml:space="preserve">No Integration Tests for Paystack Webhook Handlers</w:t>
            </w:r>
            <w:r>
              <w:rPr>
                <w:rFonts w:ascii="Arial" w:cs="Arial" w:eastAsia="Arial" w:hAnsi="Arial"/>
                <w:b/>
                <w:bCs/>
                <w:color w:val="E36C09"/>
                <w:sz w:val="20"/>
                <w:szCs w:val="20"/>
              </w:rPr>
              <w:t xml:space="preserve">   [HIGH]</w:t>
            </w:r>
            <w:r>
              <w:rPr>
                <w:rFonts w:ascii="Arial" w:cs="Arial" w:eastAsia="Arial" w:hAnsi="Arial"/>
                <w:i/>
                <w:iCs/>
                <w:color w:val="595959"/>
                <w:sz w:val="20"/>
                <w:szCs w:val="20"/>
              </w:rPr>
              <w:t xml:space="preserve">   Billing / Testing</w:t>
            </w:r>
          </w:p>
          <w:p>
            <w:pPr>
              <w:spacing w:after="80" w:before="0"/>
            </w:pPr>
            <w:r>
              <w:rPr>
                <w:rFonts w:ascii="Arial" w:cs="Arial" w:eastAsia="Arial" w:hAnsi="Arial"/>
                <w:color w:val="000000"/>
                <w:sz w:val="20"/>
                <w:szCs w:val="20"/>
              </w:rPr>
              <w:t xml:space="preserve">The Paystack webhook controller handles payment confirmations, subscription renewals, and charge failures. None of these handlers have automated integration tests. The only coverage is a QA checklist item for manual testing. There is also no verification that the HMAC-SHA256 signature validation rejects tampered or replayed payloads in automated tests.</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A regression in webhook signature validation could allow forged payment confirmations, granting paid subscriptions without actual payment. A regression in the renewal handler could silently downgrade active customers to the free tier.</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Add integration tests using MockMvc or RestAssured that POST signed Paystack webhook payloads and assert correct state transitions. Include negative test cases: invalid signatures must return 401, replayed events must be idempotent. Run these tests against an H2-backed integration profile in CI.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HI-02  </w:t>
            </w:r>
            <w:r>
              <w:rPr>
                <w:rFonts w:ascii="Arial" w:cs="Arial" w:eastAsia="Arial" w:hAnsi="Arial"/>
                <w:b/>
                <w:bCs/>
                <w:color w:val="1E3A5F"/>
                <w:sz w:val="22"/>
                <w:szCs w:val="22"/>
              </w:rPr>
              <w:t xml:space="preserve">Plan Limit Enforcement Not Fully Covered by Tests</w:t>
            </w:r>
            <w:r>
              <w:rPr>
                <w:rFonts w:ascii="Arial" w:cs="Arial" w:eastAsia="Arial" w:hAnsi="Arial"/>
                <w:b/>
                <w:bCs/>
                <w:color w:val="E36C09"/>
                <w:sz w:val="20"/>
                <w:szCs w:val="20"/>
              </w:rPr>
              <w:t xml:space="preserve">   [HIGH]</w:t>
            </w:r>
            <w:r>
              <w:rPr>
                <w:rFonts w:ascii="Arial" w:cs="Arial" w:eastAsia="Arial" w:hAnsi="Arial"/>
                <w:i/>
                <w:iCs/>
                <w:color w:val="595959"/>
                <w:sz w:val="20"/>
                <w:szCs w:val="20"/>
              </w:rPr>
              <w:t xml:space="preserve">   Licensing / Testing</w:t>
            </w:r>
          </w:p>
          <w:p>
            <w:pPr>
              <w:spacing w:after="80" w:before="0"/>
            </w:pPr>
            <w:r>
              <w:rPr>
                <w:rFonts w:ascii="Arial" w:cs="Arial" w:eastAsia="Arial" w:hAnsi="Arial"/>
                <w:color w:val="000000"/>
                <w:sz w:val="20"/>
                <w:szCs w:val="20"/>
              </w:rPr>
              <w:t xml:space="preserve">LicensePlanLimitsService enforces per-plan limits on assets, users, departments, and locations. Department and location limits were added late in development. There are no integration tests verifying that creating the N+1 asset (or user, department, location) beyond a plan's limit returns an appropriate error and does not persist the record.</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Customers on lower-tier plans could exceed their contracted limits if a limit check has a bug — for example, an off-by-one error or a race condition under concurrent writes. This undermines the commercial model and creates support burden.</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Write parameterised integration tests for each plan limit: seed data at the limit boundary, attempt one additional creation, assert 402 or 403 response, assert the database count did not increment. Cover all four limit types (assets, users, departments, locations) across all plan tiers. Add concurrency tests for the asset limit using virtual threads.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HI-03  </w:t>
            </w:r>
            <w:r>
              <w:rPr>
                <w:rFonts w:ascii="Arial" w:cs="Arial" w:eastAsia="Arial" w:hAnsi="Arial"/>
                <w:b/>
                <w:bCs/>
                <w:color w:val="1E3A5F"/>
                <w:sz w:val="22"/>
                <w:szCs w:val="22"/>
              </w:rPr>
              <w:t xml:space="preserve">Standalone Edition References a Missing Frontend Repository</w:t>
            </w:r>
            <w:r>
              <w:rPr>
                <w:rFonts w:ascii="Arial" w:cs="Arial" w:eastAsia="Arial" w:hAnsi="Arial"/>
                <w:b/>
                <w:bCs/>
                <w:color w:val="E36C09"/>
                <w:sz w:val="20"/>
                <w:szCs w:val="20"/>
              </w:rPr>
              <w:t xml:space="preserve">   [HIGH]</w:t>
            </w:r>
            <w:r>
              <w:rPr>
                <w:rFonts w:ascii="Arial" w:cs="Arial" w:eastAsia="Arial" w:hAnsi="Arial"/>
                <w:i/>
                <w:iCs/>
                <w:color w:val="595959"/>
                <w:sz w:val="20"/>
                <w:szCs w:val="20"/>
              </w:rPr>
              <w:t xml:space="preserve">   Deployment</w:t>
            </w:r>
          </w:p>
          <w:p>
            <w:pPr>
              <w:spacing w:after="80" w:before="0"/>
            </w:pPr>
            <w:r>
              <w:rPr>
                <w:rFonts w:ascii="Arial" w:cs="Arial" w:eastAsia="Arial" w:hAnsi="Arial"/>
                <w:color w:val="000000"/>
                <w:sz w:val="20"/>
                <w:szCs w:val="20"/>
              </w:rPr>
              <w:t xml:space="preserve">The standalone Docker Compose file (docker-compose.standalone.yml) references ../Enterprise-Asset-manager-Frontend/ as the build context for the frontend service. This directory does not exist in the provided repository. A self-hosted customer attempting to deploy the standalone edition will encounter a build failure with no clear error message.</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The standalone edition is a key commercial offering for banks and enterprises that cannot use cloud SaaS. A broken first-run experience destroys trust with the exact customers who have the highest compliance sensitivity.</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Either include the frontend repository as a Git submodule, provide pre-built Docker images for the standalone bundle (as suggested in docker-compose.standalone.images.yml), or document the exact repository URL and directory structure required. Update the standalone setup wizard to detect and surface this dependency clearly. Add a CI smoke test that validates the standalone Compose file can resolve all build contexts.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HI-04  </w:t>
            </w:r>
            <w:r>
              <w:rPr>
                <w:rFonts w:ascii="Arial" w:cs="Arial" w:eastAsia="Arial" w:hAnsi="Arial"/>
                <w:b/>
                <w:bCs/>
                <w:color w:val="1E3A5F"/>
                <w:sz w:val="22"/>
                <w:szCs w:val="22"/>
              </w:rPr>
              <w:t xml:space="preserve">No Replay-Attack Protection on Webhook Delivery</w:t>
            </w:r>
            <w:r>
              <w:rPr>
                <w:rFonts w:ascii="Arial" w:cs="Arial" w:eastAsia="Arial" w:hAnsi="Arial"/>
                <w:b/>
                <w:bCs/>
                <w:color w:val="E36C09"/>
                <w:sz w:val="20"/>
                <w:szCs w:val="20"/>
              </w:rPr>
              <w:t xml:space="preserve">   [HIGH]</w:t>
            </w:r>
            <w:r>
              <w:rPr>
                <w:rFonts w:ascii="Arial" w:cs="Arial" w:eastAsia="Arial" w:hAnsi="Arial"/>
                <w:i/>
                <w:iCs/>
                <w:color w:val="595959"/>
                <w:sz w:val="20"/>
                <w:szCs w:val="20"/>
              </w:rPr>
              <w:t xml:space="preserve">   Security</w:t>
            </w:r>
          </w:p>
          <w:p>
            <w:pPr>
              <w:spacing w:after="80" w:before="0"/>
            </w:pPr>
            <w:r>
              <w:rPr>
                <w:rFonts w:ascii="Arial" w:cs="Arial" w:eastAsia="Arial" w:hAnsi="Arial"/>
                <w:color w:val="000000"/>
                <w:sz w:val="20"/>
                <w:szCs w:val="20"/>
              </w:rPr>
              <w:t xml:space="preserve">Incoming Paystack webhooks are verified using HMAC-SHA256 signature validation, which is correct. However, there is no timestamp check or nonce-based deduplication at the signature verification layer. An attacker who intercepts a valid signed webhook payload could replay it hours or days later to trigger duplicate payment confirmations or subscription state changes.</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A replay attack on a subscription-renewal webhook could extend a subscription that has since been cancelled, or trigger duplicate resource provisioning. While Paystack itself has idempotency controls, the application should not rely solely on the upstream provider.</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Add a Paystack-Webhook-Timestamp header check: reject any webhook where the timestamp is more than 5 minutes in the past. Additionally, store processed webhook event IDs (from the Paystack event id field) in a time-windowed cache (Redis with 24-hour TTL) and reject duplicates. Document this in the webhook security model.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HI-05  </w:t>
            </w:r>
            <w:r>
              <w:rPr>
                <w:rFonts w:ascii="Arial" w:cs="Arial" w:eastAsia="Arial" w:hAnsi="Arial"/>
                <w:b/>
                <w:bCs/>
                <w:color w:val="1E3A5F"/>
                <w:sz w:val="22"/>
                <w:szCs w:val="22"/>
              </w:rPr>
              <w:t xml:space="preserve">No Tenant-Level Data Residency Controls</w:t>
            </w:r>
            <w:r>
              <w:rPr>
                <w:rFonts w:ascii="Arial" w:cs="Arial" w:eastAsia="Arial" w:hAnsi="Arial"/>
                <w:b/>
                <w:bCs/>
                <w:color w:val="E36C09"/>
                <w:sz w:val="20"/>
                <w:szCs w:val="20"/>
              </w:rPr>
              <w:t xml:space="preserve">   [HIGH]</w:t>
            </w:r>
            <w:r>
              <w:rPr>
                <w:rFonts w:ascii="Arial" w:cs="Arial" w:eastAsia="Arial" w:hAnsi="Arial"/>
                <w:i/>
                <w:iCs/>
                <w:color w:val="595959"/>
                <w:sz w:val="20"/>
                <w:szCs w:val="20"/>
              </w:rPr>
              <w:t xml:space="preserve">   Compliance / Security</w:t>
            </w:r>
          </w:p>
          <w:p>
            <w:pPr>
              <w:spacing w:after="80" w:before="0"/>
            </w:pPr>
            <w:r>
              <w:rPr>
                <w:rFonts w:ascii="Arial" w:cs="Arial" w:eastAsia="Arial" w:hAnsi="Arial"/>
                <w:color w:val="000000"/>
                <w:sz w:val="20"/>
                <w:szCs w:val="20"/>
              </w:rPr>
              <w:t xml:space="preserve">S3 storage is configurable at the application level, and each organisation can override storage credentials. However, there is no tenant-level data_residency field on the Organisation model, no enforcement that a tenant's assets are stored in a specific geographic region, and no documentation guaranteeing that data does not leave Ghana.</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Ghanaian banks and government agencies subject to BOG data localisation requirements will require a written assurance that data remains within Ghana's borders (or a contracted cloud region). Without an enforceable residency flag, AssetIQ cannot credibly make this commitment.</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Add a data_residency_region field to the Organisation model. Enforce this field in the StorageService: when a tenant has a residency requirement, validate that their configured S3 endpoint resolves to an approved region before accepting file operations. Document the residency model in a Data Processing Agreement template and include it in enterprise sales collateral.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pPr>
              <w:spacing w:after="80" w:before="0"/>
            </w:pPr>
            <w:r>
              <w:rPr>
                <w:rFonts w:ascii="Arial" w:cs="Arial" w:eastAsia="Arial" w:hAnsi="Arial"/>
                <w:b/>
                <w:bCs/>
                <w:color w:val="595959"/>
                <w:sz w:val="20"/>
                <w:szCs w:val="20"/>
              </w:rPr>
              <w:t xml:space="preserve">HI-06  </w:t>
            </w:r>
            <w:r>
              <w:rPr>
                <w:rFonts w:ascii="Arial" w:cs="Arial" w:eastAsia="Arial" w:hAnsi="Arial"/>
                <w:b/>
                <w:bCs/>
                <w:color w:val="1E3A5F"/>
                <w:sz w:val="22"/>
                <w:szCs w:val="22"/>
              </w:rPr>
              <w:t xml:space="preserve">EndOfLifeAlertJob Notification Dispatch Is Unimplemented (TODO)</w:t>
            </w:r>
            <w:r>
              <w:rPr>
                <w:rFonts w:ascii="Arial" w:cs="Arial" w:eastAsia="Arial" w:hAnsi="Arial"/>
                <w:b/>
                <w:bCs/>
                <w:color w:val="E36C09"/>
                <w:sz w:val="20"/>
                <w:szCs w:val="20"/>
              </w:rPr>
              <w:t xml:space="preserve">   [HIGH]</w:t>
            </w:r>
            <w:r>
              <w:rPr>
                <w:rFonts w:ascii="Arial" w:cs="Arial" w:eastAsia="Arial" w:hAnsi="Arial"/>
                <w:i/>
                <w:iCs/>
                <w:color w:val="595959"/>
                <w:sz w:val="20"/>
                <w:szCs w:val="20"/>
              </w:rPr>
              <w:t xml:space="preserve">   Backend / Jobs</w:t>
            </w:r>
          </w:p>
          <w:p>
            <w:pPr>
              <w:spacing w:after="80" w:before="0"/>
            </w:pPr>
            <w:r>
              <w:rPr>
                <w:rFonts w:ascii="Arial" w:cs="Arial" w:eastAsia="Arial" w:hAnsi="Arial"/>
                <w:color w:val="000000"/>
                <w:sz w:val="20"/>
                <w:szCs w:val="20"/>
              </w:rPr>
              <w:t xml:space="preserve">The EndOfLifeAlertJob scheduled task contains 4 TODO comments where notification dispatch logic should be. The job identifies assets approaching end-of-life but silently does nothing with that information. End-of-life alerts are a core feature of asset lifecycle management and are likely featured in sales demonstrations.</w:t>
            </w:r>
          </w:p>
          <w:p>
            <w:pPr>
              <w:spacing w:after="80" w:before="0"/>
            </w:pPr>
            <w:r>
              <w:rPr>
                <w:rFonts w:ascii="Arial" w:cs="Arial" w:eastAsia="Arial" w:hAnsi="Arial"/>
                <w:b/>
                <w:bCs/>
                <w:color w:val="1E3A5F"/>
                <w:sz w:val="20"/>
                <w:szCs w:val="20"/>
              </w:rPr>
              <w:t xml:space="preserve">Impact: </w:t>
            </w:r>
            <w:r>
              <w:rPr>
                <w:rFonts w:ascii="Arial" w:cs="Arial" w:eastAsia="Arial" w:hAnsi="Arial"/>
                <w:color w:val="000000"/>
                <w:sz w:val="20"/>
                <w:szCs w:val="20"/>
              </w:rPr>
              <w:t xml:space="preserve">Customers who enable end-of-life alert configuration will receive no notifications, silently missing maintenance windows or procurement deadlines. Discovering this in a sales demo or after go-live would be critically damaging to credibility.</w:t>
            </w:r>
          </w:p>
          <w:p>
            <w:pPr>
              <w:spacing w:after="0" w:before="0"/>
            </w:pPr>
            <w:r>
              <w:rPr>
                <w:rFonts w:ascii="Arial" w:cs="Arial" w:eastAsia="Arial" w:hAnsi="Arial"/>
                <w:b/>
                <w:bCs/>
                <w:color w:val="375623"/>
                <w:sz w:val="20"/>
                <w:szCs w:val="20"/>
              </w:rPr>
              <w:t xml:space="preserve">Recommendation: </w:t>
            </w:r>
            <w:r>
              <w:rPr>
                <w:rFonts w:ascii="Arial" w:cs="Arial" w:eastAsia="Arial" w:hAnsi="Arial"/>
                <w:color w:val="000000"/>
                <w:sz w:val="20"/>
                <w:szCs w:val="20"/>
              </w:rPr>
              <w:t xml:space="preserve">Complete the notification dispatch implementation in EndOfLifeAlertJob. Use the existing NotificationService and EmailService to deliver in-app and email alerts to asset owners and department managers. Add a feature flag to gate the job during development if needed. Write an integration test that seeds near-EOL assets and verifies notification records are created when the job runs.</w:t>
            </w:r>
          </w:p>
        </w:tc>
      </w:tr>
    </w:tbl>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5. Medium Priority Findings</w:t>
      </w:r>
    </w:p>
    <w:p>
      <w:pPr>
        <w:spacing w:after="60" w:before="60"/>
      </w:pPr>
      <w:r>
        <w:rPr>
          <w:rFonts w:ascii="Arial" w:cs="Arial" w:eastAsia="Arial" w:hAnsi="Arial"/>
          <w:color w:val="000000"/>
          <w:sz w:val="22"/>
          <w:szCs w:val="22"/>
        </w:rPr>
        <w:t xml:space="preserve">Medium priority findings should be addressed within the first 4 weeks post-launch to prevent accumulating technical debt and operational risk.</w:t>
      </w:r>
    </w:p>
    <w:p>
      <w:pPr>
        <w:pStyle w:val="Heading3"/>
        <w:spacing w:after="60" w:before="200"/>
      </w:pPr>
      <w:r>
        <w:rPr>
          <w:rFonts w:ascii="Arial" w:cs="Arial" w:eastAsia="Arial" w:hAnsi="Arial"/>
          <w:b/>
          <w:bCs/>
          <w:color w:val="1E3A5F"/>
          <w:sz w:val="22"/>
          <w:szCs w:val="22"/>
        </w:rPr>
        <w:t xml:space="preserve">ME-01 — Idempotency Keys Accumulate Without TTL</w:t>
      </w:r>
    </w:p>
    <w:p>
      <w:pPr>
        <w:spacing w:after="60" w:before="60"/>
      </w:pPr>
      <w:r>
        <w:rPr>
          <w:rFonts w:ascii="Arial" w:cs="Arial" w:eastAsia="Arial" w:hAnsi="Arial"/>
          <w:color w:val="000000"/>
          <w:sz w:val="22"/>
          <w:szCs w:val="22"/>
        </w:rPr>
        <w:t xml:space="preserve">Idempotency records are stored using a SHA256 hash of the endpoint, method, and request body, with no expiry time. Over time, the idempotency_record table will grow unboundedly. Recommendation: add a processed_at timestamp column and a scheduled cleanup job that deletes records older than 72 hours, consistent with RFC 9413 guidance.</w:t>
      </w:r>
    </w:p>
    <w:p>
      <w:pPr>
        <w:pStyle w:val="Heading3"/>
        <w:spacing w:after="60" w:before="200"/>
      </w:pPr>
      <w:r>
        <w:rPr>
          <w:rFonts w:ascii="Arial" w:cs="Arial" w:eastAsia="Arial" w:hAnsi="Arial"/>
          <w:b/>
          <w:bCs/>
          <w:color w:val="1E3A5F"/>
          <w:sz w:val="22"/>
          <w:szCs w:val="22"/>
        </w:rPr>
        <w:t xml:space="preserve">ME-02 — Async Jobs Have No Retry or Dead-Letter Queue</w:t>
      </w:r>
    </w:p>
    <w:p>
      <w:pPr>
        <w:spacing w:after="60" w:before="60"/>
      </w:pPr>
      <w:r>
        <w:rPr>
          <w:rFonts w:ascii="Arial" w:cs="Arial" w:eastAsia="Arial" w:hAnsi="Arial"/>
          <w:color w:val="000000"/>
          <w:sz w:val="22"/>
          <w:szCs w:val="22"/>
        </w:rPr>
        <w:t xml:space="preserve">The @EnableAsync executor uses virtual threads but there is no retry logic, no dead-letter queue, and no alerting for failed async tasks. A failed email dispatch or webhook delivery silently drops the event. Recommendation: implement Spring Retry on async methods and add a failed_task table or integrate with a lightweight message queue for critical async paths.</w:t>
      </w:r>
    </w:p>
    <w:p>
      <w:pPr>
        <w:pStyle w:val="Heading3"/>
        <w:spacing w:after="60" w:before="200"/>
      </w:pPr>
      <w:r>
        <w:rPr>
          <w:rFonts w:ascii="Arial" w:cs="Arial" w:eastAsia="Arial" w:hAnsi="Arial"/>
          <w:b/>
          <w:bCs/>
          <w:color w:val="1E3A5F"/>
          <w:sz w:val="22"/>
          <w:szCs w:val="22"/>
        </w:rPr>
        <w:t xml:space="preserve">ME-03 — Rate Limiting Coverage on Write Endpoints Is Unconfirmed</w:t>
      </w:r>
    </w:p>
    <w:p>
      <w:pPr>
        <w:spacing w:after="60" w:before="60"/>
      </w:pPr>
      <w:r>
        <w:rPr>
          <w:rFonts w:ascii="Arial" w:cs="Arial" w:eastAsia="Arial" w:hAnsi="Arial"/>
          <w:color w:val="000000"/>
          <w:sz w:val="22"/>
          <w:szCs w:val="22"/>
        </w:rPr>
        <w:t xml:space="preserve">Bucket4j is configured at 100 req/min and 5,000 req/hour. However, it is unclear whether these limits are applied uniformly to data-modifying endpoints (POST, PUT, DELETE) or only to read paths. Recommendation: audit the RateLimitingFilter or @RateLimited annotation usage and confirm all write endpoints are covered. Consider stricter limits (e.g., 20 req/min) on bulk import and deletion endpoints.</w:t>
      </w:r>
    </w:p>
    <w:p>
      <w:pPr>
        <w:pStyle w:val="Heading3"/>
        <w:spacing w:after="60" w:before="200"/>
      </w:pPr>
      <w:r>
        <w:rPr>
          <w:rFonts w:ascii="Arial" w:cs="Arial" w:eastAsia="Arial" w:hAnsi="Arial"/>
          <w:b/>
          <w:bCs/>
          <w:color w:val="1E3A5F"/>
          <w:sz w:val="22"/>
          <w:szCs w:val="22"/>
        </w:rPr>
        <w:t xml:space="preserve">ME-04 — Correlation ID Tracking Disabled by Default</w:t>
      </w:r>
    </w:p>
    <w:p>
      <w:pPr>
        <w:spacing w:after="60" w:before="60"/>
      </w:pPr>
      <w:r>
        <w:rPr>
          <w:rFonts w:ascii="Arial" w:cs="Arial" w:eastAsia="Arial" w:hAnsi="Arial"/>
          <w:color w:val="000000"/>
          <w:sz w:val="22"/>
          <w:szCs w:val="22"/>
        </w:rPr>
        <w:t xml:space="preserve">Correlation ID tracking is controlled by correlation-id.enabled, which defaults to false. Without correlation IDs, tracing a request across log lines and Sentry events during an incident investigation is significantly harder. Recommendation: default correlation-id.enabled to true in all profiles. Confirm the X-Correlation-ID header is propagated through all outbound calls (email, webhooks, S3).</w:t>
      </w:r>
    </w:p>
    <w:p>
      <w:pPr>
        <w:pStyle w:val="Heading3"/>
        <w:spacing w:after="60" w:before="200"/>
      </w:pPr>
      <w:r>
        <w:rPr>
          <w:rFonts w:ascii="Arial" w:cs="Arial" w:eastAsia="Arial" w:hAnsi="Arial"/>
          <w:b/>
          <w:bCs/>
          <w:color w:val="1E3A5F"/>
          <w:sz w:val="22"/>
          <w:szCs w:val="22"/>
        </w:rPr>
        <w:t xml:space="preserve">ME-05 — Lombok @Data on JPA Entities Generates Unsafe equals/hashCode</w:t>
      </w:r>
    </w:p>
    <w:p>
      <w:pPr>
        <w:spacing w:after="60" w:before="60"/>
      </w:pPr>
      <w:r>
        <w:rPr>
          <w:rFonts w:ascii="Arial" w:cs="Arial" w:eastAsia="Arial" w:hAnsi="Arial"/>
          <w:color w:val="000000"/>
          <w:sz w:val="22"/>
          <w:szCs w:val="22"/>
        </w:rPr>
        <w:t xml:space="preserve">Several JPA entities use @Data, which generates equals() and hashCode() based on all fields. This is known to cause bugs with Hibernate's identity tracking: two detached instances of the same database row will not be equal, and including collection fields in hashCode breaks Set-based deduplication. The Asset entity correctly uses @EqualsAndHashCode(onlyExplicitlyIncluded = true) — this pattern should be applied to all entities. Recommendation: audit all 58 entities, replace @Data with @Getter @Setter @ToString, and add explicit @EqualsAndHashCode with only the database ID field included.</w:t>
      </w:r>
    </w:p>
    <w:p>
      <w:pPr>
        <w:pStyle w:val="Heading3"/>
        <w:spacing w:after="60" w:before="200"/>
      </w:pPr>
      <w:r>
        <w:rPr>
          <w:rFonts w:ascii="Arial" w:cs="Arial" w:eastAsia="Arial" w:hAnsi="Arial"/>
          <w:b/>
          <w:bCs/>
          <w:color w:val="1E3A5F"/>
          <w:sz w:val="22"/>
          <w:szCs w:val="22"/>
        </w:rPr>
        <w:t xml:space="preserve">ME-06 — API v2 Declared But Has No Endpoints; v1 Sunset Not Documented</w:t>
      </w:r>
    </w:p>
    <w:p>
      <w:pPr>
        <w:spacing w:after="60" w:before="60"/>
      </w:pPr>
      <w:r>
        <w:rPr>
          <w:rFonts w:ascii="Arial" w:cs="Arial" w:eastAsia="Arial" w:hAnsi="Arial"/>
          <w:color w:val="000000"/>
          <w:sz w:val="22"/>
          <w:szCs w:val="22"/>
        </w:rPr>
        <w:t xml:space="preserve">ApiVersioningConfig declares a v2 routing namespace, but no controllers are mapped to it. There is no published deprecation timeline for v1 or a changelog. Enterprise customers integrating against the API will need advance notice of breaking changes. Recommendation: document the versioning policy (minimum 6-month deprecation notice for v1 endpoints), publish a v1 endpoint lifecycle page in the Swagger UI, and implement Sunset and Deprecation headers on any endpoints already marked for removal.</w:t>
      </w:r>
    </w:p>
    <w:p>
      <w:pPr>
        <w:pStyle w:val="Heading3"/>
        <w:spacing w:after="60" w:before="200"/>
      </w:pPr>
      <w:r>
        <w:rPr>
          <w:rFonts w:ascii="Arial" w:cs="Arial" w:eastAsia="Arial" w:hAnsi="Arial"/>
          <w:b/>
          <w:bCs/>
          <w:color w:val="1E3A5F"/>
          <w:sz w:val="22"/>
          <w:szCs w:val="22"/>
        </w:rPr>
        <w:t xml:space="preserve">ME-07 — SSO and Storage Configuration Changes Are Not Audit-Logged</w:t>
      </w:r>
    </w:p>
    <w:p>
      <w:pPr>
        <w:spacing w:after="60" w:before="60"/>
      </w:pPr>
      <w:r>
        <w:rPr>
          <w:rFonts w:ascii="Arial" w:cs="Arial" w:eastAsia="Arial" w:hAnsi="Arial"/>
          <w:color w:val="000000"/>
          <w:sz w:val="22"/>
          <w:szCs w:val="22"/>
        </w:rPr>
        <w:t xml:space="preserve">RbacAuditService captures role and permission changes, which is good. However, changes to SSO configuration (SAML metadata, OAuth2 client secrets), storage credentials (S3 keys), and Paystack configuration are not captured in the audit trail. For a BOG-regulated institution, all configuration changes to a production system must be attributable to a named user. Recommendation: extend the audit event model to cover all SsoConfigController, StorageConfigController, and BillingController write operations.</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6. Low Priority Findings</w:t>
      </w:r>
    </w:p>
    <w:p>
      <w:pPr>
        <w:spacing w:after="60" w:before="60"/>
      </w:pPr>
      <w:r>
        <w:rPr>
          <w:rFonts w:ascii="Arial" w:cs="Arial" w:eastAsia="Arial" w:hAnsi="Arial"/>
          <w:color w:val="000000"/>
          <w:sz w:val="22"/>
          <w:szCs w:val="22"/>
        </w:rPr>
        <w:t xml:space="preserve">Low priority findings are code quality improvements and hardening items for the 30-60 day post-launch window.</w:t>
      </w:r>
    </w:p>
    <w:p>
      <w:pPr>
        <w:pStyle w:val="Heading3"/>
        <w:spacing w:after="60" w:before="200"/>
      </w:pPr>
      <w:r>
        <w:rPr>
          <w:rFonts w:ascii="Arial" w:cs="Arial" w:eastAsia="Arial" w:hAnsi="Arial"/>
          <w:b/>
          <w:bCs/>
          <w:color w:val="1E3A5F"/>
          <w:sz w:val="22"/>
          <w:szCs w:val="22"/>
        </w:rPr>
        <w:t xml:space="preserve">LO-01 — Cold Start Time Not Benchmarked</w:t>
      </w:r>
    </w:p>
    <w:p>
      <w:pPr>
        <w:spacing w:after="60" w:before="60"/>
      </w:pPr>
      <w:r>
        <w:rPr>
          <w:rFonts w:ascii="Arial" w:cs="Arial" w:eastAsia="Arial" w:hAnsi="Arial"/>
          <w:color w:val="000000"/>
          <w:sz w:val="22"/>
          <w:szCs w:val="22"/>
        </w:rPr>
        <w:t xml:space="preserve">Flyway migration validation, Hibernate schema validation, and Spring context initialisation all run at startup. In a containerised Railway.app deployment, slow cold starts cause health check failures and repeated container restarts. Recommendation: benchmark startup time with docker run and record it as a baseline metric. If it exceeds 45 seconds, investigate lazy initialisation (spring.main.lazy-initialization=true for non-critical beans) or Hibernate schema validation deferral.</w:t>
      </w:r>
    </w:p>
    <w:p>
      <w:pPr>
        <w:pStyle w:val="Heading3"/>
        <w:spacing w:after="60" w:before="200"/>
      </w:pPr>
      <w:r>
        <w:rPr>
          <w:rFonts w:ascii="Arial" w:cs="Arial" w:eastAsia="Arial" w:hAnsi="Arial"/>
          <w:b/>
          <w:bCs/>
          <w:color w:val="1E3A5F"/>
          <w:sz w:val="22"/>
          <w:szCs w:val="22"/>
        </w:rPr>
        <w:t xml:space="preserve">LO-02 — MapStruct Mapper Configuration Lacks Contract Tests</w:t>
      </w:r>
    </w:p>
    <w:p>
      <w:pPr>
        <w:spacing w:after="60" w:before="60"/>
      </w:pPr>
      <w:r>
        <w:rPr>
          <w:rFonts w:ascii="Arial" w:cs="Arial" w:eastAsia="Arial" w:hAnsi="Arial"/>
          <w:color w:val="000000"/>
          <w:sz w:val="22"/>
          <w:szCs w:val="22"/>
        </w:rPr>
        <w:t xml:space="preserve">MapStruct mappers are excluded from Jacoco coverage (reasonable for generated code). However, custom converters (e.g., enum mapping, nested object mapping) configured in mapper interfaces are not tested. A misconfigured converter silently drops or corrupts fields in API responses. Recommendation: add at least one round-trip test per mapper that verifies all non-null fields survive the entity-to-DTO-and-back mapping cycle.</w:t>
      </w:r>
    </w:p>
    <w:p>
      <w:pPr>
        <w:pStyle w:val="Heading3"/>
        <w:spacing w:after="60" w:before="200"/>
      </w:pPr>
      <w:r>
        <w:rPr>
          <w:rFonts w:ascii="Arial" w:cs="Arial" w:eastAsia="Arial" w:hAnsi="Arial"/>
          <w:b/>
          <w:bCs/>
          <w:color w:val="1E3A5F"/>
          <w:sz w:val="22"/>
          <w:szCs w:val="22"/>
        </w:rPr>
        <w:t xml:space="preserve">LO-03 — SMTP Credentials Unencrypted in .env</w:t>
      </w:r>
    </w:p>
    <w:p>
      <w:pPr>
        <w:spacing w:after="60" w:before="60"/>
      </w:pPr>
      <w:r>
        <w:rPr>
          <w:rFonts w:ascii="Arial" w:cs="Arial" w:eastAsia="Arial" w:hAnsi="Arial"/>
          <w:color w:val="000000"/>
          <w:sz w:val="22"/>
          <w:szCs w:val="22"/>
        </w:rPr>
        <w:t xml:space="preserve">The .env file stores SMTP credentials and Paystack secret keys in plaintext. While .env is gitignored, in a team environment secrets should be managed through a secret manager (AWS Secrets Manager, HashiCorp Vault, or Railway's encrypted environment variables). Recommendation: document the secret management approach in DEPLOYMENT.md and provide a docker-compose.override.yml example that pulls secrets from environment variables rather than a file.</w:t>
      </w:r>
    </w:p>
    <w:p>
      <w:pPr>
        <w:pStyle w:val="Heading3"/>
        <w:spacing w:after="60" w:before="200"/>
      </w:pPr>
      <w:r>
        <w:rPr>
          <w:rFonts w:ascii="Arial" w:cs="Arial" w:eastAsia="Arial" w:hAnsi="Arial"/>
          <w:b/>
          <w:bCs/>
          <w:color w:val="1E3A5F"/>
          <w:sz w:val="22"/>
          <w:szCs w:val="22"/>
        </w:rPr>
        <w:t xml:space="preserve">LO-04 — Startup Validator Does Not Check External Service Reachability</w:t>
      </w:r>
    </w:p>
    <w:p>
      <w:pPr>
        <w:spacing w:after="60" w:before="60"/>
      </w:pPr>
      <w:r>
        <w:rPr>
          <w:rFonts w:ascii="Arial" w:cs="Arial" w:eastAsia="Arial" w:hAnsi="Arial"/>
          <w:color w:val="000000"/>
          <w:sz w:val="22"/>
          <w:szCs w:val="22"/>
        </w:rPr>
        <w:t xml:space="preserve">StartupSecurityValidator verifies JWT secret entropy, which is good. It does not verify that the configured Paystack API key has the correct format (sk_live_* or sk_test_*), that the S3 bucket exists and is writable, or that Redis is reachable. A misconfigured deployment will start successfully but fail at runtime when the first payment or file operation occurs. Recommendation: add a StartupHealthProbe that performs lightweight checks on all external dependencies and fails fast with a descriptive error message.</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7. Test Coverage Deep Dive</w:t>
      </w:r>
    </w:p>
    <w:p>
      <w:pPr>
        <w:pStyle w:val="Heading2"/>
        <w:spacing w:after="80" w:before="240"/>
      </w:pPr>
      <w:r>
        <w:rPr>
          <w:rFonts w:ascii="Arial" w:cs="Arial" w:eastAsia="Arial" w:hAnsi="Arial"/>
          <w:b/>
          <w:bCs/>
          <w:color w:val="2E75B6"/>
          <w:sz w:val="26"/>
          <w:szCs w:val="26"/>
        </w:rPr>
        <w:t xml:space="preserve">Current State</w:t>
      </w:r>
    </w:p>
    <w:p>
      <w:pPr>
        <w:spacing w:after="60" w:before="60"/>
      </w:pPr>
      <w:r>
        <w:rPr>
          <w:rFonts w:ascii="Arial" w:cs="Arial" w:eastAsia="Arial" w:hAnsi="Arial"/>
          <w:color w:val="000000"/>
          <w:sz w:val="22"/>
          <w:szCs w:val="22"/>
        </w:rPr>
        <w:t xml:space="preserve">The automated test baseline is the single largest quality risk in the project. The numbers below are based on static analysis of the test directory.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980"/>
        <w:gridCol w:w="1980"/>
      </w:tblGrid>
      <w:tr>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Source Files</w:t>
            </w:r>
          </w:p>
        </w:tc>
        <w:tc>
          <w:tcPr>
            <w:tcW w:type="dxa" w:w="19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Test Files</w:t>
            </w:r>
          </w:p>
        </w:tc>
        <w:tc>
          <w:tcPr>
            <w:tcW w:type="dxa" w:w="19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Coverage Status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Controllers (REST)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44</w:t>
            </w:r>
          </w:p>
        </w:tc>
        <w:tc>
          <w:tcPr>
            <w:tcW w:type="dxa" w:w="19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19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C00000"/>
                <w:sz w:val="20"/>
                <w:szCs w:val="20"/>
              </w:rPr>
              <w:t xml:space="preserve">CRITICAL — 93% untested</w:t>
            </w:r>
          </w:p>
        </w:tc>
      </w:tr>
      <w:tr>
        <w:tc>
          <w:tcPr>
            <w:tcW w:type="dxa" w:w="36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Services (business logic)</w:t>
            </w:r>
          </w:p>
        </w:tc>
        <w:tc>
          <w:tcPr>
            <w:tcW w:type="dxa" w:w="18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46</w:t>
            </w:r>
          </w:p>
        </w:tc>
        <w:tc>
          <w:tcPr>
            <w:tcW w:type="dxa" w:w="198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198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C00000"/>
                <w:sz w:val="20"/>
                <w:szCs w:val="20"/>
              </w:rPr>
              <w:t xml:space="preserve">CRITICAL — 94% untested</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Repositories (data access)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45</w:t>
            </w:r>
          </w:p>
        </w:tc>
        <w:tc>
          <w:tcPr>
            <w:tcW w:type="dxa" w:w="19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w:t>
            </w:r>
          </w:p>
        </w:tc>
        <w:tc>
          <w:tcPr>
            <w:tcW w:type="dxa" w:w="19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C00000"/>
                <w:sz w:val="20"/>
                <w:szCs w:val="20"/>
              </w:rPr>
              <w:t xml:space="preserve">CRITICAL — 0% tested</w:t>
            </w:r>
          </w:p>
        </w:tc>
      </w:tr>
      <w:tr>
        <w:tc>
          <w:tcPr>
            <w:tcW w:type="dxa" w:w="36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Security / Auth Filters</w:t>
            </w:r>
          </w:p>
        </w:tc>
        <w:tc>
          <w:tcPr>
            <w:tcW w:type="dxa" w:w="18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198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198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HIGH — minimal coverage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License / Billing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w:t>
            </w:r>
          </w:p>
        </w:tc>
        <w:tc>
          <w:tcPr>
            <w:tcW w:type="dxa" w:w="19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19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E36C09"/>
                <w:sz w:val="20"/>
                <w:szCs w:val="20"/>
              </w:rPr>
              <w:t xml:space="preserve">HIGH — happy path only</w:t>
            </w:r>
          </w:p>
        </w:tc>
      </w:tr>
      <w:tr>
        <w:tc>
          <w:tcPr>
            <w:tcW w:type="dxa" w:w="36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Jobs / Schedulers</w:t>
            </w:r>
          </w:p>
        </w:tc>
        <w:tc>
          <w:tcPr>
            <w:tcW w:type="dxa" w:w="18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W w:type="dxa" w:w="198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0</w:t>
            </w:r>
          </w:p>
        </w:tc>
        <w:tc>
          <w:tcPr>
            <w:tcW w:type="dxa" w:w="198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HIGH — 0% tested</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DTOs / Mappers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55+</w:t>
            </w:r>
          </w:p>
        </w:tc>
        <w:tc>
          <w:tcPr>
            <w:tcW w:type="dxa" w:w="19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N/A</w:t>
            </w:r>
          </w:p>
        </w:tc>
        <w:tc>
          <w:tcPr>
            <w:tcW w:type="dxa" w:w="19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5623"/>
                <w:sz w:val="20"/>
                <w:szCs w:val="20"/>
              </w:rPr>
              <w:t xml:space="preserve">EXCLUDED (Jacoco gate)</w:t>
            </w:r>
          </w:p>
        </w:tc>
      </w:tr>
    </w:tbl>
    <w:p>
      <w:pPr>
        <w:spacing w:after="0" w:before="100"/>
      </w:pPr>
      <w:r>
        <w:t xml:space="preserve"/>
      </w:r>
    </w:p>
    <w:p>
      <w:pPr>
        <w:pStyle w:val="Heading2"/>
        <w:spacing w:after="80" w:before="240"/>
      </w:pPr>
      <w:r>
        <w:rPr>
          <w:rFonts w:ascii="Arial" w:cs="Arial" w:eastAsia="Arial" w:hAnsi="Arial"/>
          <w:b/>
          <w:bCs/>
          <w:color w:val="2E75B6"/>
          <w:sz w:val="26"/>
          <w:szCs w:val="26"/>
        </w:rPr>
        <w:t xml:space="preserve">Target Coverage Map</w:t>
      </w:r>
    </w:p>
    <w:p>
      <w:pPr>
        <w:spacing w:after="60" w:before="60"/>
      </w:pPr>
      <w:r>
        <w:rPr>
          <w:rFonts w:ascii="Arial" w:cs="Arial" w:eastAsia="Arial" w:hAnsi="Arial"/>
          <w:color w:val="000000"/>
          <w:sz w:val="22"/>
          <w:szCs w:val="22"/>
        </w:rPr>
        <w:t xml:space="preserve">The following is the recommended minimum coverage target per domain to reach a defensible quality baseline for enterprise production deployment:</w:t>
      </w:r>
    </w:p>
    <w:p>
      <w:pPr>
        <w:spacing w:after="0" w:before="60"/>
      </w:pPr>
      <w:r>
        <w:t xml:space="preserve"/>
      </w:r>
    </w:p>
    <w:p>
      <w:pPr>
        <w:pStyle w:val="ListParagraph"/>
        <w:numPr>
          <w:ilvl w:val="0"/>
          <w:numId w:val="2"/>
        </w:numPr>
        <w:spacing w:after="40" w:before="40"/>
      </w:pPr>
      <w:r>
        <w:rPr>
          <w:rFonts w:ascii="Arial" w:cs="Arial" w:eastAsia="Arial" w:hAnsi="Arial"/>
          <w:b/>
          <w:bCs/>
          <w:color w:val="000000"/>
          <w:sz w:val="22"/>
          <w:szCs w:val="22"/>
        </w:rPr>
        <w:t xml:space="preserve">Billing &amp; Licensing (BillingServiceImpl, PaystackWebhookController, LicensePlanLimitsService): 70% line coverage</w:t>
      </w:r>
    </w:p>
    <w:p>
      <w:pPr>
        <w:pStyle w:val="ListParagraph"/>
        <w:numPr>
          <w:ilvl w:val="0"/>
          <w:numId w:val="2"/>
        </w:numPr>
        <w:spacing w:after="40" w:before="40"/>
      </w:pPr>
      <w:r>
        <w:rPr>
          <w:rFonts w:ascii="Arial" w:cs="Arial" w:eastAsia="Arial" w:hAnsi="Arial"/>
          <w:b/>
          <w:bCs/>
          <w:color w:val="000000"/>
          <w:sz w:val="22"/>
          <w:szCs w:val="22"/>
        </w:rPr>
        <w:t xml:space="preserve">Asset state machine (AssetService create/update/transfer/dispose transitions): 60% line coverage</w:t>
      </w:r>
    </w:p>
    <w:p>
      <w:pPr>
        <w:pStyle w:val="ListParagraph"/>
        <w:numPr>
          <w:ilvl w:val="0"/>
          <w:numId w:val="2"/>
        </w:numPr>
        <w:spacing w:after="40" w:before="40"/>
      </w:pPr>
      <w:r>
        <w:rPr>
          <w:rFonts w:ascii="Arial" w:cs="Arial" w:eastAsia="Arial" w:hAnsi="Arial"/>
          <w:b/>
          <w:bCs/>
          <w:color w:val="000000"/>
          <w:sz w:val="22"/>
          <w:szCs w:val="22"/>
        </w:rPr>
        <w:t xml:space="preserve">Security &amp; Auth (JwtAuthFilter, TenantFilter, MfaService, SsoAuthController): 60% line coverage</w:t>
      </w:r>
    </w:p>
    <w:p>
      <w:pPr>
        <w:pStyle w:val="ListParagraph"/>
        <w:numPr>
          <w:ilvl w:val="0"/>
          <w:numId w:val="2"/>
        </w:numPr>
        <w:spacing w:after="40" w:before="40"/>
      </w:pPr>
      <w:r>
        <w:rPr>
          <w:rFonts w:ascii="Arial" w:cs="Arial" w:eastAsia="Arial" w:hAnsi="Arial"/>
          <w:b/>
          <w:bCs/>
          <w:color w:val="000000"/>
          <w:sz w:val="22"/>
          <w:szCs w:val="22"/>
        </w:rPr>
        <w:t xml:space="preserve">Compliance (ComplianceServiceImpl, BOG control evaluation): 50% line coverage</w:t>
      </w:r>
    </w:p>
    <w:p>
      <w:pPr>
        <w:pStyle w:val="ListParagraph"/>
        <w:numPr>
          <w:ilvl w:val="0"/>
          <w:numId w:val="2"/>
        </w:numPr>
        <w:spacing w:after="40" w:before="40"/>
      </w:pPr>
      <w:r>
        <w:rPr>
          <w:rFonts w:ascii="Arial" w:cs="Arial" w:eastAsia="Arial" w:hAnsi="Arial"/>
          <w:b/>
          <w:bCs/>
          <w:color w:val="000000"/>
          <w:sz w:val="22"/>
          <w:szCs w:val="22"/>
        </w:rPr>
        <w:t xml:space="preserve">Maintenance &amp; Jobs (MaintenanceService, EndOfLifeAlertJob, DepreciationJob): 50% line coverage</w:t>
      </w:r>
    </w:p>
    <w:p>
      <w:pPr>
        <w:pStyle w:val="ListParagraph"/>
        <w:numPr>
          <w:ilvl w:val="0"/>
          <w:numId w:val="2"/>
        </w:numPr>
        <w:spacing w:after="40" w:before="40"/>
      </w:pPr>
      <w:r>
        <w:rPr>
          <w:rFonts w:ascii="Arial" w:cs="Arial" w:eastAsia="Arial" w:hAnsi="Arial"/>
          <w:b w:val="false"/>
          <w:bCs w:val="false"/>
          <w:color w:val="000000"/>
          <w:sz w:val="22"/>
          <w:szCs w:val="22"/>
        </w:rPr>
        <w:t xml:space="preserve">All remaining services: 30% line coverage (CI gate minimum)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2FA"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Testing Philosophy Recommendation</w:t>
            </w:r>
          </w:p>
          <w:p>
            <w:pPr>
              <w:spacing w:after="0" w:before="0"/>
            </w:pPr>
            <w:r>
              <w:rPr>
                <w:rFonts w:ascii="Arial" w:cs="Arial" w:eastAsia="Arial" w:hAnsi="Arial"/>
                <w:color w:val="000000"/>
                <w:sz w:val="20"/>
                <w:szCs w:val="20"/>
              </w:rPr>
              <w:t xml:space="preserve">For a B2B SaaS product with billing, compliance, and data-integrity requirements, the industry benchmark is 40-60% meaningful line coverage (excluding boilerplate). The current ~3% is not a minor gap — it is an existential risk to the product's commercial credibility. Begin by writing tests for things that, if broken, would cause a customer to lose money or data.</w:t>
            </w:r>
          </w:p>
        </w:tc>
      </w:tr>
    </w:tbl>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8. Security Assessment</w:t>
      </w:r>
    </w:p>
    <w:p>
      <w:pPr>
        <w:spacing w:after="60" w:before="60"/>
      </w:pPr>
      <w:r>
        <w:rPr>
          <w:rFonts w:ascii="Arial" w:cs="Arial" w:eastAsia="Arial" w:hAnsi="Arial"/>
          <w:color w:val="000000"/>
          <w:sz w:val="22"/>
          <w:szCs w:val="22"/>
        </w:rPr>
        <w:t xml:space="preserve">The platform has a creditable security foundation. The following table summarises the assessment across OWASP Top 10 categories relevant to this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OWASP Category</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A01 Broken Access Control</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5623"/>
                <w:sz w:val="20"/>
                <w:szCs w:val="20"/>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RBAC with 40+ permissions; tenant isolation via JWT + header; TenantFilter enforced</w:t>
            </w:r>
          </w:p>
        </w:tc>
      </w:tr>
      <w:tr>
        <w:tc>
          <w:tcPr>
            <w:tcW w:type="dxa" w:w="32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A02 Cryptographic Failures</w:t>
            </w:r>
          </w:p>
        </w:tc>
        <w:tc>
          <w:tcPr>
            <w:tcW w:type="dxa" w:w="16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WARN</w:t>
            </w:r>
          </w:p>
        </w:tc>
        <w:tc>
          <w:tcPr>
            <w:tcW w:type="dxa" w:w="45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 secret validated for entropy; HMAC-SHA256 for webhooks; but no key rotation support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A03 Injection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5623"/>
                <w:sz w:val="20"/>
                <w:szCs w:val="20"/>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JPA parameterized queries throughout; no raw SQL concatenation observed</w:t>
            </w:r>
          </w:p>
        </w:tc>
      </w:tr>
      <w:tr>
        <w:tc>
          <w:tcPr>
            <w:tcW w:type="dxa" w:w="32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A04 Insecure Design</w:t>
            </w:r>
          </w:p>
        </w:tc>
        <w:tc>
          <w:tcPr>
            <w:tcW w:type="dxa" w:w="16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WARN</w:t>
            </w:r>
          </w:p>
        </w:tc>
        <w:tc>
          <w:tcPr>
            <w:tcW w:type="dxa" w:w="45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DPA DSAR workflow; no data residency controls; no replay protection on webhooks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A05 Security Misconfiguration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E36C09"/>
                <w:sz w:val="20"/>
                <w:szCs w:val="20"/>
              </w:rPr>
              <w:t xml:space="preserve">WARN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Swagger UI must be disabled in prod (documented); SMTP/secrets in .env plaintext</w:t>
            </w:r>
          </w:p>
        </w:tc>
      </w:tr>
      <w:tr>
        <w:tc>
          <w:tcPr>
            <w:tcW w:type="dxa" w:w="32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A06 Vulnerable Components</w:t>
            </w:r>
          </w:p>
        </w:tc>
        <w:tc>
          <w:tcPr>
            <w:tcW w:type="dxa" w:w="16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375623"/>
                <w:sz w:val="20"/>
                <w:szCs w:val="20"/>
              </w:rPr>
              <w:t xml:space="preserve">PASS</w:t>
            </w:r>
          </w:p>
        </w:tc>
        <w:tc>
          <w:tcPr>
            <w:tcW w:type="dxa" w:w="45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Spring Boot 3.3.0 (current); dependencies appear up-to-date; Dependabot not confirmed in CI</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A07 Auth &amp; Session Failures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5623"/>
                <w:sz w:val="20"/>
                <w:szCs w:val="20"/>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JWT blacklist on logout; MFA support; SAML2/OAuth2; 24h token expiry; TOTP</w:t>
            </w:r>
          </w:p>
        </w:tc>
      </w:tr>
      <w:tr>
        <w:tc>
          <w:tcPr>
            <w:tcW w:type="dxa" w:w="32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A08 Software &amp; Data Integrity</w:t>
            </w:r>
          </w:p>
        </w:tc>
        <w:tc>
          <w:tcPr>
            <w:tcW w:type="dxa" w:w="16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WARN</w:t>
            </w:r>
          </w:p>
        </w:tc>
        <w:tc>
          <w:tcPr>
            <w:tcW w:type="dxa" w:w="45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signed release artefacts for standalone edition; no SBOM generated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A09 Logging &amp; Monitoring Failures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5623"/>
                <w:sz w:val="20"/>
                <w:szCs w:val="20"/>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Sentry integrated; correlation IDs; audit event stream; health endpoints</w:t>
            </w:r>
          </w:p>
        </w:tc>
      </w:tr>
      <w:tr>
        <w:tc>
          <w:tcPr>
            <w:tcW w:type="dxa" w:w="32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A10 Server-Side Request Forgery</w:t>
            </w:r>
          </w:p>
        </w:tc>
        <w:tc>
          <w:tcPr>
            <w:tcW w:type="dxa" w:w="160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bCs/>
                <w:color w:val="E36C09"/>
                <w:sz w:val="20"/>
                <w:szCs w:val="20"/>
              </w:rPr>
              <w:t xml:space="preserve">WARN</w:t>
            </w:r>
          </w:p>
        </w:tc>
        <w:tc>
          <w:tcPr>
            <w:tcW w:type="dxa" w:w="4560"/>
            <w:tcBorders>
              <w:top w:val="single" w:color="DDDDDD" w:sz="1"/>
              <w:left w:val="single" w:color="DDDDDD" w:sz="1"/>
              <w:bottom w:val="single" w:color="DDDDDD" w:sz="1"/>
              <w:right w:val="single" w:color="DDDDDD" w:sz="1"/>
            </w:tcBorders>
            <w:shd w:fill="F7F9FB"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Cloud asset discovery and webhook delivery could be SSRF vectors; not mitigated</w:t>
            </w:r>
          </w:p>
        </w:tc>
      </w:tr>
    </w:tbl>
    <w:p>
      <w:pPr>
        <w:spacing w:after="0" w:before="80"/>
      </w:pPr>
      <w:r>
        <w:t xml:space="preserve"/>
      </w:r>
    </w:p>
    <w:p>
      <w:pPr>
        <w:spacing w:after="60" w:before="60"/>
      </w:pPr>
      <w:r>
        <w:rPr>
          <w:rFonts w:ascii="Arial" w:cs="Arial" w:eastAsia="Arial" w:hAnsi="Arial"/>
          <w:color w:val="000000"/>
          <w:sz w:val="22"/>
          <w:szCs w:val="22"/>
        </w:rPr>
        <w:t xml:space="preserve">Priority security hardening items (beyond findings already listed): (1) Add a Dependabot or Renovate workflow to the CI pipeline to surface vulnerable dependency versions automatically. (2) Implement SSRF mitigations in WebhookDeliveryService — validate that the target URL is not a private IP range before dispatching. (3) Generate an SBOM (Software Bill of Materials) as a CI artefact using the CycloneDX Maven plugin — required for enterprise procurement in regulated sectors.</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9. Recommended Remediation Roadmap</w:t>
      </w:r>
    </w:p>
    <w:p>
      <w:pPr>
        <w:pStyle w:val="Heading2"/>
        <w:spacing w:after="80" w:before="240"/>
      </w:pPr>
      <w:r>
        <w:rPr>
          <w:rFonts w:ascii="Arial" w:cs="Arial" w:eastAsia="Arial" w:hAnsi="Arial"/>
          <w:b/>
          <w:bCs/>
          <w:color w:val="2E75B6"/>
          <w:sz w:val="26"/>
          <w:szCs w:val="26"/>
        </w:rPr>
        <w:t xml:space="preserve">Phase 1 — Launch Blockers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120"/>
              <w:left w:type="dxa" w:w="180"/>
              <w:bottom w:type="dxa" w:w="120"/>
              <w:right w:type="dxa" w:w="180"/>
            </w:tcMar>
          </w:tcPr>
          <w:p>
            <w:pPr>
              <w:spacing w:after="60" w:before="0"/>
            </w:pPr>
            <w:r>
              <w:rPr>
                <w:rFonts w:ascii="Arial" w:cs="Arial" w:eastAsia="Arial" w:hAnsi="Arial"/>
                <w:b/>
                <w:bCs/>
                <w:color w:val="C00000"/>
                <w:sz w:val="20"/>
                <w:szCs w:val="20"/>
              </w:rPr>
              <w:t xml:space="preserve">Goal</w:t>
            </w:r>
          </w:p>
          <w:p>
            <w:pPr>
              <w:spacing w:after="0" w:before="0"/>
            </w:pPr>
            <w:r>
              <w:rPr>
                <w:rFonts w:ascii="Arial" w:cs="Arial" w:eastAsia="Arial" w:hAnsi="Arial"/>
                <w:color w:val="000000"/>
                <w:sz w:val="20"/>
                <w:szCs w:val="20"/>
              </w:rPr>
              <w:t xml:space="preserve">Resolve all CRITICAL findings. No new customer onboarding until this phase is complete.</w:t>
            </w:r>
          </w:p>
        </w:tc>
      </w:tr>
    </w:tbl>
    <w:p>
      <w:pPr>
        <w:spacing w:after="0" w:before="80"/>
      </w:pPr>
      <w:r>
        <w:t xml:space="preserve"/>
      </w:r>
    </w:p>
    <w:p>
      <w:pPr>
        <w:pStyle w:val="ListParagraph"/>
        <w:numPr>
          <w:ilvl w:val="0"/>
          <w:numId w:val="3"/>
        </w:numPr>
        <w:spacing w:after="40" w:before="40"/>
      </w:pPr>
      <w:r>
        <w:rPr>
          <w:rFonts w:ascii="Arial" w:cs="Arial" w:eastAsia="Arial" w:hAnsi="Arial"/>
          <w:color w:val="000000"/>
          <w:sz w:val="22"/>
          <w:szCs w:val="22"/>
        </w:rPr>
        <w:t xml:space="preserve">Generate and commit real Flyway V7__baseline.sql schema dump (CR-01)</w:t>
      </w:r>
    </w:p>
    <w:p>
      <w:pPr>
        <w:pStyle w:val="ListParagraph"/>
        <w:numPr>
          <w:ilvl w:val="0"/>
          <w:numId w:val="3"/>
        </w:numPr>
        <w:spacing w:after="40" w:before="40"/>
      </w:pPr>
      <w:r>
        <w:rPr>
          <w:rFonts w:ascii="Arial" w:cs="Arial" w:eastAsia="Arial" w:hAnsi="Arial"/>
          <w:color w:val="000000"/>
          <w:sz w:val="22"/>
          <w:szCs w:val="22"/>
        </w:rPr>
        <w:t xml:space="preserve">Standardise all currency references to GHS — backend, portal, Paystack plan codes (CR-03)</w:t>
      </w:r>
    </w:p>
    <w:p>
      <w:pPr>
        <w:pStyle w:val="ListParagraph"/>
        <w:numPr>
          <w:ilvl w:val="0"/>
          <w:numId w:val="3"/>
        </w:numPr>
        <w:spacing w:after="40" w:before="40"/>
      </w:pPr>
      <w:r>
        <w:rPr>
          <w:rFonts w:ascii="Arial" w:cs="Arial" w:eastAsia="Arial" w:hAnsi="Arial"/>
          <w:color w:val="000000"/>
          <w:sz w:val="22"/>
          <w:szCs w:val="22"/>
        </w:rPr>
        <w:t xml:space="preserve">Add channels param to Paystack checkout; add MoMo UI elements to portal (CR-05)</w:t>
      </w:r>
    </w:p>
    <w:p>
      <w:pPr>
        <w:pStyle w:val="ListParagraph"/>
        <w:numPr>
          <w:ilvl w:val="0"/>
          <w:numId w:val="3"/>
        </w:numPr>
        <w:spacing w:after="40" w:before="40"/>
      </w:pPr>
      <w:r>
        <w:rPr>
          <w:rFonts w:ascii="Arial" w:cs="Arial" w:eastAsia="Arial" w:hAnsi="Arial"/>
          <w:color w:val="000000"/>
          <w:sz w:val="22"/>
          <w:szCs w:val="22"/>
        </w:rPr>
        <w:t xml:space="preserve">Write 20 integration tests for billing, webhook handlers, and plan limits (CR-02 / HI-01 / HI-02)</w:t>
      </w:r>
    </w:p>
    <w:p>
      <w:pPr>
        <w:pStyle w:val="ListParagraph"/>
        <w:numPr>
          <w:ilvl w:val="0"/>
          <w:numId w:val="3"/>
        </w:numPr>
        <w:spacing w:after="40" w:before="40"/>
      </w:pPr>
      <w:r>
        <w:rPr>
          <w:rFonts w:ascii="Arial" w:cs="Arial" w:eastAsia="Arial" w:hAnsi="Arial"/>
          <w:color w:val="000000"/>
          <w:sz w:val="22"/>
          <w:szCs w:val="22"/>
        </w:rPr>
        <w:t xml:space="preserve">Provide standalone frontend repo as submodule or pre-built images (HI-03)</w:t>
      </w:r>
    </w:p>
    <w:p>
      <w:pPr>
        <w:pStyle w:val="ListParagraph"/>
        <w:numPr>
          <w:ilvl w:val="0"/>
          <w:numId w:val="3"/>
        </w:numPr>
        <w:spacing w:after="40" w:before="40"/>
      </w:pPr>
      <w:r>
        <w:rPr>
          <w:rFonts w:ascii="Arial" w:cs="Arial" w:eastAsia="Arial" w:hAnsi="Arial"/>
          <w:color w:val="000000"/>
          <w:sz w:val="22"/>
          <w:szCs w:val="22"/>
        </w:rPr>
        <w:t xml:space="preserve">Complete EndOfLifeAlertJob notification dispatch (HI-06)</w:t>
      </w:r>
    </w:p>
    <w:p>
      <w:pPr>
        <w:spacing w:after="0" w:before="100"/>
      </w:pPr>
      <w:r>
        <w:t xml:space="preserve"/>
      </w:r>
    </w:p>
    <w:p>
      <w:pPr>
        <w:pStyle w:val="Heading2"/>
        <w:spacing w:after="80" w:before="240"/>
      </w:pPr>
      <w:r>
        <w:rPr>
          <w:rFonts w:ascii="Arial" w:cs="Arial" w:eastAsia="Arial" w:hAnsi="Arial"/>
          <w:b/>
          <w:bCs/>
          <w:color w:val="2E75B6"/>
          <w:sz w:val="26"/>
          <w:szCs w:val="26"/>
        </w:rPr>
        <w:t xml:space="preserve">Phase 2 — Security &amp; Compliance Hardening (Weeks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C09" w:sz="1"/>
              <w:left w:val="single" w:color="E36C09" w:sz="1"/>
              <w:bottom w:val="single" w:color="E36C09" w:sz="1"/>
              <w:right w:val="single" w:color="E36C09" w:sz="1"/>
            </w:tcBorders>
            <w:shd w:fill="FFF2CC" w:val="clear"/>
            <w:tcMar>
              <w:top w:type="dxa" w:w="120"/>
              <w:left w:type="dxa" w:w="180"/>
              <w:bottom w:type="dxa" w:w="120"/>
              <w:right w:type="dxa" w:w="180"/>
            </w:tcMar>
          </w:tcPr>
          <w:p>
            <w:pPr>
              <w:spacing w:after="60" w:before="0"/>
            </w:pPr>
            <w:r>
              <w:rPr>
                <w:rFonts w:ascii="Arial" w:cs="Arial" w:eastAsia="Arial" w:hAnsi="Arial"/>
                <w:b/>
                <w:bCs/>
                <w:color w:val="E36C09"/>
                <w:sz w:val="20"/>
                <w:szCs w:val="20"/>
              </w:rPr>
              <w:t xml:space="preserve">Goal</w:t>
            </w:r>
          </w:p>
          <w:p>
            <w:pPr>
              <w:spacing w:after="0" w:before="0"/>
            </w:pPr>
            <w:r>
              <w:rPr>
                <w:rFonts w:ascii="Arial" w:cs="Arial" w:eastAsia="Arial" w:hAnsi="Arial"/>
                <w:color w:val="000000"/>
                <w:sz w:val="20"/>
                <w:szCs w:val="20"/>
              </w:rPr>
              <w:t xml:space="preserve">Resolve all HIGH findings and achieve 40% meaningful test coverage.</w:t>
            </w:r>
          </w:p>
        </w:tc>
      </w:tr>
    </w:tbl>
    <w:p>
      <w:pPr>
        <w:spacing w:after="0" w:before="80"/>
      </w:pPr>
      <w:r>
        <w:t xml:space="preserve"/>
      </w:r>
    </w:p>
    <w:p>
      <w:pPr>
        <w:pStyle w:val="ListParagraph"/>
        <w:numPr>
          <w:ilvl w:val="0"/>
          <w:numId w:val="3"/>
        </w:numPr>
        <w:spacing w:after="40" w:before="40"/>
      </w:pPr>
      <w:r>
        <w:rPr>
          <w:rFonts w:ascii="Arial" w:cs="Arial" w:eastAsia="Arial" w:hAnsi="Arial"/>
          <w:color w:val="000000"/>
          <w:sz w:val="22"/>
          <w:szCs w:val="22"/>
        </w:rPr>
        <w:t xml:space="preserve">Design and implement DPA 2012 compliance module: DSAR, consent, data export (CR-04)</w:t>
      </w:r>
    </w:p>
    <w:p>
      <w:pPr>
        <w:pStyle w:val="ListParagraph"/>
        <w:numPr>
          <w:ilvl w:val="0"/>
          <w:numId w:val="3"/>
        </w:numPr>
        <w:spacing w:after="40" w:before="40"/>
      </w:pPr>
      <w:r>
        <w:rPr>
          <w:rFonts w:ascii="Arial" w:cs="Arial" w:eastAsia="Arial" w:hAnsi="Arial"/>
          <w:color w:val="000000"/>
          <w:sz w:val="22"/>
          <w:szCs w:val="22"/>
        </w:rPr>
        <w:t xml:space="preserve">Add webhook replay protection: timestamp validation + Redis event ID deduplication (HI-04)</w:t>
      </w:r>
    </w:p>
    <w:p>
      <w:pPr>
        <w:pStyle w:val="ListParagraph"/>
        <w:numPr>
          <w:ilvl w:val="0"/>
          <w:numId w:val="3"/>
        </w:numPr>
        <w:spacing w:after="40" w:before="40"/>
      </w:pPr>
      <w:r>
        <w:rPr>
          <w:rFonts w:ascii="Arial" w:cs="Arial" w:eastAsia="Arial" w:hAnsi="Arial"/>
          <w:color w:val="000000"/>
          <w:sz w:val="22"/>
          <w:szCs w:val="22"/>
        </w:rPr>
        <w:t xml:space="preserve">Add data_residency_region to Organisation model; enforce in StorageService (HI-05)</w:t>
      </w:r>
    </w:p>
    <w:p>
      <w:pPr>
        <w:pStyle w:val="ListParagraph"/>
        <w:numPr>
          <w:ilvl w:val="0"/>
          <w:numId w:val="3"/>
        </w:numPr>
        <w:spacing w:after="40" w:before="40"/>
      </w:pPr>
      <w:r>
        <w:rPr>
          <w:rFonts w:ascii="Arial" w:cs="Arial" w:eastAsia="Arial" w:hAnsi="Arial"/>
          <w:color w:val="000000"/>
          <w:sz w:val="22"/>
          <w:szCs w:val="22"/>
        </w:rPr>
        <w:t xml:space="preserve">Add SSO, storage, and billing configuration changes to audit trail (ME-07)</w:t>
      </w:r>
    </w:p>
    <w:p>
      <w:pPr>
        <w:pStyle w:val="ListParagraph"/>
        <w:numPr>
          <w:ilvl w:val="0"/>
          <w:numId w:val="3"/>
        </w:numPr>
        <w:spacing w:after="40" w:before="40"/>
      </w:pPr>
      <w:r>
        <w:rPr>
          <w:rFonts w:ascii="Arial" w:cs="Arial" w:eastAsia="Arial" w:hAnsi="Arial"/>
          <w:color w:val="000000"/>
          <w:sz w:val="22"/>
          <w:szCs w:val="22"/>
        </w:rPr>
        <w:t xml:space="preserve">Bring test coverage to 40% line for service layer, 70% for billing/licensing paths (CR-02)</w:t>
      </w:r>
    </w:p>
    <w:p>
      <w:pPr>
        <w:pStyle w:val="ListParagraph"/>
        <w:numPr>
          <w:ilvl w:val="0"/>
          <w:numId w:val="3"/>
        </w:numPr>
        <w:spacing w:after="40" w:before="40"/>
      </w:pPr>
      <w:r>
        <w:rPr>
          <w:rFonts w:ascii="Arial" w:cs="Arial" w:eastAsia="Arial" w:hAnsi="Arial"/>
          <w:color w:val="000000"/>
          <w:sz w:val="22"/>
          <w:szCs w:val="22"/>
        </w:rPr>
        <w:t xml:space="preserve">Add Dependabot workflow; generate SBOM as CI artefact</w:t>
      </w:r>
    </w:p>
    <w:p>
      <w:pPr>
        <w:pStyle w:val="ListParagraph"/>
        <w:numPr>
          <w:ilvl w:val="0"/>
          <w:numId w:val="3"/>
        </w:numPr>
        <w:spacing w:after="40" w:before="40"/>
      </w:pPr>
      <w:r>
        <w:rPr>
          <w:rFonts w:ascii="Arial" w:cs="Arial" w:eastAsia="Arial" w:hAnsi="Arial"/>
          <w:color w:val="000000"/>
          <w:sz w:val="22"/>
          <w:szCs w:val="22"/>
        </w:rPr>
        <w:t xml:space="preserve">Fix Lombok @Data on all JPA entities (ME-05)</w:t>
      </w:r>
    </w:p>
    <w:p>
      <w:pPr>
        <w:spacing w:after="0" w:before="100"/>
      </w:pPr>
      <w:r>
        <w:t xml:space="preserve"/>
      </w:r>
    </w:p>
    <w:p>
      <w:pPr>
        <w:pStyle w:val="Heading2"/>
        <w:spacing w:after="80" w:before="240"/>
      </w:pPr>
      <w:r>
        <w:rPr>
          <w:rFonts w:ascii="Arial" w:cs="Arial" w:eastAsia="Arial" w:hAnsi="Arial"/>
          <w:b/>
          <w:bCs/>
          <w:color w:val="2E75B6"/>
          <w:sz w:val="26"/>
          <w:szCs w:val="26"/>
        </w:rPr>
        <w:t xml:space="preserve">Phase 3 — Operational Hardening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2FA"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Goal</w:t>
            </w:r>
          </w:p>
          <w:p>
            <w:pPr>
              <w:spacing w:after="0" w:before="0"/>
            </w:pPr>
            <w:r>
              <w:rPr>
                <w:rFonts w:ascii="Arial" w:cs="Arial" w:eastAsia="Arial" w:hAnsi="Arial"/>
                <w:color w:val="000000"/>
                <w:sz w:val="20"/>
                <w:szCs w:val="20"/>
              </w:rPr>
              <w:t xml:space="preserve">Address all MEDIUM findings; prepare for SOC 2 or BOG IT audit.</w:t>
            </w:r>
          </w:p>
        </w:tc>
      </w:tr>
    </w:tbl>
    <w:p>
      <w:pPr>
        <w:spacing w:after="0" w:before="80"/>
      </w:pPr>
      <w:r>
        <w:t xml:space="preserve"/>
      </w:r>
    </w:p>
    <w:p>
      <w:pPr>
        <w:pStyle w:val="ListParagraph"/>
        <w:numPr>
          <w:ilvl w:val="0"/>
          <w:numId w:val="3"/>
        </w:numPr>
        <w:spacing w:after="40" w:before="40"/>
      </w:pPr>
      <w:r>
        <w:rPr>
          <w:rFonts w:ascii="Arial" w:cs="Arial" w:eastAsia="Arial" w:hAnsi="Arial"/>
          <w:color w:val="000000"/>
          <w:sz w:val="22"/>
          <w:szCs w:val="22"/>
        </w:rPr>
        <w:t xml:space="preserve">Implement idempotency key TTL cleanup job (ME-01)</w:t>
      </w:r>
    </w:p>
    <w:p>
      <w:pPr>
        <w:pStyle w:val="ListParagraph"/>
        <w:numPr>
          <w:ilvl w:val="0"/>
          <w:numId w:val="3"/>
        </w:numPr>
        <w:spacing w:after="40" w:before="40"/>
      </w:pPr>
      <w:r>
        <w:rPr>
          <w:rFonts w:ascii="Arial" w:cs="Arial" w:eastAsia="Arial" w:hAnsi="Arial"/>
          <w:color w:val="000000"/>
          <w:sz w:val="22"/>
          <w:szCs w:val="22"/>
        </w:rPr>
        <w:t xml:space="preserve">Add retry and dead-letter handling to async job executor (ME-02)</w:t>
      </w:r>
    </w:p>
    <w:p>
      <w:pPr>
        <w:pStyle w:val="ListParagraph"/>
        <w:numPr>
          <w:ilvl w:val="0"/>
          <w:numId w:val="3"/>
        </w:numPr>
        <w:spacing w:after="40" w:before="40"/>
      </w:pPr>
      <w:r>
        <w:rPr>
          <w:rFonts w:ascii="Arial" w:cs="Arial" w:eastAsia="Arial" w:hAnsi="Arial"/>
          <w:color w:val="000000"/>
          <w:sz w:val="22"/>
          <w:szCs w:val="22"/>
        </w:rPr>
        <w:t xml:space="preserve">Confirm and document rate limit coverage on all write endpoints (ME-03)</w:t>
      </w:r>
    </w:p>
    <w:p>
      <w:pPr>
        <w:pStyle w:val="ListParagraph"/>
        <w:numPr>
          <w:ilvl w:val="0"/>
          <w:numId w:val="3"/>
        </w:numPr>
        <w:spacing w:after="40" w:before="40"/>
      </w:pPr>
      <w:r>
        <w:rPr>
          <w:rFonts w:ascii="Arial" w:cs="Arial" w:eastAsia="Arial" w:hAnsi="Arial"/>
          <w:color w:val="000000"/>
          <w:sz w:val="22"/>
          <w:szCs w:val="22"/>
        </w:rPr>
        <w:t xml:space="preserve">Enable correlation IDs by default; propagate through all outbound calls (ME-04)</w:t>
      </w:r>
    </w:p>
    <w:p>
      <w:pPr>
        <w:pStyle w:val="ListParagraph"/>
        <w:numPr>
          <w:ilvl w:val="0"/>
          <w:numId w:val="3"/>
        </w:numPr>
        <w:spacing w:after="40" w:before="40"/>
      </w:pPr>
      <w:r>
        <w:rPr>
          <w:rFonts w:ascii="Arial" w:cs="Arial" w:eastAsia="Arial" w:hAnsi="Arial"/>
          <w:color w:val="000000"/>
          <w:sz w:val="22"/>
          <w:szCs w:val="22"/>
        </w:rPr>
        <w:t xml:space="preserve">Document API versioning policy and add Sunset headers to v1 endpoints (ME-06)</w:t>
      </w:r>
    </w:p>
    <w:p>
      <w:pPr>
        <w:pStyle w:val="ListParagraph"/>
        <w:numPr>
          <w:ilvl w:val="0"/>
          <w:numId w:val="3"/>
        </w:numPr>
        <w:spacing w:after="40" w:before="40"/>
      </w:pPr>
      <w:r>
        <w:rPr>
          <w:rFonts w:ascii="Arial" w:cs="Arial" w:eastAsia="Arial" w:hAnsi="Arial"/>
          <w:color w:val="000000"/>
          <w:sz w:val="22"/>
          <w:szCs w:val="22"/>
        </w:rPr>
        <w:t xml:space="preserve">Benchmark cold start time; optimise if &gt;45 seconds (LO-01)</w:t>
      </w:r>
    </w:p>
    <w:p>
      <w:pPr>
        <w:pStyle w:val="ListParagraph"/>
        <w:numPr>
          <w:ilvl w:val="0"/>
          <w:numId w:val="3"/>
        </w:numPr>
        <w:spacing w:after="40" w:before="40"/>
      </w:pPr>
      <w:r>
        <w:rPr>
          <w:rFonts w:ascii="Arial" w:cs="Arial" w:eastAsia="Arial" w:hAnsi="Arial"/>
          <w:color w:val="000000"/>
          <w:sz w:val="22"/>
          <w:szCs w:val="22"/>
        </w:rPr>
        <w:t xml:space="preserve">Add startup health probe for Paystack key format, S3 access, Redis reachability (LO-04)</w:t>
      </w:r>
    </w:p>
    <w:p>
      <w:pPr>
        <w:pStyle w:val="ListParagraph"/>
        <w:numPr>
          <w:ilvl w:val="0"/>
          <w:numId w:val="3"/>
        </w:numPr>
        <w:spacing w:after="40" w:before="40"/>
      </w:pPr>
      <w:r>
        <w:rPr>
          <w:rFonts w:ascii="Arial" w:cs="Arial" w:eastAsia="Arial" w:hAnsi="Arial"/>
          <w:color w:val="000000"/>
          <w:sz w:val="22"/>
          <w:szCs w:val="22"/>
        </w:rPr>
        <w:t xml:space="preserve">Migrate secrets to Railway encrypted env vars or Vault; document in DEPLOYMENT.md (LO-03)</w:t>
      </w:r>
    </w:p>
    <w:p>
      <w:r>
        <w:br w:type="page"/>
      </w:r>
    </w:p>
    <w:p>
      <w:pPr>
        <w:pStyle w:val="Heading1"/>
        <w:pBdr>
          <w:bottom w:val="single" w:color="2E75B6" w:sz="8" w:space="4"/>
        </w:pBdr>
        <w:spacing w:after="120" w:before="360"/>
      </w:pPr>
      <w:r>
        <w:rPr>
          <w:rFonts w:ascii="Arial" w:cs="Arial" w:eastAsia="Arial" w:hAnsi="Arial"/>
          <w:b/>
          <w:bCs/>
          <w:color w:val="1E3A5F"/>
          <w:sz w:val="32"/>
          <w:szCs w:val="32"/>
        </w:rPr>
        <w:t xml:space="preserve">10. What the Team Got Right</w:t>
      </w:r>
    </w:p>
    <w:p>
      <w:pPr>
        <w:spacing w:after="60" w:before="60"/>
      </w:pPr>
      <w:r>
        <w:rPr>
          <w:rFonts w:ascii="Arial" w:cs="Arial" w:eastAsia="Arial" w:hAnsi="Arial"/>
          <w:color w:val="000000"/>
          <w:sz w:val="22"/>
          <w:szCs w:val="22"/>
        </w:rPr>
        <w:t xml:space="preserve">This review is candid about risks, but it is equally important to recognise the strong engineering decisions already made. The following are genuine architectural strengths that QA assessment should affirm:</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2"/>
          <w:szCs w:val="22"/>
        </w:rPr>
        <w:t xml:space="preserve">Multi-tenancy isolation is well-designed. The TenantFilter + JWT org-id claim approach is industry-standard and correctly implemented. Tenant data leakage via query is prevented at the repository layer.</w:t>
      </w:r>
    </w:p>
    <w:p>
      <w:pPr>
        <w:pStyle w:val="ListParagraph"/>
        <w:numPr>
          <w:ilvl w:val="0"/>
          <w:numId w:val="2"/>
        </w:numPr>
        <w:spacing w:after="40" w:before="40"/>
      </w:pPr>
      <w:r>
        <w:rPr>
          <w:rFonts w:ascii="Arial" w:cs="Arial" w:eastAsia="Arial" w:hAnsi="Arial"/>
          <w:b w:val="false"/>
          <w:bCs w:val="false"/>
          <w:color w:val="000000"/>
          <w:sz w:val="22"/>
          <w:szCs w:val="22"/>
        </w:rPr>
        <w:t xml:space="preserve">JWT security hygiene is solid. Token blacklisting on logout, startup secret entropy validation, 24-hour expiry, and HMAC signing are all present and correct.</w:t>
      </w:r>
    </w:p>
    <w:p>
      <w:pPr>
        <w:pStyle w:val="ListParagraph"/>
        <w:numPr>
          <w:ilvl w:val="0"/>
          <w:numId w:val="2"/>
        </w:numPr>
        <w:spacing w:after="40" w:before="40"/>
      </w:pPr>
      <w:r>
        <w:rPr>
          <w:rFonts w:ascii="Arial" w:cs="Arial" w:eastAsia="Arial" w:hAnsi="Arial"/>
          <w:b w:val="false"/>
          <w:bCs w:val="false"/>
          <w:color w:val="000000"/>
          <w:sz w:val="22"/>
          <w:szCs w:val="22"/>
        </w:rPr>
        <w:t xml:space="preserve">The RBAC model is comprehensive. Forty-plus permission types with role composition gives fine-grained access control suitable for enterprise requirements.</w:t>
      </w:r>
    </w:p>
    <w:p>
      <w:pPr>
        <w:pStyle w:val="ListParagraph"/>
        <w:numPr>
          <w:ilvl w:val="0"/>
          <w:numId w:val="2"/>
        </w:numPr>
        <w:spacing w:after="40" w:before="40"/>
      </w:pPr>
      <w:r>
        <w:rPr>
          <w:rFonts w:ascii="Arial" w:cs="Arial" w:eastAsia="Arial" w:hAnsi="Arial"/>
          <w:b w:val="false"/>
          <w:bCs w:val="false"/>
          <w:color w:val="000000"/>
          <w:sz w:val="22"/>
          <w:szCs w:val="22"/>
        </w:rPr>
        <w:t xml:space="preserve">Hibernate Envers + custom AuditEvent stream gives a robust and queryable audit trail — a key differentiator for regulated customers.</w:t>
      </w:r>
    </w:p>
    <w:p>
      <w:pPr>
        <w:pStyle w:val="ListParagraph"/>
        <w:numPr>
          <w:ilvl w:val="0"/>
          <w:numId w:val="2"/>
        </w:numPr>
        <w:spacing w:after="40" w:before="40"/>
      </w:pPr>
      <w:r>
        <w:rPr>
          <w:rFonts w:ascii="Arial" w:cs="Arial" w:eastAsia="Arial" w:hAnsi="Arial"/>
          <w:b w:val="false"/>
          <w:bCs w:val="false"/>
          <w:color w:val="000000"/>
          <w:sz w:val="22"/>
          <w:szCs w:val="22"/>
        </w:rPr>
        <w:t xml:space="preserve">The standalone licence system is technically sound. RSA-2048 signed keys with offline tolerance and grace periods is the right architecture for air-gapped deployments.</w:t>
      </w:r>
    </w:p>
    <w:p>
      <w:pPr>
        <w:pStyle w:val="ListParagraph"/>
        <w:numPr>
          <w:ilvl w:val="0"/>
          <w:numId w:val="2"/>
        </w:numPr>
        <w:spacing w:after="40" w:before="40"/>
      </w:pPr>
      <w:r>
        <w:rPr>
          <w:rFonts w:ascii="Arial" w:cs="Arial" w:eastAsia="Arial" w:hAnsi="Arial"/>
          <w:b w:val="false"/>
          <w:bCs w:val="false"/>
          <w:color w:val="000000"/>
          <w:sz w:val="22"/>
          <w:szCs w:val="22"/>
        </w:rPr>
        <w:t xml:space="preserve">The Docker multi-stage build is production-ready: non-root runtime user, JVM container tuning, dependency layer caching, and a clean separation of build and runtime stages.</w:t>
      </w:r>
    </w:p>
    <w:p>
      <w:pPr>
        <w:pStyle w:val="ListParagraph"/>
        <w:numPr>
          <w:ilvl w:val="0"/>
          <w:numId w:val="2"/>
        </w:numPr>
        <w:spacing w:after="40" w:before="40"/>
      </w:pPr>
      <w:r>
        <w:rPr>
          <w:rFonts w:ascii="Arial" w:cs="Arial" w:eastAsia="Arial" w:hAnsi="Arial"/>
          <w:b w:val="false"/>
          <w:bCs w:val="false"/>
          <w:color w:val="000000"/>
          <w:sz w:val="22"/>
          <w:szCs w:val="22"/>
        </w:rPr>
        <w:t xml:space="preserve">Sentry integration with traces sampling and PII exclusion is configured correctly and will provide meaningful production observability from day one.</w:t>
      </w:r>
    </w:p>
    <w:p>
      <w:pPr>
        <w:pStyle w:val="ListParagraph"/>
        <w:numPr>
          <w:ilvl w:val="0"/>
          <w:numId w:val="2"/>
        </w:numPr>
        <w:spacing w:after="40" w:before="40"/>
      </w:pPr>
      <w:r>
        <w:rPr>
          <w:rFonts w:ascii="Arial" w:cs="Arial" w:eastAsia="Arial" w:hAnsi="Arial"/>
          <w:b w:val="false"/>
          <w:bCs w:val="false"/>
          <w:color w:val="000000"/>
          <w:sz w:val="22"/>
          <w:szCs w:val="22"/>
        </w:rPr>
        <w:t xml:space="preserve">The QA checklist and market readiness report show the team is thinking seriously about launch quality — this review builds on that foundation rather than starting from scratch.</w:t>
      </w:r>
    </w:p>
    <w:p>
      <w:pPr>
        <w:pStyle w:val="ListParagraph"/>
        <w:numPr>
          <w:ilvl w:val="0"/>
          <w:numId w:val="2"/>
        </w:numPr>
        <w:spacing w:after="40" w:before="40"/>
      </w:pPr>
      <w:r>
        <w:rPr>
          <w:rFonts w:ascii="Arial" w:cs="Arial" w:eastAsia="Arial" w:hAnsi="Arial"/>
          <w:b w:val="false"/>
          <w:bCs w:val="false"/>
          <w:color w:val="000000"/>
          <w:sz w:val="22"/>
          <w:szCs w:val="22"/>
        </w:rPr>
        <w:t xml:space="preserve">BOG ICT Directive compliance controls exist in the codebase (ComplianceServiceImpl). The gap is documentation and the DPA module, not the underlying compliance logic.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200"/>
              <w:left w:type="dxa" w:w="240"/>
              <w:bottom w:type="dxa" w:w="200"/>
              <w:right w:type="dxa" w:w="240"/>
            </w:tcMar>
          </w:tcPr>
          <w:p>
            <w:pPr>
              <w:spacing w:after="80" w:before="0"/>
              <w:jc w:val="center"/>
            </w:pPr>
            <w:r>
              <w:rPr>
                <w:rFonts w:ascii="Arial" w:cs="Arial" w:eastAsia="Arial" w:hAnsi="Arial"/>
                <w:b/>
                <w:bCs/>
                <w:color w:val="FFFFFF"/>
                <w:sz w:val="26"/>
                <w:szCs w:val="26"/>
              </w:rPr>
              <w:t xml:space="preserve">QA Review Summary</w:t>
            </w:r>
          </w:p>
          <w:p>
            <w:pPr>
              <w:spacing w:after="60" w:before="0"/>
              <w:jc w:val="center"/>
            </w:pPr>
            <w:r>
              <w:rPr>
                <w:rFonts w:ascii="Arial" w:cs="Arial" w:eastAsia="Arial" w:hAnsi="Arial"/>
                <w:i/>
                <w:iCs/>
                <w:color w:val="A8C4E0"/>
                <w:sz w:val="22"/>
                <w:szCs w:val="22"/>
              </w:rPr>
              <w:t xml:space="preserve">AssetIQ is architecturally mature and feature-rich. The team has built something genuinely sophisticated.</w:t>
            </w:r>
          </w:p>
          <w:p>
            <w:pPr>
              <w:spacing w:after="60" w:before="0"/>
              <w:jc w:val="center"/>
            </w:pPr>
            <w:r>
              <w:rPr>
                <w:rFonts w:ascii="Arial" w:cs="Arial" w:eastAsia="Arial" w:hAnsi="Arial"/>
                <w:b/>
                <w:bCs/>
                <w:color w:val="FFC000"/>
                <w:sz w:val="22"/>
                <w:szCs w:val="22"/>
              </w:rPr>
              <w:t xml:space="preserve">Resolve the 5 critical findings, build the DPA module, and close the test coverage gap</w:t>
            </w:r>
          </w:p>
          <w:p>
            <w:pPr>
              <w:spacing w:after="0" w:before="0"/>
              <w:jc w:val="center"/>
            </w:pPr>
            <w:r>
              <w:rPr>
                <w:rFonts w:ascii="Arial" w:cs="Arial" w:eastAsia="Arial" w:hAnsi="Arial"/>
                <w:i/>
                <w:iCs/>
                <w:color w:val="A8C4E0"/>
                <w:sz w:val="22"/>
                <w:szCs w:val="22"/>
              </w:rPr>
              <w:t xml:space="preserve">and AssetIQ will be genuinely enterprise-ready for the Ghanaian market.</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026"/>
      </w:tabs>
    </w:pPr>
    <w:r>
      <w:rPr>
        <w:rFonts w:ascii="Arial" w:cs="Arial" w:eastAsia="Arial" w:hAnsi="Arial"/>
        <w:color w:val="595959"/>
        <w:sz w:val="18"/>
        <w:szCs w:val="18"/>
      </w:rPr>
      <w:t xml:space="preserve">QA Review v1.0  |  23 April 2026  |  Prepared for: AssetIQ Engineering</w:t>
    </w:r>
    <w:r>
      <w:rPr>
        <w:rFonts w:ascii="Arial" w:cs="Arial" w:eastAsia="Arial" w:hAnsi="Arial"/>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pPr>
    <w:r>
      <w:rPr>
        <w:rFonts w:ascii="Arial" w:cs="Arial" w:eastAsia="Arial" w:hAnsi="Arial"/>
        <w:color w:val="595959"/>
        <w:sz w:val="18"/>
        <w:szCs w:val="18"/>
      </w:rPr>
      <w:t xml:space="preserve">AssetIQ Enterprise Asset Manager  |  QA Engineering Review</w:t>
    </w:r>
    <w:r>
      <w:rPr>
        <w:rFonts w:ascii="Arial" w:cs="Arial" w:eastAsia="Arial" w:hAnsi="Arial"/>
      </w:rPr>
      <w:t xml:space="preserve">	</w:t>
    </w:r>
    <w:r>
      <w:rPr>
        <w:rFonts w:ascii="Arial" w:cs="Arial" w:eastAsia="Arial" w:hAnsi="Arial"/>
        <w:b/>
        <w:bCs/>
        <w:color w:val="C0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2026-04-23T20:32:16.582Z</dcterms:created>
  <dcterms:modified xsi:type="dcterms:W3CDTF">2026-04-23T20:32:16.582Z</dcterms:modified>
</cp:coreProperties>
</file>

<file path=docProps/custom.xml><?xml version="1.0" encoding="utf-8"?>
<Properties xmlns="http://schemas.openxmlformats.org/officeDocument/2006/custom-properties" xmlns:vt="http://schemas.openxmlformats.org/officeDocument/2006/docPropsVTypes"/>
</file>