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3.png" ContentType="image/png"/>
  <Override PartName="/word/media/rId1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7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bookmarkStart w:id="28" w:name="abstract"/>
    <w:p>
      <w:pPr>
        <w:pStyle w:val="Heading2"/>
      </w:pPr>
      <w:r>
        <w:t xml:space="preserve">1.1 Abstract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5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Start w:id="41" w:name="the-coordination-crisis-in-ai-governance"/>
    <w:p>
      <w:pPr>
        <w:pStyle w:val="Heading3"/>
      </w:pPr>
      <w:r>
        <w:t xml:space="preserve">1.11.1 The Coordination Crisis in AI Governance</w:t>
      </w:r>
    </w:p>
    <w:bookmarkEnd w:id="41"/>
    <w:bookmarkStart w:id="42" w:name="research-question-and-scope"/>
    <w:p>
      <w:pPr>
        <w:pStyle w:val="Heading3"/>
      </w:pPr>
      <w:r>
        <w:t xml:space="preserve">1.11.2 1.2 Research Question and Scope</w:t>
      </w:r>
    </w:p>
    <w:bookmarkEnd w:id="42"/>
    <w:bookmarkStart w:id="43" w:name="the-multiplicative-benefits-framework"/>
    <w:p>
      <w:pPr>
        <w:pStyle w:val="Heading3"/>
      </w:pPr>
      <w:r>
        <w:t xml:space="preserve">1.11.3 1.3 The Multiplicative Benefits Framework</w:t>
      </w:r>
    </w:p>
    <w:bookmarkEnd w:id="43"/>
    <w:bookmarkStart w:id="44" w:name="from-theory-to-practice-a-roadmap"/>
    <w:p>
      <w:pPr>
        <w:pStyle w:val="Heading3"/>
      </w:pPr>
      <w:r>
        <w:t xml:space="preserve">1.11.4 1.4 From Theory to Practice: A Roadmap</w:t>
      </w:r>
    </w:p>
    <w:bookmarkEnd w:id="44"/>
    <w:bookmarkEnd w:id="45"/>
    <w:bookmarkStart w:id="46" w:name="overview-table-of-contents"/>
    <w:p>
      <w:pPr>
        <w:pStyle w:val="Heading2"/>
      </w:pPr>
      <w:r>
        <w:t xml:space="preserve">1.12 Overview / Table of Contents</w:t>
      </w:r>
    </w:p>
    <w:bookmarkEnd w:id="46"/>
    <w:bookmarkEnd w:id="47"/>
    <w:bookmarkStart w:id="80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8" w:name="background-considerations"/>
    <w:p>
      <w:pPr>
        <w:pStyle w:val="Heading2"/>
      </w:pPr>
      <w:r>
        <w:t xml:space="preserve">2.1 Background Considerations</w:t>
      </w:r>
    </w:p>
    <w:bookmarkEnd w:id="48"/>
    <w:bookmarkStart w:id="52" w:name="literature-concepts-terminology"/>
    <w:p>
      <w:pPr>
        <w:pStyle w:val="Heading2"/>
      </w:pPr>
      <w:r>
        <w:t xml:space="preserve">2.2 Literature, Concepts &amp; Terminology</w:t>
      </w:r>
    </w:p>
    <w:bookmarkStart w:id="49" w:name="dag-bayesnets"/>
    <w:p>
      <w:pPr>
        <w:pStyle w:val="Heading3"/>
      </w:pPr>
      <w:r>
        <w:t xml:space="preserve">2.2.1 DAG / BayesNets</w:t>
      </w:r>
    </w:p>
    <w:bookmarkEnd w:id="49"/>
    <w:bookmarkStart w:id="51" w:name="state-of-the-art-mtair-explanation"/>
    <w:p>
      <w:pPr>
        <w:pStyle w:val="Heading3"/>
      </w:pPr>
      <w:r>
        <w:t xml:space="preserve">2.2.2 State of the art (MTAIR) — Explanation</w:t>
      </w:r>
    </w:p>
    <w:bookmarkStart w:id="50" w:name="carlsmith-model-analytica"/>
    <w:p>
      <w:pPr>
        <w:pStyle w:val="Heading4"/>
      </w:pPr>
      <w:r>
        <w:t xml:space="preserve">2.2.2.1 Carlsmith Model (Analytica)</w:t>
      </w:r>
    </w:p>
    <w:bookmarkEnd w:id="50"/>
    <w:bookmarkEnd w:id="51"/>
    <w:bookmarkEnd w:id="52"/>
    <w:bookmarkStart w:id="60" w:name="theoretical-foundations"/>
    <w:p>
      <w:pPr>
        <w:pStyle w:val="Heading2"/>
      </w:pPr>
      <w:r>
        <w:t xml:space="preserve">2.3 Theoretical Foundations</w:t>
      </w:r>
    </w:p>
    <w:bookmarkStart w:id="53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53"/>
    <w:bookmarkStart w:id="54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4"/>
    <w:bookmarkStart w:id="55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5"/>
    <w:bookmarkStart w:id="56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6"/>
    <w:bookmarkStart w:id="57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7"/>
    <w:bookmarkStart w:id="58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8"/>
    <w:bookmarkStart w:id="59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9"/>
    <w:bookmarkEnd w:id="60"/>
    <w:bookmarkStart w:id="68" w:name="methodology"/>
    <w:p>
      <w:pPr>
        <w:pStyle w:val="Heading2"/>
      </w:pPr>
      <w:r>
        <w:t xml:space="preserve">2.4 Methodology</w:t>
      </w:r>
    </w:p>
    <w:bookmarkStart w:id="67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61" w:name="research-design-overview"/>
    <w:p>
      <w:pPr>
        <w:pStyle w:val="Heading4"/>
      </w:pPr>
      <w:r>
        <w:t xml:space="preserve">2.4.1.1 Research Design Overview</w:t>
      </w:r>
    </w:p>
    <w:bookmarkEnd w:id="61"/>
    <w:bookmarkStart w:id="62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62"/>
    <w:bookmarkStart w:id="63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63"/>
    <w:bookmarkStart w:id="64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4"/>
    <w:bookmarkStart w:id="65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5"/>
    <w:bookmarkStart w:id="66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6"/>
    <w:bookmarkEnd w:id="67"/>
    <w:bookmarkEnd w:id="68"/>
    <w:bookmarkStart w:id="79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9" w:name="kialo"/>
    <w:p>
      <w:pPr>
        <w:pStyle w:val="Heading4"/>
      </w:pPr>
      <w:r>
        <w:t xml:space="preserve">2.5.0.1 Kialo</w:t>
      </w:r>
    </w:p>
    <w:bookmarkEnd w:id="69"/>
    <w:bookmarkStart w:id="70" w:name="rainsprinklerlawn-dag"/>
    <w:p>
      <w:pPr>
        <w:pStyle w:val="Heading4"/>
      </w:pPr>
      <w:r>
        <w:t xml:space="preserve">2.5.0.2 Rain/Sprinkler/Lawn DAG</w:t>
      </w:r>
    </w:p>
    <w:bookmarkEnd w:id="70"/>
    <w:bookmarkStart w:id="71" w:name="bayeserver"/>
    <w:p>
      <w:pPr>
        <w:pStyle w:val="Heading4"/>
      </w:pPr>
      <w:r>
        <w:t xml:space="preserve">2.5.0.3 BayeServer</w:t>
      </w:r>
    </w:p>
    <w:bookmarkEnd w:id="71"/>
    <w:bookmarkStart w:id="72" w:name="bayesnet-extended-example"/>
    <w:p>
      <w:pPr>
        <w:pStyle w:val="Heading4"/>
      </w:pPr>
      <w:r>
        <w:t xml:space="preserve">2.5.0.4 BayesNet — Extended Example</w:t>
      </w:r>
    </w:p>
    <w:bookmarkEnd w:id="72"/>
    <w:bookmarkStart w:id="78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74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7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78"/>
    <w:bookmarkEnd w:id="79"/>
    <w:bookmarkEnd w:id="80"/>
    <w:bookmarkStart w:id="96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81"/>
    <w:bookmarkStart w:id="8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82"/>
    <w:bookmarkStart w:id="89" w:name="implementation"/>
    <w:p>
      <w:pPr>
        <w:pStyle w:val="Heading2"/>
      </w:pPr>
      <w:r>
        <w:t xml:space="preserve">3.3 Implementation</w:t>
      </w:r>
    </w:p>
    <w:bookmarkStart w:id="83" w:name="system-architecture-and-data-flow"/>
    <w:p>
      <w:pPr>
        <w:pStyle w:val="Heading4"/>
      </w:pPr>
      <w:r>
        <w:t xml:space="preserve">3.3.0.1 System Architecture and Data Flow</w:t>
      </w:r>
    </w:p>
    <w:bookmarkEnd w:id="83"/>
    <w:bookmarkStart w:id="84" w:name="automated-extraction-pipeline"/>
    <w:p>
      <w:pPr>
        <w:pStyle w:val="Heading4"/>
      </w:pPr>
      <w:r>
        <w:t xml:space="preserve">3.3.0.2 Automated Extraction Pipeline</w:t>
      </w:r>
    </w:p>
    <w:bookmarkEnd w:id="84"/>
    <w:bookmarkStart w:id="85" w:name="network-construction-and-visualization"/>
    <w:p>
      <w:pPr>
        <w:pStyle w:val="Heading4"/>
      </w:pPr>
      <w:r>
        <w:t xml:space="preserve">3.3.0.3 Network Construction and Visualization</w:t>
      </w:r>
    </w:p>
    <w:bookmarkEnd w:id="85"/>
    <w:bookmarkStart w:id="86" w:name="probabilistic-inference-engine"/>
    <w:p>
      <w:pPr>
        <w:pStyle w:val="Heading4"/>
      </w:pPr>
      <w:r>
        <w:t xml:space="preserve">3.3.0.4 Probabilistic Inference Engine</w:t>
      </w:r>
    </w:p>
    <w:bookmarkEnd w:id="86"/>
    <w:bookmarkStart w:id="87" w:name="prediction-market-integration-module"/>
    <w:p>
      <w:pPr>
        <w:pStyle w:val="Heading4"/>
      </w:pPr>
      <w:r>
        <w:t xml:space="preserve">3.3.0.5 Prediction Market Integration Module</w:t>
      </w:r>
    </w:p>
    <w:bookmarkEnd w:id="87"/>
    <w:bookmarkStart w:id="88" w:name="policy-evaluation-interface"/>
    <w:p>
      <w:pPr>
        <w:pStyle w:val="Heading4"/>
      </w:pPr>
      <w:r>
        <w:t xml:space="preserve">3.3.0.6 Policy Evaluation Interface</w:t>
      </w:r>
    </w:p>
    <w:bookmarkEnd w:id="88"/>
    <w:bookmarkEnd w:id="89"/>
    <w:bookmarkStart w:id="95" w:name="results-from-theory-to-application"/>
    <w:p>
      <w:pPr>
        <w:pStyle w:val="Heading2"/>
      </w:pPr>
      <w:r>
        <w:t xml:space="preserve">3.4 Results: From Theory to Application</w:t>
      </w:r>
    </w:p>
    <w:bookmarkStart w:id="90" w:name="extraction-quality-assessment"/>
    <w:p>
      <w:pPr>
        <w:pStyle w:val="Heading4"/>
      </w:pPr>
      <w:r>
        <w:t xml:space="preserve">3.4.0.1 Extraction Quality Assessment</w:t>
      </w:r>
    </w:p>
    <w:bookmarkEnd w:id="90"/>
    <w:bookmarkStart w:id="91" w:name="computational-performance-analysis"/>
    <w:p>
      <w:pPr>
        <w:pStyle w:val="Heading4"/>
      </w:pPr>
      <w:r>
        <w:t xml:space="preserve">3.4.0.2 Computational Performance Analysis</w:t>
      </w:r>
    </w:p>
    <w:bookmarkEnd w:id="91"/>
    <w:bookmarkStart w:id="92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92"/>
    <w:bookmarkStart w:id="93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93"/>
    <w:bookmarkStart w:id="94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4"/>
    <w:bookmarkEnd w:id="95"/>
    <w:bookmarkEnd w:id="96"/>
    <w:bookmarkStart w:id="101" w:name="insights-findings"/>
    <w:p>
      <w:pPr>
        <w:pStyle w:val="Heading1"/>
      </w:pPr>
      <w:r>
        <w:t xml:space="preserve">4. Insights &amp; Findings</w:t>
      </w:r>
    </w:p>
    <w:bookmarkStart w:id="97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97"/>
    <w:bookmarkStart w:id="98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98"/>
    <w:bookmarkStart w:id="99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99"/>
    <w:bookmarkStart w:id="100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100"/>
    <w:bookmarkEnd w:id="101"/>
    <w:bookmarkStart w:id="102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102"/>
    <w:bookmarkStart w:id="11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10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103"/>
    <w:bookmarkStart w:id="10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104"/>
    <w:bookmarkStart w:id="10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105"/>
    <w:bookmarkStart w:id="111" w:name="discussion-implications-and-limitations"/>
    <w:p>
      <w:pPr>
        <w:pStyle w:val="Heading2"/>
      </w:pPr>
      <w:r>
        <w:t xml:space="preserve">6.4 Discussion: Implications and Limitations</w:t>
      </w:r>
    </w:p>
    <w:bookmarkStart w:id="106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6"/>
    <w:bookmarkStart w:id="107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7"/>
    <w:bookmarkStart w:id="108" w:name="scaling-challenges-and-opportunities"/>
    <w:p>
      <w:pPr>
        <w:pStyle w:val="Heading4"/>
      </w:pPr>
      <w:r>
        <w:t xml:space="preserve">6.4.0.3 Scaling Challenges and Opportunities</w:t>
      </w:r>
    </w:p>
    <w:bookmarkEnd w:id="108"/>
    <w:bookmarkStart w:id="109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9"/>
    <w:bookmarkStart w:id="110" w:name="known-unknowns-and-deep-uncertainties"/>
    <w:p>
      <w:pPr>
        <w:pStyle w:val="Heading4"/>
      </w:pPr>
      <w:r>
        <w:t xml:space="preserve">6.4.0.5 Known Unknowns and Deep Uncertainties</w:t>
      </w:r>
    </w:p>
    <w:bookmarkEnd w:id="110"/>
    <w:bookmarkEnd w:id="111"/>
    <w:bookmarkEnd w:id="112"/>
    <w:bookmarkStart w:id="137" w:name="conclusion"/>
    <w:p>
      <w:pPr>
        <w:pStyle w:val="Heading1"/>
      </w:pPr>
      <w:r>
        <w:t xml:space="preserve">7. Conclusion</w:t>
      </w:r>
    </w:p>
    <w:bookmarkStart w:id="11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3"/>
    <w:bookmarkStart w:id="118" w:name="summary-key-takeaways-findings"/>
    <w:p>
      <w:pPr>
        <w:pStyle w:val="Heading2"/>
      </w:pPr>
      <w:r>
        <w:t xml:space="preserve">7.2 Summary — Key Takeaways &amp; Findings</w:t>
      </w:r>
    </w:p>
    <w:bookmarkStart w:id="11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4"/>
    <w:bookmarkStart w:id="11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5"/>
    <w:bookmarkStart w:id="11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6"/>
    <w:bookmarkStart w:id="11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7"/>
    <w:bookmarkEnd w:id="118"/>
    <w:bookmarkStart w:id="13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119"/>
    <w:bookmarkStart w:id="12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120"/>
    <w:bookmarkStart w:id="12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121"/>
    <w:bookmarkStart w:id="122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32"/>
        </w:numPr>
      </w:pPr>
      <w:r>
        <w:t xml:space="preserve">Influence global AI governance.</w:t>
      </w:r>
    </w:p>
    <w:bookmarkEnd w:id="122"/>
    <w:bookmarkStart w:id="123" w:name="limitations-of-the-analysis"/>
    <w:p>
      <w:pPr>
        <w:pStyle w:val="Heading3"/>
      </w:pPr>
      <w:r>
        <w:t xml:space="preserve">7.3.5 Limitations of the Analysis</w:t>
      </w:r>
    </w:p>
    <w:bookmarkEnd w:id="123"/>
    <w:bookmarkStart w:id="124" w:name="policy-implications-recommendations"/>
    <w:p>
      <w:pPr>
        <w:pStyle w:val="Heading3"/>
      </w:pPr>
      <w:r>
        <w:t xml:space="preserve">7.3.6 Policy Implications &amp; Recommendations</w:t>
      </w:r>
    </w:p>
    <w:bookmarkEnd w:id="124"/>
    <w:bookmarkStart w:id="125" w:name="areas-for-future-research"/>
    <w:p>
      <w:pPr>
        <w:pStyle w:val="Heading3"/>
      </w:pPr>
      <w:r>
        <w:t xml:space="preserve">7.3.7 Areas for Future Research</w:t>
      </w:r>
    </w:p>
    <w:bookmarkEnd w:id="125"/>
    <w:bookmarkStart w:id="12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126"/>
    <w:bookmarkStart w:id="12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127"/>
    <w:bookmarkEnd w:id="128"/>
    <w:bookmarkStart w:id="12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9"/>
    <w:bookmarkEnd w:id="130"/>
    <w:bookmarkStart w:id="136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31" w:name="key-contributions-and-findings"/>
    <w:p>
      <w:pPr>
        <w:pStyle w:val="Heading3"/>
      </w:pPr>
      <w:r>
        <w:t xml:space="preserve">7.4.1 Key Contributions and Findings</w:t>
      </w:r>
    </w:p>
    <w:bookmarkEnd w:id="131"/>
    <w:bookmarkStart w:id="132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32"/>
    <w:bookmarkStart w:id="133" w:name="policy-implications-and-recommendations"/>
    <w:p>
      <w:pPr>
        <w:pStyle w:val="Heading3"/>
      </w:pPr>
      <w:r>
        <w:t xml:space="preserve">7.4.3 Policy Implications and Recommendations</w:t>
      </w:r>
    </w:p>
    <w:bookmarkEnd w:id="133"/>
    <w:bookmarkStart w:id="134" w:name="future-research-directions"/>
    <w:p>
      <w:pPr>
        <w:pStyle w:val="Heading3"/>
      </w:pPr>
      <w:r>
        <w:t xml:space="preserve">7.4.4 Future Research Directions</w:t>
      </w:r>
    </w:p>
    <w:bookmarkEnd w:id="134"/>
    <w:bookmarkStart w:id="135" w:name="concluding-reflections"/>
    <w:p>
      <w:pPr>
        <w:pStyle w:val="Heading3"/>
      </w:pPr>
      <w:r>
        <w:t xml:space="preserve">7.4.5 Concluding Reflections</w:t>
      </w:r>
    </w:p>
    <w:bookmarkEnd w:id="135"/>
    <w:bookmarkEnd w:id="136"/>
    <w:bookmarkEnd w:id="137"/>
    <w:bookmarkStart w:id="138" w:name="frontmatter"/>
    <w:p>
      <w:pPr>
        <w:pStyle w:val="Heading1"/>
      </w:pPr>
      <w:r>
        <w:t xml:space="preserve">Frontmatter</w:t>
      </w:r>
    </w:p>
    <w:bookmarkEnd w:id="138"/>
    <w:bookmarkStart w:id="148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139"/>
    <w:bookmarkStart w:id="140" w:name="list-of-graphics-figures"/>
    <w:p>
      <w:pPr>
        <w:pStyle w:val="Heading2"/>
      </w:pPr>
      <w:r>
        <w:t xml:space="preserve">List of Graphics &amp; Figures</w:t>
      </w:r>
    </w:p>
    <w:bookmarkEnd w:id="140"/>
    <w:bookmarkStart w:id="14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41"/>
    <w:bookmarkStart w:id="142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2"/>
    <w:bookmarkStart w:id="143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3"/>
    <w:bookmarkStart w:id="144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8"/>
        </w:numPr>
      </w:pPr>
      <w:r>
        <w:t xml:space="preserve">introduce all terminology</w:t>
      </w:r>
    </w:p>
    <w:p>
      <w:pPr>
        <w:pStyle w:val="Compact"/>
        <w:numPr>
          <w:ilvl w:val="1"/>
          <w:numId w:val="1039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readership is intelligent and interested but has no prior knowledge</w:t>
      </w:r>
    </w:p>
    <w:bookmarkEnd w:id="144"/>
    <w:bookmarkStart w:id="145" w:name="section"/>
    <w:p>
      <w:pPr>
        <w:pStyle w:val="Heading2"/>
      </w:pPr>
    </w:p>
    <w:bookmarkEnd w:id="145"/>
    <w:bookmarkStart w:id="147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40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6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6"/>
    <w:bookmarkEnd w:id="147"/>
    <w:bookmarkEnd w:id="148"/>
    <w:bookmarkStart w:id="162" w:name="bibliography-references"/>
    <w:p>
      <w:pPr>
        <w:pStyle w:val="Heading1"/>
      </w:pPr>
      <w:r>
        <w:t xml:space="preserve">Bibliography (References)</w:t>
      </w:r>
    </w:p>
    <w:bookmarkStart w:id="154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49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0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54"/>
    <w:bookmarkStart w:id="161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60" w:name="refs"/>
    <w:bookmarkStart w:id="15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55"/>
    <w:bookmarkStart w:id="15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5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57"/>
    <w:bookmarkStart w:id="15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5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59"/>
    <w:bookmarkEnd w:id="160"/>
    <w:bookmarkEnd w:id="161"/>
    <w:bookmarkEnd w:id="162"/>
    <w:bookmarkStart w:id="167" w:name="appendices-1"/>
    <w:p>
      <w:pPr>
        <w:pStyle w:val="Heading1"/>
      </w:pPr>
      <w:r>
        <w:t xml:space="preserve">Appendix A — Appendices</w:t>
      </w:r>
    </w:p>
    <w:bookmarkStart w:id="163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3"/>
    <w:bookmarkStart w:id="164" w:name="appendix-b-model-validation-procedures"/>
    <w:p>
      <w:pPr>
        <w:pStyle w:val="Heading2"/>
      </w:pPr>
      <w:r>
        <w:t xml:space="preserve">A.2 Appendix B: Model Validation Procedures</w:t>
      </w:r>
    </w:p>
    <w:bookmarkEnd w:id="164"/>
    <w:bookmarkStart w:id="165" w:name="appendix-c-case-studies"/>
    <w:p>
      <w:pPr>
        <w:pStyle w:val="Heading2"/>
      </w:pPr>
      <w:r>
        <w:t xml:space="preserve">A.3 Appendix C: Case Studies</w:t>
      </w:r>
    </w:p>
    <w:bookmarkEnd w:id="165"/>
    <w:bookmarkStart w:id="166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66"/>
    <w:bookmarkEnd w:id="167"/>
    <w:bookmarkStart w:id="16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3" Target="media/rId73.png" /><Relationship Type="http://schemas.openxmlformats.org/officeDocument/2006/relationships/image" Id="rId151" Target="media/rId151.png" /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2025-05-20T17:45:03Z</dcterms:created>
  <dcterms:modified xsi:type="dcterms:W3CDTF">2025-05-20T17:45:03Z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