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73.png" ContentType="image/png"/>
  <Override PartName="/word/media/rId1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Automating the Modelling of Transformative Artificial Intelligence Risks</w:t>
      </w:r>
    </w:p>
    <w:p>
      <w:pPr>
        <w:pStyle w:val="Author"/>
      </w:pPr>
      <w:r>
        <w:t xml:space="preserve">Valentin Jakob Meyer</w:t>
      </w:r>
    </w:p>
    <w:p>
      <w:pPr>
        <w:pStyle w:val="Date"/>
      </w:pPr>
      <w:r>
        <w:t xml:space="preserve">2025-05-26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bookmarkStart w:id="22" w:name="sec-Abstract"/>
    <w:p>
      <w:pPr>
        <w:pStyle w:val="Heading1"/>
      </w:pPr>
      <w:r>
        <w:t xml:space="preserve">Abstract</w:t>
      </w:r>
    </w:p>
    <w:bookmarkEnd w:id="22"/>
    <w:bookmarkStart w:id="23" w:name="sec-ToC"/>
    <w:p>
      <w:pPr>
        <w:pStyle w:val="Heading1"/>
      </w:pPr>
      <w:r>
        <w:t xml:space="preserve">Outline(s): Table of Contents</w:t>
      </w:r>
    </w:p>
    <w:bookmarkEnd w:id="23"/>
    <w:bookmarkStart w:id="47" w:name="introduction"/>
    <w:p>
      <w:pPr>
        <w:pStyle w:val="Heading1"/>
      </w:pPr>
      <w:r>
        <w:t xml:space="preserve">1. Introduction</w:t>
      </w:r>
    </w:p>
    <w:p>
      <w:pPr>
        <w:pStyle w:val="SourceCode"/>
      </w:pPr>
      <w:r>
        <w:rPr>
          <w:rStyle w:val="VerbatimChar"/>
        </w:rPr>
        <w:t xml:space="preserve">10% of Grade:</w:t>
      </w:r>
      <w:r>
        <w:br/>
      </w:r>
      <w:r>
        <w:br/>
      </w:r>
      <w:r>
        <w:rPr>
          <w:rStyle w:val="VerbatimChar"/>
        </w:rPr>
        <w:t xml:space="preserve">-   introduces and motivates the core question or problem</w:t>
      </w:r>
      <w:r>
        <w:br/>
      </w:r>
      <w:r>
        <w:rPr>
          <w:rStyle w:val="VerbatimChar"/>
        </w:rPr>
        <w:t xml:space="preserve">-   provides context for discussion (places issue within a larger debate or sphere of relevance)</w:t>
      </w:r>
      <w:r>
        <w:br/>
      </w:r>
      <w:r>
        <w:rPr>
          <w:rStyle w:val="VerbatimChar"/>
        </w:rPr>
        <w:t xml:space="preserve">-   states precise thesis or position the author will argue for</w:t>
      </w:r>
      <w:r>
        <w:br/>
      </w:r>
      <w:r>
        <w:rPr>
          <w:rStyle w:val="VerbatimChar"/>
        </w:rPr>
        <w:t xml:space="preserve">-   provides roadmap indicating structure and key content points of the essay</w:t>
      </w:r>
      <w:r>
        <w:br/>
      </w:r>
      <w:r>
        <w:br/>
      </w:r>
      <w:r>
        <w:rPr>
          <w:rStyle w:val="VerbatimChar"/>
        </w:rPr>
        <w:t xml:space="preserve">\~ 14% of text \~ 4200 words</w:t>
      </w:r>
    </w:p>
    <w:bookmarkStart w:id="28" w:name="abstract"/>
    <w:p>
      <w:pPr>
        <w:pStyle w:val="Heading2"/>
      </w:pPr>
      <w:r>
        <w:t xml:space="preserve">1.1 Abstract</w:t>
      </w:r>
    </w:p>
    <w:p>
      <w:pPr>
        <w:pStyle w:val="Compact"/>
        <w:numPr>
          <w:ilvl w:val="0"/>
          <w:numId w:val="1001"/>
        </w:numPr>
      </w:pPr>
      <w:r>
        <w:t xml:space="preserve">introduces and motivates the core question or problem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testgraphic2"/>
          <w:p>
            <w:pPr>
              <w:pStyle w:val="Compact"/>
              <w:jc w:val="left"/>
            </w:pPr>
            <w:r>
              <w:drawing>
                <wp:inline>
                  <wp:extent cx="1600200" cy="494436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images/cover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4944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Figure 1.1: Caption/Title 2</w:t>
            </w:r>
          </w:p>
          <w:bookmarkEnd w:id="27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testgraphic2">
        <w:r>
          <w:rPr>
            <w:rStyle w:val="Hyperlink"/>
          </w:rPr>
          <w:t xml:space="preserve">Figure 1.1</w:t>
        </w:r>
      </w:hyperlink>
      <w:r>
        <w:t xml:space="preserve">.</w:t>
      </w:r>
    </w:p>
    <w:bookmarkEnd w:id="28"/>
    <w:bookmarkStart w:id="29" w:name="motivation-problem-statement"/>
    <w:p>
      <w:pPr>
        <w:pStyle w:val="Heading2"/>
      </w:pPr>
      <w:r>
        <w:t xml:space="preserve">1.2 Motivation: Problem Statement</w:t>
      </w:r>
    </w:p>
    <w:bookmarkEnd w:id="29"/>
    <w:bookmarkStart w:id="30" w:name="motivation-research-question"/>
    <w:p>
      <w:pPr>
        <w:pStyle w:val="Heading2"/>
      </w:pPr>
      <w:r>
        <w:t xml:space="preserve">1.3 Motivation: Research Question</w:t>
      </w:r>
    </w:p>
    <w:p>
      <w:pPr>
        <w:pStyle w:val="Compact"/>
        <w:numPr>
          <w:ilvl w:val="0"/>
          <w:numId w:val="1002"/>
        </w:numPr>
      </w:pPr>
      <w:r>
        <w:t xml:space="preserve">provides context for discussion (places issue within a larger debate or sphere of relevance)</w:t>
      </w:r>
    </w:p>
    <w:bookmarkEnd w:id="30"/>
    <w:bookmarkStart w:id="31" w:name="scope-aim-context-of-the-research"/>
    <w:p>
      <w:pPr>
        <w:pStyle w:val="Heading2"/>
      </w:pPr>
      <w:r>
        <w:t xml:space="preserve">1.4 Scope: Aim &amp; Context of the Research</w:t>
      </w:r>
    </w:p>
    <w:bookmarkEnd w:id="31"/>
    <w:bookmarkStart w:id="32" w:name="Xb82d2441bfed788d5f4ea2be00316b4ed5ad40b"/>
    <w:p>
      <w:pPr>
        <w:pStyle w:val="Heading2"/>
      </w:pPr>
      <w:r>
        <w:t xml:space="preserve">1.5 Significance of the Research: Theory of Change</w:t>
      </w:r>
    </w:p>
    <w:p>
      <w:pPr>
        <w:pStyle w:val="FirstParagraph"/>
      </w:pPr>
      <w:r>
        <w:t xml:space="preserve">• states precise thesis or position the author will argue for</w:t>
      </w:r>
    </w:p>
    <w:bookmarkEnd w:id="32"/>
    <w:bookmarkStart w:id="33" w:name="X7f044f6a9029401674e59d3288aa5c70b546937"/>
    <w:p>
      <w:pPr>
        <w:pStyle w:val="Heading2"/>
      </w:pPr>
      <w:r>
        <w:t xml:space="preserve">1.6 Thesis Statement &amp; Position: (Aim of the Paper)</w:t>
      </w:r>
    </w:p>
    <w:p>
      <w:pPr>
        <w:pStyle w:val="Compact"/>
        <w:numPr>
          <w:ilvl w:val="0"/>
          <w:numId w:val="1003"/>
        </w:numPr>
      </w:pPr>
      <w:r>
        <w:t xml:space="preserve">provides roadmap indicating structure and key content points of the essay</w:t>
      </w:r>
    </w:p>
    <w:bookmarkEnd w:id="33"/>
    <w:bookmarkStart w:id="34" w:name="Xda1712ae9c49a35a786125f1d74ced5f8d21fe5"/>
    <w:p>
      <w:pPr>
        <w:pStyle w:val="Heading2"/>
      </w:pPr>
      <w:r>
        <w:t xml:space="preserve">1.7 Overview: Structure &amp; Approach of the Paper (Roadmap — Theory of Change)</w:t>
      </w:r>
    </w:p>
    <w:bookmarkEnd w:id="34"/>
    <w:bookmarkStart w:id="35" w:name="table-of-contents"/>
    <w:p>
      <w:pPr>
        <w:pStyle w:val="Heading2"/>
      </w:pPr>
      <w:r>
        <w:t xml:space="preserve">1.8 Table of Contents</w:t>
      </w:r>
    </w:p>
    <w:bookmarkEnd w:id="35"/>
    <w:bookmarkStart w:id="36" w:name="problem-statement-motivation"/>
    <w:p>
      <w:pPr>
        <w:pStyle w:val="Heading2"/>
      </w:pPr>
      <w:r>
        <w:t xml:space="preserve">1.9 Problem Statement — Motivation</w:t>
      </w:r>
    </w:p>
    <w:p>
      <w:pPr>
        <w:pStyle w:val="FirstParagraph"/>
      </w:pPr>
      <w:r>
        <w:t xml:space="preserve">Continued AI Progress:</w:t>
      </w:r>
    </w:p>
    <w:p>
      <w:pPr>
        <w:pStyle w:val="Compact"/>
        <w:numPr>
          <w:ilvl w:val="0"/>
          <w:numId w:val="1004"/>
        </w:numPr>
      </w:pPr>
      <w:r>
        <w:t xml:space="preserve">Rapid advancements in AI technology increase both potential benefits and risks.</w:t>
      </w:r>
    </w:p>
    <w:p>
      <w:pPr>
        <w:pStyle w:val="FirstParagraph"/>
      </w:pPr>
      <w:r>
        <w:t xml:space="preserve">Existential Risks (AI X-Risk):</w:t>
      </w:r>
    </w:p>
    <w:p>
      <w:pPr>
        <w:pStyle w:val="Compact"/>
        <w:numPr>
          <w:ilvl w:val="0"/>
          <w:numId w:val="1005"/>
        </w:numPr>
      </w:pPr>
      <w:r>
        <w:t xml:space="preserve">Advanced AI systems could pose significant threats if misaligned with human values.</w:t>
      </w:r>
    </w:p>
    <w:p>
      <w:pPr>
        <w:pStyle w:val="FirstParagraph"/>
      </w:pPr>
      <w:r>
        <w:t xml:space="preserve">Complexity Challenges:</w:t>
      </w:r>
    </w:p>
    <w:p>
      <w:pPr>
        <w:pStyle w:val="Compact"/>
        <w:numPr>
          <w:ilvl w:val="0"/>
          <w:numId w:val="1006"/>
        </w:numPr>
      </w:pPr>
      <w:r>
        <w:t xml:space="preserve">The intricate nature of AI systems complicates policy formulation and understanding.</w:t>
      </w:r>
    </w:p>
    <w:p>
      <w:pPr>
        <w:pStyle w:val="FirstParagraph"/>
      </w:pPr>
      <w:r>
        <w:t xml:space="preserve">Limitations of Current Approaches:</w:t>
      </w:r>
    </w:p>
    <w:p>
      <w:pPr>
        <w:pStyle w:val="Compact"/>
        <w:numPr>
          <w:ilvl w:val="0"/>
          <w:numId w:val="1007"/>
        </w:numPr>
      </w:pPr>
      <w:r>
        <w:t xml:space="preserve">MTAIR’s Reliance on Human Labor:</w:t>
      </w:r>
    </w:p>
    <w:p>
      <w:pPr>
        <w:pStyle w:val="Compact"/>
        <w:numPr>
          <w:ilvl w:val="1"/>
          <w:numId w:val="1008"/>
        </w:numPr>
      </w:pPr>
      <w:r>
        <w:t xml:space="preserve">Modeling Transformative AI Risks (MTAIR) is constrained by manual cognitive efforts.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Need for Automation:</w:t>
      </w:r>
    </w:p>
    <w:p>
      <w:pPr>
        <w:pStyle w:val="Compact"/>
        <w:numPr>
          <w:ilvl w:val="1"/>
          <w:numId w:val="1009"/>
        </w:numPr>
      </w:pPr>
      <w:r>
        <w:t xml:space="preserve">Scaling and automating risk modeling is essential to keep pace with AI developments.</w:t>
      </w:r>
    </w:p>
    <w:p>
      <w:pPr>
        <w:pStyle w:val="FirstParagraph"/>
      </w:pPr>
      <w:r>
        <w:t xml:space="preserve">Opportunity:</w:t>
      </w:r>
    </w:p>
    <w:p>
      <w:pPr>
        <w:pStyle w:val="Compact"/>
        <w:numPr>
          <w:ilvl w:val="0"/>
          <w:numId w:val="1010"/>
        </w:numPr>
      </w:pPr>
      <w:r>
        <w:t xml:space="preserve">Leveraging new technologies to enhance our ability to model and mitigate AI risks.</w:t>
      </w:r>
    </w:p>
    <w:bookmarkEnd w:id="36"/>
    <w:bookmarkStart w:id="40" w:name="aim-of-the-paper"/>
    <w:p>
      <w:pPr>
        <w:pStyle w:val="Heading2"/>
      </w:pPr>
      <w:r>
        <w:t xml:space="preserve">1.10 Aim of the Paper</w:t>
      </w:r>
    </w:p>
    <w:bookmarkStart w:id="38" w:name="research-question-scope"/>
    <w:p>
      <w:pPr>
        <w:pStyle w:val="Heading3"/>
      </w:pPr>
      <w:r>
        <w:t xml:space="preserve">1.10.1 Research Question &amp; Scope</w:t>
      </w:r>
    </w:p>
    <w:bookmarkStart w:id="37" w:name="X2d3fe0facb5496a6e4003e6f068196e2f013b19"/>
    <w:p>
      <w:pPr>
        <w:pStyle w:val="Heading4"/>
      </w:pPr>
      <w:r>
        <w:t xml:space="preserve">1.10.1.1 Can frontier AI technologies be utilized to automate the modeling of transformative AI risks, so as to allow for the prediction of policy impacts?</w:t>
      </w:r>
    </w:p>
    <w:p>
      <w:pPr>
        <w:pStyle w:val="FirstParagraph"/>
      </w:pPr>
      <w:r>
        <w:t xml:space="preserve">Frontier AI Technology: Today’s most capable AI systems (e.g. GPT4 level LLMs)</w:t>
      </w:r>
      <w:r>
        <w:br/>
      </w:r>
      <w:r>
        <w:t xml:space="preserve">Scaling Up: Automating the previously</w:t>
      </w:r>
      <w:r>
        <w:t xml:space="preserve"> </w:t>
      </w:r>
      <w:r>
        <w:t xml:space="preserve">“manual”</w:t>
      </w:r>
      <w:r>
        <w:t xml:space="preserve"> </w:t>
      </w:r>
      <w:r>
        <w:t xml:space="preserve">cognitive labor</w:t>
      </w:r>
      <w:r>
        <w:br/>
      </w:r>
      <w:r>
        <w:t xml:space="preserve">Modeling: Formalizing the world views underlying arguments</w:t>
      </w:r>
      <w:r>
        <w:br/>
      </w:r>
      <w:r>
        <w:t xml:space="preserve">Transformative AI: Level of AI capabilities defined by severe impact on the world</w:t>
      </w:r>
      <w:r>
        <w:br/>
      </w:r>
      <w:r>
        <w:t xml:space="preserve">Safety &amp; Governance Literature: Publications, reports etc. concerned with risks from AI</w:t>
      </w:r>
    </w:p>
    <w:p>
      <w:pPr>
        <w:pStyle w:val="BodyText"/>
      </w:pPr>
      <w:r>
        <w:t xml:space="preserve">Automated Estimation: Non-manual (AI systems + scaffolding), quantified evaluations</w:t>
      </w:r>
      <w:r>
        <w:br/>
      </w:r>
      <w:r>
        <w:t xml:space="preserve">Probability Distributions: Formal expressions of the expectations over future worlds</w:t>
      </w:r>
      <w:r>
        <w:br/>
      </w:r>
      <w:r>
        <w:t xml:space="preserve">Conditional Trees of Possible Worlds:</w:t>
      </w:r>
      <w:r>
        <w:t xml:space="preserve"> </w:t>
      </w:r>
      <w:r>
        <w:t xml:space="preserve">“If … then…”</w:t>
      </w:r>
      <w:r>
        <w:t xml:space="preserve"> </w:t>
      </w:r>
      <w:r>
        <w:t xml:space="preserve">reasoning over ways things may play out</w:t>
      </w:r>
      <w:r>
        <w:br/>
      </w:r>
      <w:r>
        <w:t xml:space="preserve">Forecasting Policy Impacts: Qualitative &amp; quantitative evaluation of expected outcomes</w:t>
      </w:r>
    </w:p>
    <w:bookmarkEnd w:id="37"/>
    <w:bookmarkEnd w:id="38"/>
    <w:bookmarkStart w:id="39" w:name="significance-of-the-research"/>
    <w:p>
      <w:pPr>
        <w:pStyle w:val="Heading3"/>
      </w:pPr>
      <w:r>
        <w:t xml:space="preserve">1.10.2 Significance of the Research</w:t>
      </w:r>
    </w:p>
    <w:bookmarkEnd w:id="39"/>
    <w:bookmarkEnd w:id="40"/>
    <w:bookmarkStart w:id="45" w:name="X86f631b0c48c805fb2392739377ba9bf4bde9e0"/>
    <w:p>
      <w:pPr>
        <w:pStyle w:val="Heading2"/>
      </w:pPr>
      <w:r>
        <w:t xml:space="preserve">1.11 Theory of Change — Approach &amp; Structure of the Paper</w:t>
      </w:r>
    </w:p>
    <w:p>
      <w:pPr>
        <w:pStyle w:val="FirstParagraph"/>
      </w:pPr>
      <w:r>
        <w:t xml:space="preserve">Multiplicative Benefits:</w:t>
      </w:r>
    </w:p>
    <w:p>
      <w:pPr>
        <w:pStyle w:val="Compact"/>
        <w:numPr>
          <w:ilvl w:val="0"/>
          <w:numId w:val="1011"/>
        </w:numPr>
      </w:pPr>
      <w:r>
        <w:t xml:space="preserve">Automation × Live Prediction Market Integrations × Policy Impact Evaluations</w:t>
      </w:r>
    </w:p>
    <w:p>
      <w:pPr>
        <w:pStyle w:val="FirstParagraph"/>
      </w:pPr>
      <w:r>
        <w:t xml:space="preserve">Explanation:</w:t>
      </w:r>
      <w:r>
        <w:br/>
      </w:r>
      <w:r>
        <w:t xml:space="preserve">Automation:</w:t>
      </w:r>
    </w:p>
    <w:p>
      <w:pPr>
        <w:numPr>
          <w:ilvl w:val="0"/>
          <w:numId w:val="1012"/>
        </w:numPr>
      </w:pPr>
      <w:r>
        <w:t xml:space="preserve">Increases efficiency and scalability of risk modeling.</w:t>
      </w:r>
    </w:p>
    <w:p>
      <w:pPr>
        <w:numPr>
          <w:ilvl w:val="0"/>
          <w:numId w:val="1000"/>
        </w:numPr>
      </w:pPr>
      <w:r>
        <w:t xml:space="preserve">Live Prediction Markets:</w:t>
      </w:r>
    </w:p>
    <w:p>
      <w:pPr>
        <w:numPr>
          <w:ilvl w:val="0"/>
          <w:numId w:val="1012"/>
        </w:numPr>
      </w:pPr>
      <w:r>
        <w:t xml:space="preserve">Provides up-to-date, collective intelligence to inform models.</w:t>
      </w:r>
    </w:p>
    <w:p>
      <w:pPr>
        <w:numPr>
          <w:ilvl w:val="0"/>
          <w:numId w:val="1000"/>
        </w:numPr>
      </w:pPr>
      <w:r>
        <w:t xml:space="preserve">Policy Impact Evaluations:</w:t>
      </w:r>
    </w:p>
    <w:p>
      <w:pPr>
        <w:numPr>
          <w:ilvl w:val="0"/>
          <w:numId w:val="1012"/>
        </w:numPr>
      </w:pPr>
      <w:r>
        <w:t xml:space="preserve">Improves the accuracy and relevance of policy assessments.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13"/>
        </w:numPr>
      </w:pPr>
      <w:r>
        <w:t xml:space="preserve">Enhanced ability to develop effective policies that mitigate AI risks.</w:t>
      </w:r>
    </w:p>
    <w:p>
      <w:pPr>
        <w:pStyle w:val="FirstParagraph"/>
      </w:pPr>
      <w:r>
        <w:t xml:space="preserve">Visual Aid:</w:t>
      </w:r>
    </w:p>
    <w:p>
      <w:pPr>
        <w:pStyle w:val="Compact"/>
        <w:numPr>
          <w:ilvl w:val="0"/>
          <w:numId w:val="1014"/>
        </w:numPr>
      </w:pPr>
      <w:r>
        <w:t xml:space="preserve">A diagram illustrating how each component amplifies the others, leading to greater overall impact.</w:t>
      </w:r>
    </w:p>
    <w:bookmarkStart w:id="41" w:name="the-coordination-crisis-in-ai-governance"/>
    <w:p>
      <w:pPr>
        <w:pStyle w:val="Heading3"/>
      </w:pPr>
      <w:r>
        <w:t xml:space="preserve">1.11.1 The Coordination Crisis in AI Governance</w:t>
      </w:r>
    </w:p>
    <w:bookmarkEnd w:id="41"/>
    <w:bookmarkStart w:id="42" w:name="research-question-and-scope"/>
    <w:p>
      <w:pPr>
        <w:pStyle w:val="Heading3"/>
      </w:pPr>
      <w:r>
        <w:t xml:space="preserve">1.11.2 1.2 Research Question and Scope</w:t>
      </w:r>
    </w:p>
    <w:bookmarkEnd w:id="42"/>
    <w:bookmarkStart w:id="43" w:name="the-multiplicative-benefits-framework"/>
    <w:p>
      <w:pPr>
        <w:pStyle w:val="Heading3"/>
      </w:pPr>
      <w:r>
        <w:t xml:space="preserve">1.11.3 1.3 The Multiplicative Benefits Framework</w:t>
      </w:r>
    </w:p>
    <w:bookmarkEnd w:id="43"/>
    <w:bookmarkStart w:id="44" w:name="from-theory-to-practice-a-roadmap"/>
    <w:p>
      <w:pPr>
        <w:pStyle w:val="Heading3"/>
      </w:pPr>
      <w:r>
        <w:t xml:space="preserve">1.11.4 1.4 From Theory to Practice: A Roadmap</w:t>
      </w:r>
    </w:p>
    <w:bookmarkEnd w:id="44"/>
    <w:bookmarkEnd w:id="45"/>
    <w:bookmarkStart w:id="46" w:name="overview-table-of-contents"/>
    <w:p>
      <w:pPr>
        <w:pStyle w:val="Heading2"/>
      </w:pPr>
      <w:r>
        <w:t xml:space="preserve">1.12 Overview / Table of Contents</w:t>
      </w:r>
    </w:p>
    <w:bookmarkEnd w:id="46"/>
    <w:bookmarkEnd w:id="47"/>
    <w:bookmarkStart w:id="80" w:name="context"/>
    <w:p>
      <w:pPr>
        <w:pStyle w:val="Heading1"/>
      </w:pPr>
      <w:r>
        <w:t xml:space="preserve">2. Context</w:t>
      </w:r>
    </w:p>
    <w:p>
      <w:pPr>
        <w:pStyle w:val="SourceCode"/>
      </w:pPr>
      <w:r>
        <w:rPr>
          <w:rStyle w:val="VerbatimChar"/>
        </w:rPr>
        <w:t xml:space="preserve">### 20% of Grade: {.unnumbered .unlisted}</w:t>
      </w:r>
      <w:r>
        <w:br/>
      </w:r>
      <w:r>
        <w:br/>
      </w:r>
      <w:r>
        <w:rPr>
          <w:rStyle w:val="VerbatimChar"/>
        </w:rPr>
        <w:t xml:space="preserve">- demonstrates understanding of all relevant core concepts</w:t>
      </w:r>
      <w:r>
        <w:br/>
      </w:r>
      <w:r>
        <w:br/>
      </w:r>
      <w:r>
        <w:rPr>
          <w:rStyle w:val="VerbatimChar"/>
        </w:rPr>
        <w:t xml:space="preserve">- explains why the question/thesis/problem is relevant in student’s own words (supported by quotations)</w:t>
      </w:r>
      <w:r>
        <w:br/>
      </w:r>
      <w:r>
        <w:br/>
      </w:r>
      <w:r>
        <w:rPr>
          <w:rStyle w:val="VerbatimChar"/>
        </w:rPr>
        <w:t xml:space="preserve">- situates it within the debate/course material</w:t>
      </w:r>
      <w:r>
        <w:br/>
      </w:r>
      <w:r>
        <w:br/>
      </w:r>
      <w:r>
        <w:rPr>
          <w:rStyle w:val="VerbatimChar"/>
        </w:rPr>
        <w:t xml:space="preserve">- reconstructs selected arguments and identifies relevant assumptions</w:t>
      </w:r>
      <w:r>
        <w:br/>
      </w:r>
      <w:r>
        <w:br/>
      </w:r>
      <w:r>
        <w:rPr>
          <w:rStyle w:val="VerbatimChar"/>
        </w:rPr>
        <w:t xml:space="preserve">- describes additional relevant material that has been consulted and integrates it with the course material as well as the research question/thesis/problem</w:t>
      </w:r>
      <w:r>
        <w:br/>
      </w:r>
      <w:r>
        <w:br/>
      </w:r>
      <w:r>
        <w:rPr>
          <w:rStyle w:val="VerbatimChar"/>
        </w:rPr>
        <w:t xml:space="preserve">~ 29% of text ~ 8700 words</w:t>
      </w:r>
    </w:p>
    <w:p>
      <w:pPr>
        <w:pStyle w:val="Compact"/>
        <w:numPr>
          <w:ilvl w:val="0"/>
          <w:numId w:val="1015"/>
        </w:numPr>
      </w:pPr>
      <w:r>
        <w:t xml:space="preserve">successively (chunk my chunk) introduce concepts/ideas —</w:t>
      </w:r>
      <w:r>
        <w:t xml:space="preserve"> </w:t>
      </w:r>
      <w:r>
        <w:t xml:space="preserve">and 2. ground each with existing literature</w:t>
      </w:r>
    </w:p>
    <w:bookmarkStart w:id="48" w:name="background-considerations"/>
    <w:p>
      <w:pPr>
        <w:pStyle w:val="Heading2"/>
      </w:pPr>
      <w:r>
        <w:t xml:space="preserve">2.1 Background Considerations</w:t>
      </w:r>
    </w:p>
    <w:bookmarkEnd w:id="48"/>
    <w:bookmarkStart w:id="52" w:name="literature-concepts-terminology"/>
    <w:p>
      <w:pPr>
        <w:pStyle w:val="Heading2"/>
      </w:pPr>
      <w:r>
        <w:t xml:space="preserve">2.2 Literature, Concepts &amp; Terminology</w:t>
      </w:r>
    </w:p>
    <w:bookmarkStart w:id="49" w:name="dag-bayesnets"/>
    <w:p>
      <w:pPr>
        <w:pStyle w:val="Heading3"/>
      </w:pPr>
      <w:r>
        <w:t xml:space="preserve">2.2.1 DAG / BayesNets</w:t>
      </w:r>
    </w:p>
    <w:bookmarkEnd w:id="49"/>
    <w:bookmarkStart w:id="51" w:name="state-of-the-art-mtair-explanation"/>
    <w:p>
      <w:pPr>
        <w:pStyle w:val="Heading3"/>
      </w:pPr>
      <w:r>
        <w:t xml:space="preserve">2.2.2 State of the art (MTAIR) — Explanation</w:t>
      </w:r>
    </w:p>
    <w:bookmarkStart w:id="50" w:name="carlsmith-model-analytica"/>
    <w:p>
      <w:pPr>
        <w:pStyle w:val="Heading4"/>
      </w:pPr>
      <w:r>
        <w:t xml:space="preserve">2.2.2.1 Carlsmith Model (Analytica)</w:t>
      </w:r>
    </w:p>
    <w:bookmarkEnd w:id="50"/>
    <w:bookmarkEnd w:id="51"/>
    <w:bookmarkEnd w:id="52"/>
    <w:bookmarkStart w:id="60" w:name="theoretical-foundations"/>
    <w:p>
      <w:pPr>
        <w:pStyle w:val="Heading2"/>
      </w:pPr>
      <w:r>
        <w:t xml:space="preserve">2.3 Theoretical Foundations</w:t>
      </w:r>
    </w:p>
    <w:bookmarkStart w:id="53" w:name="ai-existential-risk-the-carlsmith-model"/>
    <w:p>
      <w:pPr>
        <w:pStyle w:val="Heading3"/>
      </w:pPr>
      <w:r>
        <w:t xml:space="preserve">2.3.1</w:t>
      </w:r>
      <w:r>
        <w:t xml:space="preserve"> </w:t>
      </w:r>
      <w:r>
        <w:rPr>
          <w:b/>
          <w:bCs/>
        </w:rPr>
        <w:t xml:space="preserve">AI Existential Risk: The Carlsmith Model</w:t>
      </w:r>
    </w:p>
    <w:bookmarkEnd w:id="53"/>
    <w:bookmarkStart w:id="54" w:name="X91a49f00b00256855b1912b70029b9b6b7b2857"/>
    <w:p>
      <w:pPr>
        <w:pStyle w:val="Heading3"/>
      </w:pPr>
      <w:r>
        <w:t xml:space="preserve">2.3.2</w:t>
      </w:r>
      <w:r>
        <w:t xml:space="preserve"> </w:t>
      </w:r>
      <w:r>
        <w:rPr>
          <w:b/>
          <w:bCs/>
        </w:rPr>
        <w:t xml:space="preserve">The Epistemic Challenge of Policy Evaluation</w:t>
      </w:r>
    </w:p>
    <w:bookmarkEnd w:id="54"/>
    <w:bookmarkStart w:id="55" w:name="Xf9873595ae72059ab1876785ea560ce11cc3997"/>
    <w:p>
      <w:pPr>
        <w:pStyle w:val="Heading3"/>
      </w:pPr>
      <w:r>
        <w:t xml:space="preserve">2.3.3</w:t>
      </w:r>
      <w:r>
        <w:t xml:space="preserve"> </w:t>
      </w:r>
      <w:r>
        <w:rPr>
          <w:b/>
          <w:bCs/>
        </w:rPr>
        <w:t xml:space="preserve">Argument Mapping and Formal Representations</w:t>
      </w:r>
    </w:p>
    <w:bookmarkEnd w:id="55"/>
    <w:bookmarkStart w:id="56" w:name="X9500d12fd1e4ca78dcbd8924f15d0d3e5307aac"/>
    <w:p>
      <w:pPr>
        <w:pStyle w:val="Heading3"/>
      </w:pPr>
      <w:r>
        <w:t xml:space="preserve">2.3.4</w:t>
      </w:r>
      <w:r>
        <w:t xml:space="preserve"> </w:t>
      </w:r>
      <w:r>
        <w:rPr>
          <w:b/>
          <w:bCs/>
        </w:rPr>
        <w:t xml:space="preserve">Bayesian Networks as Knowledge Representation</w:t>
      </w:r>
    </w:p>
    <w:bookmarkEnd w:id="56"/>
    <w:bookmarkStart w:id="57" w:name="Xe635a40d8ac5d30cc40227ab9425172fe1dc5dd"/>
    <w:p>
      <w:pPr>
        <w:pStyle w:val="Heading3"/>
      </w:pPr>
      <w:r>
        <w:t xml:space="preserve">2.3.5</w:t>
      </w:r>
      <w:r>
        <w:t xml:space="preserve"> </w:t>
      </w:r>
      <w:r>
        <w:rPr>
          <w:b/>
          <w:bCs/>
        </w:rPr>
        <w:t xml:space="preserve">The MTAIR Framework: Achievements and Limitations</w:t>
      </w:r>
    </w:p>
    <w:bookmarkEnd w:id="57"/>
    <w:bookmarkStart w:id="58" w:name="X5374cdac9e1327fb0afd877cf58faebc495e1b9"/>
    <w:p>
      <w:pPr>
        <w:pStyle w:val="Heading3"/>
      </w:pPr>
      <w:r>
        <w:t xml:space="preserve">2.3.6</w:t>
      </w:r>
      <w:r>
        <w:t xml:space="preserve"> </w:t>
      </w:r>
      <w:r>
        <w:rPr>
          <w:b/>
          <w:bCs/>
        </w:rPr>
        <w:t xml:space="preserve">“A Narrow Path”</w:t>
      </w:r>
      <w:r>
        <w:rPr>
          <w:b/>
          <w:bCs/>
        </w:rPr>
        <w:t xml:space="preserve">: Conditional Policy Proposals in Practice</w:t>
      </w:r>
    </w:p>
    <w:bookmarkEnd w:id="58"/>
    <w:bookmarkStart w:id="59" w:name="intro-example-rainsprinklerlawn"/>
    <w:p>
      <w:pPr>
        <w:pStyle w:val="Heading3"/>
      </w:pPr>
      <w:r>
        <w:t xml:space="preserve">2.3.7 (Intro) Example — Rain/Sprinkler/Lawn</w:t>
      </w:r>
    </w:p>
    <w:p>
      <w:pPr>
        <w:pStyle w:val="FirstParagraph"/>
      </w:pPr>
      <w:r>
        <w:t xml:space="preserve">/ Rain/Sprinkler/Lawn DAG / BayesNet — Extended Example</w:t>
      </w:r>
    </w:p>
    <w:p>
      <w:pPr>
        <w:pStyle w:val="SourceCode"/>
      </w:pPr>
      <w:r>
        <w:rPr>
          <w:rStyle w:val="VerbatimChar"/>
        </w:rPr>
        <w:t xml:space="preserve">…</w:t>
      </w:r>
    </w:p>
    <w:p>
      <w:pPr>
        <w:pStyle w:val="FirstParagraph"/>
      </w:pPr>
      <w:r>
        <w:t xml:space="preserve">Own Position/Argument: AMTAIR</w:t>
      </w:r>
      <w:r>
        <w:t xml:space="preserve"> </w:t>
      </w:r>
      <w:r>
        <w:t xml:space="preserve">…</w:t>
      </w:r>
      <w:r>
        <w:t xml:space="preserve"> </w:t>
      </w:r>
      <w:r>
        <w:t xml:space="preserve">Own Rain/Sprinkler/Lawn DAG / BayesNet Implementation</w:t>
      </w:r>
    </w:p>
    <w:bookmarkEnd w:id="59"/>
    <w:bookmarkEnd w:id="60"/>
    <w:bookmarkStart w:id="68" w:name="methodology"/>
    <w:p>
      <w:pPr>
        <w:pStyle w:val="Heading2"/>
      </w:pPr>
      <w:r>
        <w:t xml:space="preserve">2.4 Methodology</w:t>
      </w:r>
    </w:p>
    <w:bookmarkStart w:id="67" w:name="Xae2574e1d22efc897c0202b5ac519f3ce8a7115"/>
    <w:p>
      <w:pPr>
        <w:pStyle w:val="Heading3"/>
      </w:pPr>
      <w:r>
        <w:t xml:space="preserve">2.4.1 From World Models to Computational Representation</w:t>
      </w:r>
    </w:p>
    <w:bookmarkStart w:id="61" w:name="research-design-overview"/>
    <w:p>
      <w:pPr>
        <w:pStyle w:val="Heading4"/>
      </w:pPr>
      <w:r>
        <w:t xml:space="preserve">2.4.1.1 Research Design Overview</w:t>
      </w:r>
    </w:p>
    <w:bookmarkEnd w:id="61"/>
    <w:bookmarkStart w:id="62" w:name="X76f5f8eaf47596f82627e8927c0cd2faa31eae8"/>
    <w:p>
      <w:pPr>
        <w:pStyle w:val="Heading4"/>
      </w:pPr>
      <w:r>
        <w:t xml:space="preserve">2.4.1.2 Formalizing World Models from AI Safety Literature</w:t>
      </w:r>
    </w:p>
    <w:bookmarkEnd w:id="62"/>
    <w:bookmarkStart w:id="63" w:name="Xd4b65e73849db9ac382ed4318a544d75d857b46"/>
    <w:p>
      <w:pPr>
        <w:pStyle w:val="Heading4"/>
      </w:pPr>
      <w:r>
        <w:t xml:space="preserve">2.4.1.3 Directed Acyclic Graphs: Structure and Semantics</w:t>
      </w:r>
    </w:p>
    <w:bookmarkEnd w:id="63"/>
    <w:bookmarkStart w:id="64" w:name="X506a63e389a1208f09235d32273028a3ea2a1c3"/>
    <w:p>
      <w:pPr>
        <w:pStyle w:val="Heading4"/>
      </w:pPr>
      <w:r>
        <w:t xml:space="preserve">2.4.1.4 Quantification Approaches for Probabilistic Judgments</w:t>
      </w:r>
    </w:p>
    <w:bookmarkEnd w:id="64"/>
    <w:bookmarkStart w:id="65" w:name="Xb8692c9c1722daf3cfc414e3117e9b69575a3e4"/>
    <w:p>
      <w:pPr>
        <w:pStyle w:val="Heading4"/>
      </w:pPr>
      <w:r>
        <w:t xml:space="preserve">2.4.1.5 Inference Techniques for Complex Networks</w:t>
      </w:r>
    </w:p>
    <w:bookmarkEnd w:id="65"/>
    <w:bookmarkStart w:id="66" w:name="Xb71ce03e6cc498eae9f4abd64ccf44001998950"/>
    <w:p>
      <w:pPr>
        <w:pStyle w:val="Heading4"/>
      </w:pPr>
      <w:r>
        <w:t xml:space="preserve">2.4.1.6 Integration with Prediction Markets and Forecasting Platforms</w:t>
      </w:r>
    </w:p>
    <w:bookmarkEnd w:id="66"/>
    <w:bookmarkEnd w:id="67"/>
    <w:bookmarkEnd w:id="68"/>
    <w:bookmarkStart w:id="79" w:name="practical-real-world-examples"/>
    <w:p>
      <w:pPr>
        <w:pStyle w:val="Heading2"/>
      </w:pPr>
      <w:r>
        <w:t xml:space="preserve">2.5 Practical Real World Examples</w:t>
      </w:r>
    </w:p>
    <w:p>
      <w:pPr>
        <w:pStyle w:val="FirstParagraph"/>
      </w:pPr>
      <w:r>
        <w:t xml:space="preserve">MTAIR / Carlsmith Model (Analytica) — Explanation (— is motivation: should come first)</w:t>
      </w:r>
    </w:p>
    <w:bookmarkStart w:id="69" w:name="kialo"/>
    <w:p>
      <w:pPr>
        <w:pStyle w:val="Heading4"/>
      </w:pPr>
      <w:r>
        <w:t xml:space="preserve">2.5.0.1 Kialo</w:t>
      </w:r>
    </w:p>
    <w:bookmarkEnd w:id="69"/>
    <w:bookmarkStart w:id="70" w:name="rainsprinklerlawn-dag"/>
    <w:p>
      <w:pPr>
        <w:pStyle w:val="Heading4"/>
      </w:pPr>
      <w:r>
        <w:t xml:space="preserve">2.5.0.2 Rain/Sprinkler/Lawn DAG</w:t>
      </w:r>
    </w:p>
    <w:bookmarkEnd w:id="70"/>
    <w:bookmarkStart w:id="71" w:name="bayeserver"/>
    <w:p>
      <w:pPr>
        <w:pStyle w:val="Heading4"/>
      </w:pPr>
      <w:r>
        <w:t xml:space="preserve">2.5.0.3 BayeServer</w:t>
      </w:r>
    </w:p>
    <w:bookmarkEnd w:id="71"/>
    <w:bookmarkStart w:id="72" w:name="bayesnet-extended-example"/>
    <w:p>
      <w:pPr>
        <w:pStyle w:val="Heading4"/>
      </w:pPr>
      <w:r>
        <w:t xml:space="preserve">2.5.0.4 BayesNet — Extended Example</w:t>
      </w:r>
    </w:p>
    <w:bookmarkEnd w:id="72"/>
    <w:bookmarkStart w:id="78" w:name="code-documentation"/>
    <w:p>
      <w:pPr>
        <w:pStyle w:val="Heading4"/>
      </w:pPr>
      <w:r>
        <w:t xml:space="preserve">2.5.0.5 Code + documentation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7" w:name="fig-automation_pipeline"/>
          <w:p>
            <w:pPr>
              <w:pStyle w:val="Compact"/>
              <w:jc w:val="center"/>
            </w:pPr>
            <w:hyperlink r:id="rId76">
              <w:r>
                <w:drawing>
                  <wp:inline>
                    <wp:extent cx="5334000" cy="4000500"/>
                    <wp:effectExtent b="0" l="0" r="0" t="0"/>
                    <wp:docPr descr="AMTAIR Automation Pipeline from CITATION" title="" id="74" name="Picture"/>
                    <a:graphic>
                      <a:graphicData uri="http://schemas.openxmlformats.org/drawingml/2006/picture">
                        <pic:pic>
                          <pic:nvPicPr>
                            <pic:cNvPr descr="images/pipeline.png" id="75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7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000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AMTAIR Automation Pipeline from CITATION</w:t>
            </w:r>
          </w:p>
          <w:bookmarkEnd w:id="77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automation_pipeline">
        <w:r>
          <w:rPr>
            <w:rStyle w:val="Hyperlink"/>
          </w:rPr>
          <w:t xml:space="preserve">Figure 8.1</w:t>
        </w:r>
      </w:hyperlink>
      <w:r>
        <w:t xml:space="preserve">.</w:t>
      </w:r>
    </w:p>
    <w:bookmarkEnd w:id="78"/>
    <w:bookmarkEnd w:id="79"/>
    <w:bookmarkEnd w:id="80"/>
    <w:bookmarkStart w:id="96" w:name="amtair"/>
    <w:p>
      <w:pPr>
        <w:pStyle w:val="Heading1"/>
      </w:pPr>
      <w:r>
        <w:t xml:space="preserve">3. AMTAIR</w:t>
      </w:r>
    </w:p>
    <w:p>
      <w:pPr>
        <w:pStyle w:val="SourceCode"/>
      </w:pPr>
      <w:r>
        <w:rPr>
          <w:rStyle w:val="VerbatimChar"/>
        </w:rPr>
        <w:t xml:space="preserve">### 20% of Grade: ~ 29% of text ~ 8700 words</w:t>
      </w:r>
      <w:r>
        <w:br/>
      </w:r>
      <w:r>
        <w:br/>
      </w:r>
      <w:r>
        <w:rPr>
          <w:rStyle w:val="VerbatimChar"/>
        </w:rPr>
        <w:t xml:space="preserve">- provides critical or constructive evaluation of positions introduced</w:t>
      </w:r>
      <w:r>
        <w:br/>
      </w:r>
      <w:r>
        <w:rPr>
          <w:rStyle w:val="VerbatimChar"/>
        </w:rPr>
        <w:t xml:space="preserve">- develops strong (plausible) argument in support of author’s own position/thesis</w:t>
      </w:r>
      <w:r>
        <w:br/>
      </w:r>
      <w:r>
        <w:rPr>
          <w:rStyle w:val="VerbatimChar"/>
        </w:rPr>
        <w:t xml:space="preserve">- argument draws on relevant course material claim/argument</w:t>
      </w:r>
      <w:r>
        <w:br/>
      </w:r>
      <w:r>
        <w:rPr>
          <w:rStyle w:val="VerbatimChar"/>
        </w:rPr>
        <w:t xml:space="preserve">- demonstrate understanding of the course materials incl. key arguments and core concepts within the debate</w:t>
      </w:r>
      <w:r>
        <w:br/>
      </w:r>
      <w:r>
        <w:rPr>
          <w:rStyle w:val="VerbatimChar"/>
        </w:rPr>
        <w:t xml:space="preserve">- claim/argument is original or insightful, possibly even presents an original contribution to the debate </w:t>
      </w:r>
    </w:p>
    <w:bookmarkStart w:id="81" w:name="X4474ca4c03166ae0d0d8c6fe8cae4cde869a01d"/>
    <w:p>
      <w:pPr>
        <w:pStyle w:val="Heading2"/>
      </w:pPr>
      <w:r>
        <w:t xml:space="preserve">3.1 Own Carlsmith Model Implementation — Explanation</w:t>
      </w:r>
    </w:p>
    <w:bookmarkEnd w:id="81"/>
    <w:bookmarkStart w:id="82" w:name="X7d7a00322686864eebc834386ca72015f6c0afc"/>
    <w:p>
      <w:pPr>
        <w:pStyle w:val="Heading2"/>
      </w:pPr>
      <w:r>
        <w:t xml:space="preserve">3.2 Own Implementation: Good example from a published paper</w:t>
      </w:r>
    </w:p>
    <w:bookmarkEnd w:id="82"/>
    <w:bookmarkStart w:id="89" w:name="implementation"/>
    <w:p>
      <w:pPr>
        <w:pStyle w:val="Heading2"/>
      </w:pPr>
      <w:r>
        <w:t xml:space="preserve">3.3 Implementation</w:t>
      </w:r>
    </w:p>
    <w:bookmarkStart w:id="83" w:name="system-architecture-and-data-flow"/>
    <w:p>
      <w:pPr>
        <w:pStyle w:val="Heading4"/>
      </w:pPr>
      <w:r>
        <w:t xml:space="preserve">3.3.0.1 System Architecture and Data Flow</w:t>
      </w:r>
    </w:p>
    <w:bookmarkEnd w:id="83"/>
    <w:bookmarkStart w:id="84" w:name="automated-extraction-pipeline"/>
    <w:p>
      <w:pPr>
        <w:pStyle w:val="Heading4"/>
      </w:pPr>
      <w:r>
        <w:t xml:space="preserve">3.3.0.2 Automated Extraction Pipeline</w:t>
      </w:r>
    </w:p>
    <w:bookmarkEnd w:id="84"/>
    <w:bookmarkStart w:id="85" w:name="network-construction-and-visualization"/>
    <w:p>
      <w:pPr>
        <w:pStyle w:val="Heading4"/>
      </w:pPr>
      <w:r>
        <w:t xml:space="preserve">3.3.0.3 Network Construction and Visualization</w:t>
      </w:r>
    </w:p>
    <w:bookmarkEnd w:id="85"/>
    <w:bookmarkStart w:id="86" w:name="probabilistic-inference-engine"/>
    <w:p>
      <w:pPr>
        <w:pStyle w:val="Heading4"/>
      </w:pPr>
      <w:r>
        <w:t xml:space="preserve">3.3.0.4 Probabilistic Inference Engine</w:t>
      </w:r>
    </w:p>
    <w:bookmarkEnd w:id="86"/>
    <w:bookmarkStart w:id="87" w:name="prediction-market-integration-module"/>
    <w:p>
      <w:pPr>
        <w:pStyle w:val="Heading4"/>
      </w:pPr>
      <w:r>
        <w:t xml:space="preserve">3.3.0.5 Prediction Market Integration Module</w:t>
      </w:r>
    </w:p>
    <w:bookmarkEnd w:id="87"/>
    <w:bookmarkStart w:id="88" w:name="policy-evaluation-interface"/>
    <w:p>
      <w:pPr>
        <w:pStyle w:val="Heading4"/>
      </w:pPr>
      <w:r>
        <w:t xml:space="preserve">3.3.0.6 Policy Evaluation Interface</w:t>
      </w:r>
    </w:p>
    <w:bookmarkEnd w:id="88"/>
    <w:bookmarkEnd w:id="89"/>
    <w:bookmarkStart w:id="95" w:name="results-from-theory-to-application"/>
    <w:p>
      <w:pPr>
        <w:pStyle w:val="Heading2"/>
      </w:pPr>
      <w:r>
        <w:t xml:space="preserve">3.4 Results: From Theory to Application</w:t>
      </w:r>
    </w:p>
    <w:bookmarkStart w:id="90" w:name="extraction-quality-assessment"/>
    <w:p>
      <w:pPr>
        <w:pStyle w:val="Heading4"/>
      </w:pPr>
      <w:r>
        <w:t xml:space="preserve">3.4.0.1 Extraction Quality Assessment</w:t>
      </w:r>
    </w:p>
    <w:bookmarkEnd w:id="90"/>
    <w:bookmarkStart w:id="91" w:name="computational-performance-analysis"/>
    <w:p>
      <w:pPr>
        <w:pStyle w:val="Heading4"/>
      </w:pPr>
      <w:r>
        <w:t xml:space="preserve">3.4.0.2 Computational Performance Analysis</w:t>
      </w:r>
    </w:p>
    <w:bookmarkEnd w:id="91"/>
    <w:bookmarkStart w:id="92" w:name="X4848c9c04aa5f90377da03c897e3606e74a9952"/>
    <w:p>
      <w:pPr>
        <w:pStyle w:val="Heading4"/>
      </w:pPr>
      <w:r>
        <w:t xml:space="preserve">3.4.0.3 Case Study: The Carlsmith Model Formalized</w:t>
      </w:r>
    </w:p>
    <w:bookmarkEnd w:id="92"/>
    <w:bookmarkStart w:id="93" w:name="X3e235dcfec2b8a889f13219627e36b5a84d6ab9"/>
    <w:p>
      <w:pPr>
        <w:pStyle w:val="Heading4"/>
      </w:pPr>
      <w:r>
        <w:t xml:space="preserve">3.4.0.4 Comparative Analysis of AI Governance Worldviews</w:t>
      </w:r>
    </w:p>
    <w:bookmarkEnd w:id="93"/>
    <w:bookmarkStart w:id="94" w:name="X5982fd8e8ce3be7f446783739301d759512b10f"/>
    <w:p>
      <w:pPr>
        <w:pStyle w:val="Heading4"/>
      </w:pPr>
      <w:r>
        <w:t xml:space="preserve">3.4.0.5 Policy Impact Evaluation: Proof of Concept</w:t>
      </w:r>
    </w:p>
    <w:p>
      <w:pPr>
        <w:pStyle w:val="FirstParagraph"/>
      </w:pPr>
      <w:r>
        <w:t xml:space="preserve">TestText</w:t>
      </w:r>
    </w:p>
    <w:bookmarkEnd w:id="94"/>
    <w:bookmarkEnd w:id="95"/>
    <w:bookmarkEnd w:id="96"/>
    <w:bookmarkStart w:id="101" w:name="insights-findings"/>
    <w:p>
      <w:pPr>
        <w:pStyle w:val="Heading1"/>
      </w:pPr>
      <w:r>
        <w:t xml:space="preserve">4. Insights &amp; Findings</w:t>
      </w:r>
    </w:p>
    <w:bookmarkStart w:id="97" w:name="Xd0440bfa3130a04b8d0671be9625b47283030ee"/>
    <w:p>
      <w:pPr>
        <w:pStyle w:val="Heading2"/>
      </w:pPr>
      <w:r>
        <w:t xml:space="preserve">4.1 Automated Modeling Pipeline — From Academic Papers to Political Strategy</w:t>
      </w:r>
    </w:p>
    <w:p>
      <w:pPr>
        <w:pStyle w:val="SourceCode"/>
      </w:pPr>
      <w:r>
        <w:rPr>
          <w:rStyle w:val="VerbatimChar"/>
        </w:rPr>
        <w:t xml:space="preserve">Success of Automation:</w:t>
      </w:r>
    </w:p>
    <w:p>
      <w:pPr>
        <w:numPr>
          <w:ilvl w:val="0"/>
          <w:numId w:val="1016"/>
        </w:numPr>
      </w:pPr>
      <w:r>
        <w:t xml:space="preserve">Demonstrated feasibility of automated model extraction.</w:t>
      </w:r>
    </w:p>
    <w:p>
      <w:pPr>
        <w:numPr>
          <w:ilvl w:val="0"/>
          <w:numId w:val="1000"/>
        </w:numPr>
      </w:pPr>
      <w:r>
        <w:t xml:space="preserve">Improved Forecasting:</w:t>
      </w:r>
    </w:p>
    <w:p>
      <w:pPr>
        <w:numPr>
          <w:ilvl w:val="0"/>
          <w:numId w:val="1016"/>
        </w:numPr>
      </w:pPr>
      <w:r>
        <w:t xml:space="preserve">Enhanced accuracy with real-time data integration.</w:t>
      </w:r>
    </w:p>
    <w:p>
      <w:pPr>
        <w:numPr>
          <w:ilvl w:val="0"/>
          <w:numId w:val="1000"/>
        </w:numPr>
      </w:pPr>
      <w:r>
        <w:t xml:space="preserve">Policy Analysis:</w:t>
      </w:r>
    </w:p>
    <w:p>
      <w:pPr>
        <w:numPr>
          <w:ilvl w:val="0"/>
          <w:numId w:val="1016"/>
        </w:numPr>
      </w:pPr>
      <w:r>
        <w:t xml:space="preserve">Identified impactful policies through conditional forecasting.</w:t>
      </w:r>
    </w:p>
    <w:p>
      <w:pPr>
        <w:numPr>
          <w:ilvl w:val="0"/>
          <w:numId w:val="1000"/>
        </w:numPr>
      </w:pPr>
      <w:r>
        <w:t xml:space="preserve">Scalability Achieved:</w:t>
      </w:r>
    </w:p>
    <w:p>
      <w:pPr>
        <w:numPr>
          <w:ilvl w:val="0"/>
          <w:numId w:val="1016"/>
        </w:numPr>
      </w:pPr>
      <w:r>
        <w:t xml:space="preserve">Efficient processing of extensive data sets.</w:t>
      </w:r>
    </w:p>
    <w:p>
      <w:pPr>
        <w:numPr>
          <w:ilvl w:val="0"/>
          <w:numId w:val="1000"/>
        </w:numPr>
      </w:pPr>
      <w:r>
        <w:t xml:space="preserve">Addressed Challenges:</w:t>
      </w:r>
    </w:p>
    <w:p>
      <w:pPr>
        <w:numPr>
          <w:ilvl w:val="0"/>
          <w:numId w:val="1016"/>
        </w:numPr>
      </w:pPr>
      <w:r>
        <w:t xml:space="preserve">Overcame limitations of manual modeling.</w:t>
      </w:r>
    </w:p>
    <w:bookmarkEnd w:id="97"/>
    <w:bookmarkStart w:id="98" w:name="X6c08e7c14cbfa93fdca34e8b4ced8fb7abad459"/>
    <w:p>
      <w:pPr>
        <w:pStyle w:val="Heading2"/>
      </w:pPr>
      <w:r>
        <w:t xml:space="preserve">4.2 Project Scaling — Workflow Pipeline &amp; Automation</w:t>
      </w:r>
    </w:p>
    <w:p>
      <w:pPr>
        <w:pStyle w:val="FirstParagraph"/>
      </w:pPr>
      <w:r>
        <w:t xml:space="preserve">Scaling Opportunities:</w:t>
      </w:r>
    </w:p>
    <w:p>
      <w:pPr>
        <w:pStyle w:val="Compact"/>
        <w:numPr>
          <w:ilvl w:val="0"/>
          <w:numId w:val="1017"/>
        </w:numPr>
      </w:pPr>
      <w:r>
        <w:t xml:space="preserve">Horizontal: Incorporate more data sources.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Vertical: Add detailed variables.</w:t>
      </w:r>
    </w:p>
    <w:p>
      <w:pPr>
        <w:pStyle w:val="FirstParagraph"/>
      </w:pPr>
      <w:r>
        <w:t xml:space="preserve">New Capabilities:</w:t>
      </w:r>
    </w:p>
    <w:p>
      <w:pPr>
        <w:pStyle w:val="Compact"/>
        <w:numPr>
          <w:ilvl w:val="0"/>
          <w:numId w:val="1018"/>
        </w:numPr>
      </w:pPr>
      <w:r>
        <w:t xml:space="preserve">Advanced analytics.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Real-time data integration.</w:t>
      </w:r>
    </w:p>
    <w:p>
      <w:pPr>
        <w:pStyle w:val="FirstParagraph"/>
      </w:pPr>
      <w:r>
        <w:t xml:space="preserve">Requirements:</w:t>
      </w:r>
    </w:p>
    <w:p>
      <w:pPr>
        <w:pStyle w:val="Compact"/>
        <w:numPr>
          <w:ilvl w:val="0"/>
          <w:numId w:val="1019"/>
        </w:numPr>
      </w:pPr>
      <w:r>
        <w:t xml:space="preserve">Software Setup: Robust infrastructure.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Financial: Funding for APIs and compute resources.</w:t>
      </w:r>
    </w:p>
    <w:p>
      <w:pPr>
        <w:pStyle w:val="FirstParagraph"/>
      </w:pPr>
      <w:r>
        <w:t xml:space="preserve">Impact:</w:t>
      </w:r>
    </w:p>
    <w:p>
      <w:pPr>
        <w:pStyle w:val="Compact"/>
        <w:numPr>
          <w:ilvl w:val="0"/>
          <w:numId w:val="1020"/>
        </w:numPr>
      </w:pPr>
      <w:r>
        <w:t xml:space="preserve">Broader, more comprehensive models.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Enhanced policy analysis.</w:t>
      </w:r>
    </w:p>
    <w:bookmarkEnd w:id="98"/>
    <w:bookmarkStart w:id="99" w:name="X10f0d7567996062309fed4dcba2d43adbbe27fe"/>
    <w:p>
      <w:pPr>
        <w:pStyle w:val="Heading2"/>
      </w:pPr>
      <w:r>
        <w:t xml:space="preserve">4.3 Computational Complexity — Computational Tractability</w:t>
      </w:r>
    </w:p>
    <w:p>
      <w:pPr>
        <w:pStyle w:val="FirstParagraph"/>
      </w:pPr>
      <w:r>
        <w:t xml:space="preserve">Challenges:</w:t>
      </w:r>
    </w:p>
    <w:p>
      <w:pPr>
        <w:pStyle w:val="Compact"/>
        <w:numPr>
          <w:ilvl w:val="0"/>
          <w:numId w:val="1021"/>
        </w:numPr>
      </w:pPr>
      <w:r>
        <w:t xml:space="preserve">High computational demands of complex models.</w:t>
      </w:r>
    </w:p>
    <w:p>
      <w:pPr>
        <w:pStyle w:val="FirstParagraph"/>
      </w:pPr>
      <w:r>
        <w:t xml:space="preserve">Solutions:</w:t>
      </w:r>
    </w:p>
    <w:p>
      <w:pPr>
        <w:pStyle w:val="Compact"/>
        <w:numPr>
          <w:ilvl w:val="0"/>
          <w:numId w:val="1022"/>
        </w:numPr>
      </w:pPr>
      <w:r>
        <w:t xml:space="preserve">Clustering Worldviews: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Group similar perspectives to simplify models.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Correlation Management: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Adjust for variable interdependencies.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Efficient Algorithms:</w:t>
      </w:r>
      <w:r>
        <w:br/>
      </w:r>
      <w:r>
        <w:t xml:space="preserve">Use optimized sampling methods like Monte Carlo.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23"/>
        </w:numPr>
      </w:pPr>
      <w:r>
        <w:t xml:space="preserve">Achieved efficiency without sacrificing accuracy.</w:t>
      </w:r>
    </w:p>
    <w:p>
      <w:pPr>
        <w:pStyle w:val="FirstParagraph"/>
      </w:pPr>
      <w:r>
        <w:t xml:space="preserve">Link to Theory of Change:</w:t>
      </w:r>
    </w:p>
    <w:p>
      <w:pPr>
        <w:pStyle w:val="Compact"/>
        <w:numPr>
          <w:ilvl w:val="0"/>
          <w:numId w:val="1024"/>
        </w:numPr>
      </w:pPr>
      <w:r>
        <w:t xml:space="preserve">Scalability amplifies policy impact.</w:t>
      </w:r>
    </w:p>
    <w:bookmarkEnd w:id="99"/>
    <w:bookmarkStart w:id="100" w:name="X8e9f69c7e7cd2273c313b9519372365cac75370"/>
    <w:p>
      <w:pPr>
        <w:pStyle w:val="Heading2"/>
      </w:pPr>
      <w:r>
        <w:t xml:space="preserve">4.4 External Validation — Manual Extraction &amp; Processing</w:t>
      </w:r>
    </w:p>
    <w:p>
      <w:pPr>
        <w:pStyle w:val="SourceCode"/>
      </w:pPr>
      <w:r>
        <w:rPr>
          <w:rStyle w:val="VerbatimChar"/>
        </w:rPr>
        <w:t xml:space="preserve">Purpose:</w:t>
      </w:r>
    </w:p>
    <w:p>
      <w:pPr>
        <w:numPr>
          <w:ilvl w:val="0"/>
          <w:numId w:val="1025"/>
        </w:numPr>
      </w:pPr>
      <w:r>
        <w:t xml:space="preserve">Assess accuracy of automated methods.</w:t>
      </w:r>
    </w:p>
    <w:p>
      <w:pPr>
        <w:numPr>
          <w:ilvl w:val="0"/>
          <w:numId w:val="1000"/>
        </w:numPr>
      </w:pPr>
      <w:r>
        <w:t xml:space="preserve">Comparison:</w:t>
      </w:r>
    </w:p>
    <w:p>
      <w:pPr>
        <w:numPr>
          <w:ilvl w:val="0"/>
          <w:numId w:val="1025"/>
        </w:numPr>
      </w:pPr>
      <w:r>
        <w:t xml:space="preserve">Automation Strengths:</w:t>
      </w:r>
      <w:r>
        <w:br/>
      </w:r>
    </w:p>
    <w:p>
      <w:pPr>
        <w:numPr>
          <w:ilvl w:val="0"/>
          <w:numId w:val="1025"/>
        </w:numPr>
      </w:pPr>
      <w:r>
        <w:t xml:space="preserve">Speed, consistency.</w:t>
      </w:r>
      <w:r>
        <w:br/>
      </w:r>
    </w:p>
    <w:p>
      <w:pPr>
        <w:numPr>
          <w:ilvl w:val="0"/>
          <w:numId w:val="1025"/>
        </w:numPr>
      </w:pPr>
      <w:r>
        <w:t xml:space="preserve">Human Strengths:</w:t>
      </w:r>
      <w:r>
        <w:br/>
      </w:r>
    </w:p>
    <w:p>
      <w:pPr>
        <w:numPr>
          <w:ilvl w:val="0"/>
          <w:numId w:val="1025"/>
        </w:numPr>
      </w:pPr>
      <w:r>
        <w:t xml:space="preserve">Nuanced understanding.</w:t>
      </w:r>
    </w:p>
    <w:p>
      <w:pPr>
        <w:numPr>
          <w:ilvl w:val="0"/>
          <w:numId w:val="1000"/>
        </w:numPr>
      </w:pPr>
      <w:r>
        <w:t xml:space="preserve">Findings:</w:t>
      </w:r>
    </w:p>
    <w:p>
      <w:pPr>
        <w:numPr>
          <w:ilvl w:val="0"/>
          <w:numId w:val="1025"/>
        </w:numPr>
      </w:pPr>
      <w:r>
        <w:t xml:space="preserve">Automation excels in data handling.</w:t>
      </w:r>
      <w:r>
        <w:br/>
      </w:r>
    </w:p>
    <w:p>
      <w:pPr>
        <w:numPr>
          <w:ilvl w:val="0"/>
          <w:numId w:val="1025"/>
        </w:numPr>
      </w:pPr>
      <w:r>
        <w:t xml:space="preserve">Human oversight enhances quality.</w:t>
      </w:r>
    </w:p>
    <w:p>
      <w:pPr>
        <w:numPr>
          <w:ilvl w:val="0"/>
          <w:numId w:val="1000"/>
        </w:numPr>
      </w:pPr>
      <w:r>
        <w:t xml:space="preserve">Conclusion:</w:t>
      </w:r>
    </w:p>
    <w:p>
      <w:pPr>
        <w:numPr>
          <w:ilvl w:val="0"/>
          <w:numId w:val="1025"/>
        </w:numPr>
      </w:pPr>
      <w:r>
        <w:t xml:space="preserve">Optimal results from combining AI with expert input.</w:t>
      </w:r>
    </w:p>
    <w:bookmarkEnd w:id="100"/>
    <w:bookmarkEnd w:id="101"/>
    <w:bookmarkStart w:id="102" w:name="discussion"/>
    <w:p>
      <w:pPr>
        <w:pStyle w:val="Heading1"/>
      </w:pPr>
      <w:r>
        <w:t xml:space="preserve">5. Discussion</w:t>
      </w:r>
    </w:p>
    <w:p>
      <w:pPr>
        <w:pStyle w:val="SourceCode"/>
      </w:pPr>
      <w:r>
        <w:rPr>
          <w:rStyle w:val="VerbatimChar"/>
        </w:rPr>
        <w:t xml:space="preserve">10% of Grade: ~ 14% of text ~ 4200 words</w:t>
      </w:r>
      <w:r>
        <w:br/>
      </w:r>
      <w:r>
        <w:br/>
      </w:r>
      <w:r>
        <w:rPr>
          <w:rStyle w:val="VerbatimChar"/>
        </w:rPr>
        <w:t xml:space="preserve">- discusses a specific objection to student’s own argument</w:t>
      </w:r>
      <w:r>
        <w:br/>
      </w:r>
      <w:r>
        <w:rPr>
          <w:rStyle w:val="VerbatimChar"/>
        </w:rPr>
        <w:t xml:space="preserve">- provides a convincing reply that bolsters or refines the main argument</w:t>
      </w:r>
      <w:r>
        <w:br/>
      </w:r>
      <w:r>
        <w:rPr>
          <w:rStyle w:val="VerbatimChar"/>
        </w:rPr>
        <w:t xml:space="preserve">- relates to or extends beyond materials/arguments covered in class</w:t>
      </w:r>
    </w:p>
    <w:bookmarkEnd w:id="102"/>
    <w:bookmarkStart w:id="112" w:name="X32aa1829f76cc2f301780ef8f58293a80a67ec6"/>
    <w:p>
      <w:pPr>
        <w:pStyle w:val="Heading1"/>
      </w:pPr>
      <w:r>
        <w:t xml:space="preserve">6. Discussion — Exchange, Controversy &amp; Influence</w:t>
      </w:r>
    </w:p>
    <w:bookmarkStart w:id="103" w:name="Xe42ce03ca559125ab185bcfe32501244181625d"/>
    <w:p>
      <w:pPr>
        <w:pStyle w:val="Heading2"/>
      </w:pPr>
      <w:r>
        <w:t xml:space="preserve">6.1 Challenges &amp; Problems — Red Teaming Problems, Failures &amp; Downsides</w:t>
      </w:r>
    </w:p>
    <w:p>
      <w:pPr>
        <w:pStyle w:val="SourceCode"/>
      </w:pPr>
      <w:r>
        <w:rPr>
          <w:rStyle w:val="VerbatimChar"/>
        </w:rPr>
        <w:t xml:space="preserve">Potential Failures:</w:t>
      </w:r>
    </w:p>
    <w:p>
      <w:pPr>
        <w:numPr>
          <w:ilvl w:val="0"/>
          <w:numId w:val="1026"/>
        </w:numPr>
      </w:pPr>
      <w:r>
        <w:t xml:space="preserve">Data Issues: Inaccurate or biased inputs.</w:t>
      </w:r>
      <w:r>
        <w:br/>
      </w:r>
    </w:p>
    <w:p>
      <w:pPr>
        <w:numPr>
          <w:ilvl w:val="0"/>
          <w:numId w:val="1026"/>
        </w:numPr>
      </w:pPr>
      <w:r>
        <w:t xml:space="preserve">Model Limitations: Oversimplifications.</w:t>
      </w:r>
      <w:r>
        <w:br/>
      </w:r>
    </w:p>
    <w:p>
      <w:pPr>
        <w:numPr>
          <w:ilvl w:val="0"/>
          <w:numId w:val="1026"/>
        </w:numPr>
      </w:pPr>
      <w:r>
        <w:t xml:space="preserve">Tech Risks: AI misinterpretations.</w:t>
      </w:r>
    </w:p>
    <w:p>
      <w:pPr>
        <w:numPr>
          <w:ilvl w:val="0"/>
          <w:numId w:val="1000"/>
        </w:numPr>
      </w:pPr>
      <w:r>
        <w:t xml:space="preserve">Red Teaming:</w:t>
      </w:r>
    </w:p>
    <w:p>
      <w:pPr>
        <w:numPr>
          <w:ilvl w:val="0"/>
          <w:numId w:val="1026"/>
        </w:numPr>
      </w:pPr>
      <w:r>
        <w:t xml:space="preserve">Stress-testing models to find weaknesses.</w:t>
      </w:r>
    </w:p>
    <w:p>
      <w:pPr>
        <w:numPr>
          <w:ilvl w:val="0"/>
          <w:numId w:val="1000"/>
        </w:numPr>
      </w:pPr>
      <w:r>
        <w:t xml:space="preserve">Impact on Theory of Change:</w:t>
      </w:r>
    </w:p>
    <w:p>
      <w:pPr>
        <w:numPr>
          <w:ilvl w:val="0"/>
          <w:numId w:val="1026"/>
        </w:numPr>
      </w:pPr>
      <w:r>
        <w:t xml:space="preserve">Identifying points of failure strengthens the approach.</w:t>
      </w:r>
    </w:p>
    <w:bookmarkEnd w:id="103"/>
    <w:bookmarkStart w:id="104" w:name="Xe64c1dcc7b3f000d5df56db06501d9dc8da106c"/>
    <w:p>
      <w:pPr>
        <w:pStyle w:val="Heading2"/>
      </w:pPr>
      <w:r>
        <w:t xml:space="preserve">6.2 Implications &amp; Impact — Uptake, Feedback Loops, Uptake &amp; Success – Green Teaming –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27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27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27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27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27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27"/>
        </w:numPr>
      </w:pPr>
      <w:r>
        <w:t xml:space="preserve">Strategies to maximize positive impacts.</w:t>
      </w:r>
    </w:p>
    <w:bookmarkEnd w:id="104"/>
    <w:bookmarkStart w:id="105" w:name="X107cdab9b339586716b7b2d5ff16ce47da43b67"/>
    <w:p>
      <w:pPr>
        <w:pStyle w:val="Heading2"/>
      </w:pPr>
      <w:r>
        <w:t xml:space="preserve">6.3 Known Unknowns &amp; Unknown Unknowns — Input Data Example: Modeling Author Worldviews from Bibliographies Instead of Individual Papers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28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28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28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28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28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28"/>
        </w:numPr>
      </w:pPr>
      <w:r>
        <w:t xml:space="preserve">Strategies to maximize positive impacts.</w:t>
      </w:r>
    </w:p>
    <w:bookmarkEnd w:id="105"/>
    <w:bookmarkStart w:id="111" w:name="discussion-implications-and-limitations"/>
    <w:p>
      <w:pPr>
        <w:pStyle w:val="Heading2"/>
      </w:pPr>
      <w:r>
        <w:t xml:space="preserve">6.4 Discussion: Implications and Limitations</w:t>
      </w:r>
    </w:p>
    <w:bookmarkStart w:id="106" w:name="Xb9522146ea4077bc40d09d49bc7ceeca1b1cbee"/>
    <w:p>
      <w:pPr>
        <w:pStyle w:val="Heading4"/>
      </w:pPr>
      <w:r>
        <w:t xml:space="preserve">6.4.0.1 Red-Teaming Results: Identifying Failure Modes</w:t>
      </w:r>
    </w:p>
    <w:bookmarkEnd w:id="106"/>
    <w:bookmarkStart w:id="107" w:name="X2f2b6711a377e9b29dd2bb960baaaaadbf93f20"/>
    <w:p>
      <w:pPr>
        <w:pStyle w:val="Heading4"/>
      </w:pPr>
      <w:r>
        <w:t xml:space="preserve">6.4.0.2 Enhancing Epistemic Security in AI Governance</w:t>
      </w:r>
    </w:p>
    <w:bookmarkEnd w:id="107"/>
    <w:bookmarkStart w:id="108" w:name="scaling-challenges-and-opportunities"/>
    <w:p>
      <w:pPr>
        <w:pStyle w:val="Heading4"/>
      </w:pPr>
      <w:r>
        <w:t xml:space="preserve">6.4.0.3 Scaling Challenges and Opportunities</w:t>
      </w:r>
    </w:p>
    <w:bookmarkEnd w:id="108"/>
    <w:bookmarkStart w:id="109" w:name="X98eb0be095cf4b48b7eae6d8167365ff895dd98"/>
    <w:p>
      <w:pPr>
        <w:pStyle w:val="Heading4"/>
      </w:pPr>
      <w:r>
        <w:t xml:space="preserve">6.4.0.4 Integration with Existing Governance Frameworks</w:t>
      </w:r>
    </w:p>
    <w:bookmarkEnd w:id="109"/>
    <w:bookmarkStart w:id="110" w:name="known-unknowns-and-deep-uncertainties"/>
    <w:p>
      <w:pPr>
        <w:pStyle w:val="Heading4"/>
      </w:pPr>
      <w:r>
        <w:t xml:space="preserve">6.4.0.5 Known Unknowns and Deep Uncertainties</w:t>
      </w:r>
    </w:p>
    <w:bookmarkEnd w:id="110"/>
    <w:bookmarkEnd w:id="111"/>
    <w:bookmarkEnd w:id="112"/>
    <w:bookmarkStart w:id="137" w:name="conclusion"/>
    <w:p>
      <w:pPr>
        <w:pStyle w:val="Heading1"/>
      </w:pPr>
      <w:r>
        <w:t xml:space="preserve">7. Conclusion</w:t>
      </w:r>
    </w:p>
    <w:bookmarkStart w:id="113" w:name="Xa6fe62c28c803bdb6234bd75bfc9a98074ecb24"/>
    <w:p>
      <w:pPr>
        <w:pStyle w:val="Heading2"/>
      </w:pPr>
      <w:r>
        <w:t xml:space="preserve">7.1 The Current State of Things &amp; How to Continue</w:t>
      </w:r>
    </w:p>
    <w:p>
      <w:pPr>
        <w:pStyle w:val="SourceCode"/>
      </w:pPr>
      <w:r>
        <w:rPr>
          <w:rStyle w:val="VerbatimChar"/>
        </w:rPr>
        <w:t xml:space="preserve">10% of Grade: ~ 14% of text ~ 4200 words</w:t>
      </w:r>
      <w:r>
        <w:br/>
      </w:r>
      <w:r>
        <w:br/>
      </w:r>
      <w:r>
        <w:rPr>
          <w:rStyle w:val="VerbatimChar"/>
        </w:rPr>
        <w:t xml:space="preserve">- summarizes thesis and line of argument </w:t>
      </w:r>
      <w:r>
        <w:br/>
      </w:r>
      <w:r>
        <w:rPr>
          <w:rStyle w:val="VerbatimChar"/>
        </w:rPr>
        <w:t xml:space="preserve">- outlines possible implications</w:t>
      </w:r>
      <w:r>
        <w:br/>
      </w:r>
      <w:r>
        <w:rPr>
          <w:rStyle w:val="VerbatimChar"/>
        </w:rPr>
        <w:t xml:space="preserve">- notes outstanding issues / limitations of discussion</w:t>
      </w:r>
      <w:r>
        <w:br/>
      </w:r>
      <w:r>
        <w:rPr>
          <w:rStyle w:val="VerbatimChar"/>
        </w:rPr>
        <w:t xml:space="preserve">- points to avenues for further research</w:t>
      </w:r>
      <w:r>
        <w:br/>
      </w:r>
      <w:r>
        <w:rPr>
          <w:rStyle w:val="VerbatimChar"/>
        </w:rPr>
        <w:t xml:space="preserve">- overall conclusion is in line with introduction</w:t>
      </w:r>
    </w:p>
    <w:bookmarkEnd w:id="113"/>
    <w:bookmarkStart w:id="118" w:name="summary-key-takeaways-findings"/>
    <w:p>
      <w:pPr>
        <w:pStyle w:val="Heading2"/>
      </w:pPr>
      <w:r>
        <w:t xml:space="preserve">7.2 Summary — Key Takeaways &amp; Findings</w:t>
      </w:r>
    </w:p>
    <w:bookmarkStart w:id="114" w:name="assessing-policy-effects"/>
    <w:p>
      <w:pPr>
        <w:pStyle w:val="Heading3"/>
      </w:pPr>
      <w:r>
        <w:t xml:space="preserve">7.2.1 Assessing Policy Effects:</w:t>
      </w:r>
    </w:p>
    <w:p>
      <w:pPr>
        <w:pStyle w:val="FirstParagraph"/>
      </w:pPr>
      <w:r>
        <w:t xml:space="preserve">Evaluating how different policies alter P(Doom).</w:t>
      </w:r>
    </w:p>
    <w:bookmarkEnd w:id="114"/>
    <w:bookmarkStart w:id="115" w:name="conditional-probability"/>
    <w:p>
      <w:pPr>
        <w:pStyle w:val="Heading3"/>
      </w:pPr>
      <w:r>
        <w:t xml:space="preserve">7.2.2 Conditional Probability:</w:t>
      </w:r>
    </w:p>
    <w:p>
      <w:pPr>
        <w:pStyle w:val="FirstParagraph"/>
      </w:pPr>
      <w:r>
        <w:t xml:space="preserve">Calculating P(Doom | Policy Alpha).</w:t>
      </w:r>
    </w:p>
    <w:bookmarkEnd w:id="115"/>
    <w:bookmarkStart w:id="116" w:name="methodology-1"/>
    <w:p>
      <w:pPr>
        <w:pStyle w:val="Heading3"/>
      </w:pPr>
      <w:r>
        <w:t xml:space="preserve">7.2.3 Methodology:</w:t>
      </w:r>
    </w:p>
    <w:p>
      <w:pPr>
        <w:pStyle w:val="FirstParagraph"/>
      </w:pPr>
      <w:r>
        <w:t xml:space="preserve">Update model parameters based on policy implementation.</w:t>
      </w:r>
    </w:p>
    <w:p>
      <w:pPr>
        <w:pStyle w:val="BodyText"/>
      </w:pPr>
      <w:r>
        <w:t xml:space="preserve">Recompute probabilities accordingly.</w:t>
      </w:r>
    </w:p>
    <w:bookmarkEnd w:id="116"/>
    <w:bookmarkStart w:id="117" w:name="purpose"/>
    <w:p>
      <w:pPr>
        <w:pStyle w:val="Heading3"/>
      </w:pPr>
      <w:r>
        <w:t xml:space="preserve">7.2.4 Purpose:</w:t>
      </w:r>
    </w:p>
    <w:p>
      <w:pPr>
        <w:pStyle w:val="FirstParagraph"/>
      </w:pPr>
      <w:r>
        <w:t xml:space="preserve">Inform policymakers of potential policy effectiveness.</w:t>
      </w:r>
    </w:p>
    <w:p>
      <w:pPr>
        <w:pStyle w:val="BodyText"/>
      </w:pPr>
      <w:r>
        <w:t xml:space="preserve">Prioritize interventions that significantly reduce risks.</w:t>
      </w:r>
    </w:p>
    <w:bookmarkEnd w:id="117"/>
    <w:bookmarkEnd w:id="118"/>
    <w:bookmarkStart w:id="130" w:name="Xef1e2fcd6223095627d926ed80928a9c57a99d4"/>
    <w:p>
      <w:pPr>
        <w:pStyle w:val="Heading2"/>
      </w:pPr>
      <w:r>
        <w:t xml:space="preserve">7.3 Outlook — Outlook &amp; Next Steps / Further Research</w:t>
      </w:r>
    </w:p>
    <w:bookmarkStart w:id="119" w:name="scaling-up"/>
    <w:p>
      <w:pPr>
        <w:pStyle w:val="Heading3"/>
      </w:pPr>
      <w:r>
        <w:t xml:space="preserve">7.3.1 Scaling Up:</w:t>
      </w:r>
    </w:p>
    <w:p>
      <w:pPr>
        <w:pStyle w:val="Compact"/>
        <w:numPr>
          <w:ilvl w:val="0"/>
          <w:numId w:val="1029"/>
        </w:numPr>
      </w:pPr>
      <w:r>
        <w:t xml:space="preserve">Include more variables and data sources.</w:t>
      </w:r>
    </w:p>
    <w:bookmarkEnd w:id="119"/>
    <w:bookmarkStart w:id="120" w:name="collaboration"/>
    <w:p>
      <w:pPr>
        <w:pStyle w:val="Heading3"/>
      </w:pPr>
      <w:r>
        <w:t xml:space="preserve">7.3.2 Collaboration:</w:t>
      </w:r>
    </w:p>
    <w:p>
      <w:pPr>
        <w:pStyle w:val="Compact"/>
        <w:numPr>
          <w:ilvl w:val="0"/>
          <w:numId w:val="1030"/>
        </w:numPr>
      </w:pPr>
      <w:r>
        <w:t xml:space="preserve">Partner with policymakers and researchers.</w:t>
      </w:r>
    </w:p>
    <w:bookmarkEnd w:id="120"/>
    <w:bookmarkStart w:id="121" w:name="technological-enhancements"/>
    <w:p>
      <w:pPr>
        <w:pStyle w:val="Heading3"/>
      </w:pPr>
      <w:r>
        <w:t xml:space="preserve">7.3.3 Technological Enhancements:</w:t>
      </w:r>
    </w:p>
    <w:p>
      <w:pPr>
        <w:pStyle w:val="Compact"/>
        <w:numPr>
          <w:ilvl w:val="0"/>
          <w:numId w:val="1031"/>
        </w:numPr>
      </w:pPr>
      <w:r>
        <w:t xml:space="preserve">Employ advanced AI techniques.</w:t>
      </w:r>
    </w:p>
    <w:bookmarkEnd w:id="121"/>
    <w:bookmarkStart w:id="122" w:name="potential-impact"/>
    <w:p>
      <w:pPr>
        <w:pStyle w:val="Heading3"/>
      </w:pPr>
      <w:r>
        <w:t xml:space="preserve">7.3.4 Potential Impact:</w:t>
      </w:r>
    </w:p>
    <w:p>
      <w:pPr>
        <w:pStyle w:val="Compact"/>
        <w:numPr>
          <w:ilvl w:val="0"/>
          <w:numId w:val="1032"/>
        </w:numPr>
      </w:pPr>
      <w:r>
        <w:t xml:space="preserve">Influence global AI governance.</w:t>
      </w:r>
    </w:p>
    <w:bookmarkEnd w:id="122"/>
    <w:bookmarkStart w:id="123" w:name="limitations-of-the-analysis"/>
    <w:p>
      <w:pPr>
        <w:pStyle w:val="Heading3"/>
      </w:pPr>
      <w:r>
        <w:t xml:space="preserve">7.3.5 Limitations of the Analysis</w:t>
      </w:r>
    </w:p>
    <w:bookmarkEnd w:id="123"/>
    <w:bookmarkStart w:id="124" w:name="policy-implications-recommendations"/>
    <w:p>
      <w:pPr>
        <w:pStyle w:val="Heading3"/>
      </w:pPr>
      <w:r>
        <w:t xml:space="preserve">7.3.6 Policy Implications &amp; Recommendations</w:t>
      </w:r>
    </w:p>
    <w:bookmarkEnd w:id="124"/>
    <w:bookmarkStart w:id="125" w:name="areas-for-future-research"/>
    <w:p>
      <w:pPr>
        <w:pStyle w:val="Heading3"/>
      </w:pPr>
      <w:r>
        <w:t xml:space="preserve">7.3.7 Areas for Future Research</w:t>
      </w:r>
    </w:p>
    <w:bookmarkEnd w:id="125"/>
    <w:bookmarkStart w:id="128" w:name="Xef0590cfc8bf216f4967d4414b7fab6ffccfc51"/>
    <w:p>
      <w:pPr>
        <w:pStyle w:val="Heading3"/>
      </w:pPr>
      <w:r>
        <w:t xml:space="preserve">7.3.8 Open Questions — Central/Remaining Questions &amp; Feedback</w:t>
      </w:r>
    </w:p>
    <w:bookmarkStart w:id="126" w:name="questions"/>
    <w:p>
      <w:pPr>
        <w:pStyle w:val="Heading4"/>
      </w:pPr>
      <w:r>
        <w:t xml:space="preserve">7.3.8.1 Questions:</w:t>
      </w:r>
    </w:p>
    <w:p>
      <w:pPr>
        <w:pStyle w:val="Compact"/>
        <w:numPr>
          <w:ilvl w:val="0"/>
          <w:numId w:val="1033"/>
        </w:numPr>
      </w:pPr>
      <w:r>
        <w:t xml:space="preserve">How can we improve automation accuracy?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What challenges exist in policy implementation?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How do we mitigate AI model biases?</w:t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How can interdisciplinary efforts enhance outcomes?</w:t>
      </w:r>
    </w:p>
    <w:bookmarkEnd w:id="126"/>
    <w:bookmarkStart w:id="127" w:name="feedback"/>
    <w:p>
      <w:pPr>
        <w:pStyle w:val="Heading4"/>
      </w:pPr>
      <w:r>
        <w:t xml:space="preserve">7.3.8.2 Feedback:</w:t>
      </w:r>
    </w:p>
    <w:p>
      <w:pPr>
        <w:pStyle w:val="Compact"/>
        <w:numPr>
          <w:ilvl w:val="0"/>
          <w:numId w:val="1034"/>
        </w:numPr>
      </w:pPr>
      <w:r>
        <w:t xml:space="preserve">Invite thoughts, critiques, and suggestions.</w:t>
      </w:r>
    </w:p>
    <w:bookmarkEnd w:id="127"/>
    <w:bookmarkEnd w:id="128"/>
    <w:bookmarkStart w:id="129" w:name="Xe8fa94800d764ef6b070d1730575db10a7178a3"/>
    <w:p>
      <w:pPr>
        <w:pStyle w:val="Heading3"/>
      </w:pPr>
      <w:r>
        <w:t xml:space="preserve">7.3.9 Outlook — Outlook &amp; Next Steps / Further Research</w:t>
      </w:r>
    </w:p>
    <w:bookmarkEnd w:id="129"/>
    <w:bookmarkEnd w:id="130"/>
    <w:bookmarkStart w:id="136" w:name="X896f6cd5c606a6c8066ef1a0944c90d9d7c65fc"/>
    <w:p>
      <w:pPr>
        <w:pStyle w:val="Heading2"/>
      </w:pPr>
      <w:r>
        <w:t xml:space="preserve">7.4 Conclusion: Toward an Adaptive AI Governance Framework</w:t>
      </w:r>
    </w:p>
    <w:bookmarkStart w:id="131" w:name="key-contributions-and-findings"/>
    <w:p>
      <w:pPr>
        <w:pStyle w:val="Heading3"/>
      </w:pPr>
      <w:r>
        <w:t xml:space="preserve">7.4.1 Key Contributions and Findings</w:t>
      </w:r>
    </w:p>
    <w:bookmarkEnd w:id="131"/>
    <w:bookmarkStart w:id="132" w:name="X5d798522e1d3e299526c32598e66204591eff7c"/>
    <w:p>
      <w:pPr>
        <w:pStyle w:val="Heading3"/>
      </w:pPr>
      <w:r>
        <w:t xml:space="preserve">7.4.2 Limitations of the Current Implementation</w:t>
      </w:r>
    </w:p>
    <w:bookmarkEnd w:id="132"/>
    <w:bookmarkStart w:id="133" w:name="policy-implications-and-recommendations"/>
    <w:p>
      <w:pPr>
        <w:pStyle w:val="Heading3"/>
      </w:pPr>
      <w:r>
        <w:t xml:space="preserve">7.4.3 Policy Implications and Recommendations</w:t>
      </w:r>
    </w:p>
    <w:bookmarkEnd w:id="133"/>
    <w:bookmarkStart w:id="134" w:name="future-research-directions"/>
    <w:p>
      <w:pPr>
        <w:pStyle w:val="Heading3"/>
      </w:pPr>
      <w:r>
        <w:t xml:space="preserve">7.4.4 Future Research Directions</w:t>
      </w:r>
    </w:p>
    <w:bookmarkEnd w:id="134"/>
    <w:bookmarkStart w:id="135" w:name="concluding-reflections"/>
    <w:p>
      <w:pPr>
        <w:pStyle w:val="Heading3"/>
      </w:pPr>
      <w:r>
        <w:t xml:space="preserve">7.4.5 Concluding Reflections</w:t>
      </w:r>
    </w:p>
    <w:bookmarkEnd w:id="135"/>
    <w:bookmarkEnd w:id="136"/>
    <w:bookmarkEnd w:id="137"/>
    <w:bookmarkStart w:id="138" w:name="frontmatter"/>
    <w:p>
      <w:pPr>
        <w:pStyle w:val="Heading1"/>
      </w:pPr>
      <w:r>
        <w:t xml:space="preserve">Frontmatter</w:t>
      </w:r>
    </w:p>
    <w:bookmarkEnd w:id="138"/>
    <w:bookmarkStart w:id="148" w:name="X9dc76d226d5f6f9818a9430498707ce2f19faa3"/>
    <w:p>
      <w:pPr>
        <w:pStyle w:val="Heading1"/>
      </w:pPr>
      <w:r>
        <w:t xml:space="preserve">Prefatory Apparatus: Illustrations and Terminology — Quick References</w:t>
      </w:r>
    </w:p>
    <w:bookmarkStart w:id="139" w:name="list-of-tables"/>
    <w:p>
      <w:pPr>
        <w:pStyle w:val="Heading2"/>
      </w:pPr>
      <w:r>
        <w:t xml:space="preserve">List of Tables</w:t>
      </w:r>
    </w:p>
    <w:p>
      <w:pPr>
        <w:pStyle w:val="FirstParagraph"/>
      </w:pPr>
      <w:r>
        <w:t xml:space="preserve">Table 1: Table name</w:t>
      </w:r>
    </w:p>
    <w:p>
      <w:pPr>
        <w:pStyle w:val="BodyText"/>
      </w:pPr>
      <w:r>
        <w:t xml:space="preserve">Table 2: Table name</w:t>
      </w:r>
    </w:p>
    <w:p>
      <w:pPr>
        <w:pStyle w:val="BodyText"/>
      </w:pPr>
      <w:r>
        <w:t xml:space="preserve">Table 3: Table name</w:t>
      </w:r>
    </w:p>
    <w:p>
      <w:pPr>
        <w:pStyle w:val="Compact"/>
        <w:numPr>
          <w:ilvl w:val="0"/>
          <w:numId w:val="1035"/>
        </w:numPr>
      </w:pPr>
      <w:r>
        <w:t xml:space="preserve">Figure 1.1: The coordination crisis in AI governance - visualization of fragmentation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Figure 2.1: The Carlsmith model - DAG representation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Figure 3.1: Research design overview - workflow diagram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Figure 3.2: From natural language to BayesDown - transformation process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Figure 4.1: ARPA system architecture - component diagram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Figure 4.2: Visualization of Rain-Sprinkler-Grass_Wet Bayesian network - screenshot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Figure 5.1: Extraction quality metrics - comparative chart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Figure 5.2: Comparative analysis of AI governance worldviews - network visualization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Table 2.1: Comparison of approaches to AI risk modeling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Table 3.1: Probabilistic translation guide for qualitative expressions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Table 4.1: System component responsibilities and interactions</w:t>
      </w:r>
      <w:r>
        <w:br/>
      </w:r>
    </w:p>
    <w:p>
      <w:pPr>
        <w:pStyle w:val="Compact"/>
        <w:numPr>
          <w:ilvl w:val="0"/>
          <w:numId w:val="1035"/>
        </w:numPr>
      </w:pPr>
      <w:r>
        <w:t xml:space="preserve">Table 5.1: Policy impact evaluation results - summary metrics</w:t>
      </w:r>
    </w:p>
    <w:bookmarkEnd w:id="139"/>
    <w:bookmarkStart w:id="140" w:name="list-of-graphics-figures"/>
    <w:p>
      <w:pPr>
        <w:pStyle w:val="Heading2"/>
      </w:pPr>
      <w:r>
        <w:t xml:space="preserve">List of Graphics &amp; Figures</w:t>
      </w:r>
    </w:p>
    <w:bookmarkEnd w:id="140"/>
    <w:bookmarkStart w:id="141" w:name="list-of-abbreviations"/>
    <w:p>
      <w:pPr>
        <w:pStyle w:val="Heading2"/>
      </w:pPr>
      <w:r>
        <w:t xml:space="preserve">List of Abbreviations</w:t>
      </w:r>
    </w:p>
    <w:p>
      <w:pPr>
        <w:pStyle w:val="FirstParagraph"/>
      </w:pPr>
      <w:r>
        <w:t xml:space="preserve">esp. especially</w:t>
      </w:r>
    </w:p>
    <w:p>
      <w:pPr>
        <w:pStyle w:val="BodyText"/>
      </w:pPr>
      <w:r>
        <w:t xml:space="preserve">f., ff. following</w:t>
      </w:r>
    </w:p>
    <w:p>
      <w:pPr>
        <w:pStyle w:val="BodyText"/>
      </w:pPr>
      <w:r>
        <w:t xml:space="preserve">incl. including</w:t>
      </w:r>
    </w:p>
    <w:p>
      <w:pPr>
        <w:pStyle w:val="BodyText"/>
      </w:pPr>
      <w:r>
        <w:t xml:space="preserve">p., pp. page(s)</w:t>
      </w:r>
    </w:p>
    <w:p>
      <w:pPr>
        <w:pStyle w:val="BodyText"/>
      </w:pPr>
      <w:r>
        <w:t xml:space="preserve">MAD Mutually Assured Destruction</w:t>
      </w:r>
    </w:p>
    <w:p>
      <w:pPr>
        <w:pStyle w:val="Compact"/>
        <w:numPr>
          <w:ilvl w:val="0"/>
          <w:numId w:val="1036"/>
        </w:numPr>
      </w:pPr>
      <w:r>
        <w:t xml:space="preserve">AI - Artificial Intelligence</w:t>
      </w:r>
      <w:r>
        <w:br/>
      </w:r>
    </w:p>
    <w:p>
      <w:pPr>
        <w:pStyle w:val="Compact"/>
        <w:numPr>
          <w:ilvl w:val="0"/>
          <w:numId w:val="1036"/>
        </w:numPr>
      </w:pPr>
      <w:r>
        <w:t xml:space="preserve">AGI - Artificial General Intelligence</w:t>
      </w:r>
      <w:r>
        <w:br/>
      </w:r>
    </w:p>
    <w:p>
      <w:pPr>
        <w:pStyle w:val="Compact"/>
        <w:numPr>
          <w:ilvl w:val="0"/>
          <w:numId w:val="1036"/>
        </w:numPr>
      </w:pPr>
      <w:r>
        <w:t xml:space="preserve">ARPA - AI Risk Pathway Analyzer</w:t>
      </w:r>
      <w:r>
        <w:br/>
      </w:r>
    </w:p>
    <w:p>
      <w:pPr>
        <w:pStyle w:val="Compact"/>
        <w:numPr>
          <w:ilvl w:val="0"/>
          <w:numId w:val="1036"/>
        </w:numPr>
      </w:pPr>
      <w:r>
        <w:t xml:space="preserve">DAG - Directed Acyclic Graph</w:t>
      </w:r>
      <w:r>
        <w:br/>
      </w:r>
    </w:p>
    <w:p>
      <w:pPr>
        <w:pStyle w:val="Compact"/>
        <w:numPr>
          <w:ilvl w:val="0"/>
          <w:numId w:val="1036"/>
        </w:numPr>
      </w:pPr>
      <w:r>
        <w:t xml:space="preserve">LLM - Large Language Model</w:t>
      </w:r>
      <w:r>
        <w:br/>
      </w:r>
    </w:p>
    <w:p>
      <w:pPr>
        <w:pStyle w:val="Compact"/>
        <w:numPr>
          <w:ilvl w:val="0"/>
          <w:numId w:val="1036"/>
        </w:numPr>
      </w:pPr>
      <w:r>
        <w:t xml:space="preserve">MTAIR - Modeling Transformative AI Risks</w:t>
      </w:r>
      <w:r>
        <w:br/>
      </w:r>
    </w:p>
    <w:p>
      <w:pPr>
        <w:pStyle w:val="Compact"/>
        <w:numPr>
          <w:ilvl w:val="0"/>
          <w:numId w:val="1036"/>
        </w:numPr>
      </w:pPr>
      <w:r>
        <w:t xml:space="preserve">P(Doom) - Probability of existential catastrophe from misaligned AI</w:t>
      </w:r>
      <w:r>
        <w:br/>
      </w:r>
    </w:p>
    <w:p>
      <w:pPr>
        <w:pStyle w:val="Compact"/>
        <w:numPr>
          <w:ilvl w:val="0"/>
          <w:numId w:val="1036"/>
        </w:numPr>
      </w:pPr>
      <w:r>
        <w:t xml:space="preserve">CPT - Conditional Probability Table</w:t>
      </w:r>
    </w:p>
    <w:bookmarkEnd w:id="141"/>
    <w:bookmarkStart w:id="142" w:name="glossary"/>
    <w:p>
      <w:pPr>
        <w:pStyle w:val="Heading2"/>
      </w:pPr>
      <w:r>
        <w:t xml:space="preserve">Glossary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Argument mapping</w:t>
      </w:r>
      <w:r>
        <w:t xml:space="preserve">: A method for visually representing the structure of arguments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BayesDown</w:t>
      </w:r>
      <w:r>
        <w:t xml:space="preserve">: An extension of ArgDown that incorporates probabilistic information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Bayesian network</w:t>
      </w:r>
      <w:r>
        <w:t xml:space="preserve">: A probabilistic graphical model representing variables and their dependencies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Conditional probability</w:t>
      </w:r>
      <w:r>
        <w:t xml:space="preserve">: The probability of an event given that another event has occurred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Directed Acyclic Graph (DAG)</w:t>
      </w:r>
      <w:r>
        <w:t xml:space="preserve">: A graph with directed edges and no cycles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Existential risk</w:t>
      </w:r>
      <w:r>
        <w:t xml:space="preserve">: Risk of permanent curtailment of humanity’s potential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Power-seeking AI</w:t>
      </w:r>
      <w:r>
        <w:t xml:space="preserve">: AI systems with instrumental incentives to acquire resources and power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Prediction market</w:t>
      </w:r>
      <w:r>
        <w:t xml:space="preserve">: A market where participants trade contracts that resolve based on future events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d-separation</w:t>
      </w:r>
      <w:r>
        <w:t xml:space="preserve">: A criterion for identifying conditional independence relationships in Bayesian networks</w:t>
      </w:r>
      <w:r>
        <w:br/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Monte Carlo sampling</w:t>
      </w:r>
      <w:r>
        <w:t xml:space="preserve">: A computational technique using random sampling to obtain numerical results</w:t>
      </w:r>
    </w:p>
    <w:bookmarkEnd w:id="142"/>
    <w:bookmarkStart w:id="143" w:name="checklists"/>
    <w:p>
      <w:pPr>
        <w:pStyle w:val="Heading2"/>
      </w:pPr>
      <w:r>
        <w:t xml:space="preserve">Checklists</w:t>
      </w:r>
      <w:r>
        <w:t xml:space="preserve"> </w:t>
      </w:r>
    </w:p>
    <w:bookmarkEnd w:id="143"/>
    <w:bookmarkStart w:id="144" w:name="usual-paper-requirements"/>
    <w:p>
      <w:pPr>
        <w:pStyle w:val="Heading2"/>
      </w:pPr>
      <w:r>
        <w:t xml:space="preserve">“Usual paper requirements”</w:t>
      </w:r>
    </w:p>
    <w:p>
      <w:pPr>
        <w:pStyle w:val="Compact"/>
        <w:numPr>
          <w:ilvl w:val="0"/>
          <w:numId w:val="1038"/>
        </w:numPr>
      </w:pPr>
      <w:r>
        <w:t xml:space="preserve">introduce all terminology</w:t>
      </w:r>
    </w:p>
    <w:p>
      <w:pPr>
        <w:pStyle w:val="Compact"/>
        <w:numPr>
          <w:ilvl w:val="1"/>
          <w:numId w:val="1039"/>
        </w:numPr>
      </w:pPr>
      <w:r>
        <w:t xml:space="preserve">go through text, make sure all terms are defined, explained (and added to the list of Abbr.) when first mentioned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readership is intelligent and interested but has no prior knowledge</w:t>
      </w:r>
    </w:p>
    <w:bookmarkEnd w:id="144"/>
    <w:bookmarkStart w:id="145" w:name="section"/>
    <w:p>
      <w:pPr>
        <w:pStyle w:val="Heading2"/>
      </w:pPr>
    </w:p>
    <w:bookmarkEnd w:id="145"/>
    <w:bookmarkStart w:id="147" w:name="Xc8a776d0551185c024bb90d656532b794aa65a6"/>
    <w:p>
      <w:pPr>
        <w:pStyle w:val="Heading2"/>
      </w:pPr>
      <w:r>
        <w:t xml:space="preserve">(Format:) ~ Anything that makes it easier to understand</w:t>
      </w:r>
    </w:p>
    <w:p>
      <w:pPr>
        <w:pStyle w:val="Compact"/>
        <w:numPr>
          <w:ilvl w:val="0"/>
          <w:numId w:val="1040"/>
        </w:numPr>
      </w:pPr>
      <w:r>
        <w:t xml:space="preserve">short sentences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paragraphs (one idea per paragraph)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simplicity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!limit use of passive voice!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use active voice, even prefer I over we!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minimise use of</w:t>
      </w:r>
      <w:r>
        <w:t xml:space="preserve"> </w:t>
      </w:r>
      <w:r>
        <w:t xml:space="preserve">“zombi nouns”</w:t>
      </w:r>
      <w:r>
        <w:t xml:space="preserve"> </w:t>
      </w:r>
      <w:r>
        <w:t xml:space="preserve">(don’t turn verbs/adjectives to nouns!)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“find words that can be cut”</w:t>
      </w:r>
    </w:p>
    <w:p>
      <w:pPr>
        <w:pStyle w:val="FirstParagraph"/>
      </w:pPr>
      <w:r>
        <w:t xml:space="preserve">– the paper can</w:t>
      </w:r>
      <w:r>
        <w:t xml:space="preserve"> </w:t>
      </w:r>
      <w:r>
        <w:rPr>
          <w:b/>
          <w:bCs/>
        </w:rPr>
        <w:t xml:space="preserve">focus</w:t>
      </w:r>
      <w:r>
        <w:t xml:space="preserve"> </w:t>
      </w:r>
      <w:r>
        <w:t xml:space="preserve">on</w:t>
      </w:r>
      <w:r>
        <w:t xml:space="preserve"> </w:t>
      </w:r>
      <w:r>
        <w:rPr>
          <w:b/>
          <w:bCs/>
        </w:rPr>
        <w:t xml:space="preserve">one aspect of the presentation</w:t>
      </w:r>
    </w:p>
    <w:p>
      <w:pPr>
        <w:pStyle w:val="BodyText"/>
      </w:pPr>
      <w:r>
        <w:t xml:space="preserve">–</w:t>
      </w:r>
      <w:r>
        <w:t xml:space="preserve"> </w:t>
      </w:r>
      <w:r>
        <w:t xml:space="preserve">“open door policy”</w:t>
      </w:r>
      <w:r>
        <w:t xml:space="preserve"> </w:t>
      </w:r>
      <w:r>
        <w:t xml:space="preserve">for (content) questions</w:t>
      </w:r>
    </w:p>
    <w:p>
      <w:pPr>
        <w:pStyle w:val="BodyText"/>
      </w:pPr>
      <w:r>
        <w:t xml:space="preserve">~ demonstrate ability for novel research</w:t>
      </w:r>
    </w:p>
    <w:p>
      <w:pPr>
        <w:pStyle w:val="BodyText"/>
      </w:pPr>
      <w:r>
        <w:t xml:space="preserve">–</w:t>
      </w:r>
      <w:r>
        <w:t xml:space="preserve"> </w:t>
      </w:r>
      <w:r>
        <w:t xml:space="preserve">“solve research question with the tools accessible to you”</w:t>
      </w:r>
    </w:p>
    <w:p>
      <w:pPr>
        <w:pStyle w:val="BodyText"/>
      </w:pPr>
      <w:r>
        <w:t xml:space="preserve">–</w:t>
      </w:r>
      <w:r>
        <w:t xml:space="preserve"> </w:t>
      </w:r>
      <w:r>
        <w:t xml:space="preserve">“show something that has not been shown before / should be publishable in principle”</w:t>
      </w:r>
    </w:p>
    <w:p>
      <w:pPr>
        <w:pStyle w:val="BodyText"/>
      </w:pPr>
      <w:r>
        <w:t xml:space="preserve">– new idea (or criticism)</w:t>
      </w:r>
      <w:r>
        <w:t xml:space="preserve"> </w:t>
      </w:r>
      <w:r>
        <w:t xml:space="preserve">“in this field”</w:t>
      </w:r>
    </w:p>
    <w:p>
      <w:pPr>
        <w:pStyle w:val="BodyText"/>
      </w:pPr>
      <w:r>
        <w:t xml:space="preserve">– Outline idea THEN reading with a purpose (answering concrete questions)</w:t>
      </w:r>
    </w:p>
    <w:p>
      <w:pPr>
        <w:pStyle w:val="BodyText"/>
      </w:pPr>
      <w:r>
        <w:t xml:space="preserve">–</w:t>
      </w:r>
      <w:r>
        <w:t xml:space="preserve"> </w:t>
      </w:r>
      <w:r>
        <w:t xml:space="preserve">“Only”</w:t>
      </w:r>
      <w:r>
        <w:t xml:space="preserve"> </w:t>
      </w:r>
      <w:r>
        <w:t xml:space="preserve">confirm that nobody has published the exact same idea on the same topic</w:t>
      </w:r>
    </w:p>
    <w:p>
      <w:pPr>
        <w:pStyle w:val="BodyText"/>
      </w:pPr>
      <w:r>
        <w:t xml:space="preserve">– pretty much determined by presentation &amp; proposal but narrow down further (&amp; choose supervisor?)</w:t>
      </w:r>
    </w:p>
    <w:bookmarkStart w:id="146" w:name="Xad5e4f8f9280fda27cba8f9d226d3fd3c6fcbc4"/>
    <w:p>
      <w:pPr>
        <w:pStyle w:val="Heading3"/>
      </w:pPr>
      <w:r>
        <w:t xml:space="preserve">Quarto Features Incompatible with LaTeX (Below)</w:t>
      </w:r>
    </w:p>
    <w:bookmarkEnd w:id="146"/>
    <w:bookmarkEnd w:id="147"/>
    <w:bookmarkEnd w:id="148"/>
    <w:bookmarkStart w:id="160" w:name="quarto-syntax"/>
    <w:p>
      <w:pPr>
        <w:pStyle w:val="Heading1"/>
      </w:pPr>
      <w:r>
        <w:t xml:space="preserve">8. Quarto Syntax</w:t>
      </w:r>
    </w:p>
    <w:bookmarkStart w:id="152" w:name="sec-figues"/>
    <w:p>
      <w:pPr>
        <w:pStyle w:val="Heading2"/>
      </w:pPr>
      <w:r>
        <w:t xml:space="preserve">Figures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51" w:name="fig-automation_pipeline"/>
          <w:p>
            <w:pPr>
              <w:pStyle w:val="Compact"/>
              <w:jc w:val="center"/>
            </w:pPr>
            <w:hyperlink r:id="rId76">
              <w:r>
                <w:drawing>
                  <wp:inline>
                    <wp:extent cx="5334000" cy="4000500"/>
                    <wp:effectExtent b="0" l="0" r="0" t="0"/>
                    <wp:docPr descr="AMTAIR Automation Pipeline from Bucknall and Dori-Hacohen (2022)" title="" id="149" name="Picture"/>
                    <a:graphic>
                      <a:graphicData uri="http://schemas.openxmlformats.org/drawingml/2006/picture">
                        <pic:pic>
                          <pic:nvPicPr>
                            <pic:cNvPr descr="images/pipeline.png" id="15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7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000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8.1: AMTAIR Automation Pipeline from</w:t>
            </w:r>
            <w:r>
              <w:t xml:space="preserve"> </w:t>
            </w:r>
            <w:r>
              <w:t xml:space="preserve">Bucknall and Dori-Hacohen (2022)</w:t>
            </w:r>
          </w:p>
          <w:bookmarkEnd w:id="151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automation_pipeline">
        <w:r>
          <w:rPr>
            <w:rStyle w:val="Hyperlink"/>
          </w:rPr>
          <w:t xml:space="preserve">Figure 8.1</w:t>
        </w:r>
      </w:hyperlink>
      <w:r>
        <w:t xml:space="preserve">.</w:t>
      </w:r>
    </w:p>
    <w:bookmarkEnd w:id="152"/>
    <w:bookmarkStart w:id="153" w:name="sec-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Soares and Fallenstein (2014)</w:t>
      </w:r>
      <w:r>
        <w:t xml:space="preserve"> </w:t>
      </w:r>
    </w:p>
    <w:p>
      <w:pPr>
        <w:pStyle w:val="BodyText"/>
      </w:pPr>
      <w:r>
        <w:t xml:space="preserve">(Soares and Fallenstein 2014)</w:t>
      </w:r>
      <w:r>
        <w:t xml:space="preserve"> </w:t>
      </w:r>
      <w:r>
        <w:t xml:space="preserve">and</w:t>
      </w:r>
      <w:r>
        <w:t xml:space="preserve"> </w:t>
      </w:r>
      <w:r>
        <w:t xml:space="preserve">(Knuth 1984)</w:t>
      </w:r>
    </w:p>
    <w:p>
      <w:pPr>
        <w:pStyle w:val="BodyText"/>
      </w:pPr>
      <w:r>
        <w:t xml:space="preserve">Blah Blah</w:t>
      </w:r>
      <w:r>
        <w:t xml:space="preserve"> </w:t>
      </w:r>
      <w:r>
        <w:t xml:space="preserve">(see Knuth 1984, 33–35; also Growiec 2024, chap. 1)</w:t>
      </w:r>
    </w:p>
    <w:p>
      <w:pPr>
        <w:pStyle w:val="BodyText"/>
      </w:pPr>
      <w:r>
        <w:t xml:space="preserve">Blah Blah</w:t>
      </w:r>
      <w:r>
        <w:t xml:space="preserve"> </w:t>
      </w:r>
      <w:r>
        <w:t xml:space="preserve">(Knuth 1984, 33–35, 38–39 and passim)</w:t>
      </w:r>
    </w:p>
    <w:p>
      <w:pPr>
        <w:pStyle w:val="BodyText"/>
      </w:pPr>
      <w:r>
        <w:t xml:space="preserve">Blah Blah</w:t>
      </w:r>
      <w:r>
        <w:t xml:space="preserve"> </w:t>
      </w:r>
      <w:r>
        <w:t xml:space="preserve">(Growiec 2024; Knuth 1984)</w:t>
      </w:r>
      <w:r>
        <w:t xml:space="preserve">.</w:t>
      </w:r>
    </w:p>
    <w:p>
      <w:pPr>
        <w:pStyle w:val="BodyText"/>
      </w:pPr>
      <w:r>
        <w:t xml:space="preserve">Wickham says blah</w:t>
      </w:r>
      <w:r>
        <w:t xml:space="preserve"> </w:t>
      </w:r>
      <w:r>
        <w:t xml:space="preserve">(2024)</w:t>
      </w:r>
    </w:p>
    <w:bookmarkEnd w:id="153"/>
    <w:bookmarkStart w:id="159" w:name="sec-heading"/>
    <w:p>
      <w:pPr>
        <w:pStyle w:val="Heading2"/>
      </w:pPr>
      <w:r>
        <w:t xml:space="preserve">8.1 Headings &amp; Potential Headings</w:t>
      </w:r>
    </w:p>
    <w:p>
      <w:pPr>
        <w:pStyle w:val="FirstParagraph"/>
      </w:pPr>
      <w:r>
        <w:rPr>
          <w:rStyle w:val="VerbatimChar"/>
        </w:rPr>
        <w:t xml:space="preserve">verbatim code formatting for notes and ideas to be included (here)</w:t>
      </w:r>
    </w:p>
    <w:p>
      <w:pPr>
        <w:pStyle w:val="SourceCode"/>
      </w:pPr>
      <w:r>
        <w:rPr>
          <w:rStyle w:val="VerbatimChar"/>
        </w:rPr>
        <w:t xml:space="preserve">Also code blocks for more extensive notes and ideas to be included and checklists</w:t>
      </w:r>
      <w:r>
        <w:br/>
      </w:r>
      <w:r>
        <w:rPr>
          <w:rStyle w:val="VerbatimChar"/>
        </w:rPr>
        <w:t xml:space="preserve">- test 1. </w:t>
      </w:r>
      <w:r>
        <w:br/>
      </w:r>
      <w:r>
        <w:rPr>
          <w:rStyle w:val="VerbatimChar"/>
        </w:rPr>
        <w:t xml:space="preserve">- test 2. </w:t>
      </w:r>
      <w:r>
        <w:br/>
      </w:r>
      <w:r>
        <w:rPr>
          <w:rStyle w:val="VerbatimChar"/>
        </w:rPr>
        <w:t xml:space="preserve">- test 3.</w:t>
      </w:r>
      <w:r>
        <w:br/>
      </w:r>
      <w:r>
        <w:rPr>
          <w:rStyle w:val="VerbatimChar"/>
        </w:rPr>
        <w:t xml:space="preserve">2. second</w:t>
      </w:r>
      <w:r>
        <w:br/>
      </w:r>
      <w:r>
        <w:rPr>
          <w:rStyle w:val="VerbatimChar"/>
        </w:rPr>
        <w:t xml:space="preserve">3. third</w:t>
      </w:r>
    </w:p>
    <w:p>
      <w:pPr>
        <w:pStyle w:val="BlockText"/>
      </w:pPr>
      <w:r>
        <w:t xml:space="preserve">Blockquote formatting for</w:t>
      </w:r>
      <w:r>
        <w:t xml:space="preserve"> </w:t>
      </w:r>
      <w:r>
        <w:t xml:space="preserve">“Citations / Things to reference”</w:t>
      </w:r>
    </w:p>
    <w:p>
      <w:pPr>
        <w:pStyle w:val="FirstParagraph"/>
      </w:pPr>
      <w:r>
        <w:t xml:space="preserve">Here is an inline note.</w:t>
      </w:r>
      <w:r>
        <w:rPr>
          <w:rStyle w:val="FootnoteReference"/>
        </w:rPr>
        <w:footnoteReference w:id="154"/>
      </w:r>
    </w:p>
    <w:p>
      <w:pPr>
        <w:pStyle w:val="BodyText"/>
      </w:pPr>
      <w:r>
        <w:t xml:space="preserve">Here is a footnote reference,</w:t>
      </w:r>
      <w:r>
        <w:rPr>
          <w:rStyle w:val="FootnoteReference"/>
        </w:rPr>
        <w:footnoteReference w:id="155"/>
      </w:r>
    </w:p>
    <w:p>
      <w:pPr>
        <w:pStyle w:val="BodyText"/>
      </w:pPr>
      <w:r>
        <w:t xml:space="preserve">Here’s some raw inline HTML:</w:t>
      </w:r>
      <w:r>
        <w:t xml:space="preserve"> </w:t>
      </w:r>
    </w:p>
    <w:p>
      <w:pPr>
        <w:pStyle w:val="BodyText"/>
      </w:pPr>
      <w:r>
        <w:t xml:space="preserve">page 1</w:t>
      </w:r>
    </w:p>
    <w:p>
      <w:r>
        <w:br w:type="page"/>
      </w:r>
    </w:p>
    <w:p>
      <w:pPr>
        <w:pStyle w:val="BodyText"/>
      </w:pPr>
      <w:r>
        <w:t xml:space="preserve">page 2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1403276"/>
            <wp:effectExtent b="0" l="0" r="0" t="0"/>
            <wp:docPr descr="" title="" id="157" name="Picture"/>
            <a:graphic>
              <a:graphicData uri="http://schemas.openxmlformats.org/drawingml/2006/picture">
                <pic:pic>
                  <pic:nvPicPr>
                    <pic:cNvPr descr="ref/references_files/figure-docx/mermaid-figure-3.png" id="158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3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Testing crossreferencing grapics</w:t>
      </w:r>
      <w:r>
        <w:t xml:space="preserve"> </w:t>
      </w:r>
      <w:hyperlink w:anchor="fig-automation_pipeline">
        <w:r>
          <w:rPr>
            <w:rStyle w:val="Hyperlink"/>
          </w:rPr>
          <w:t xml:space="preserve">Figure 8.1</w:t>
        </w:r>
      </w:hyperlink>
      <w:r>
        <w:t xml:space="preserve">.</w:t>
      </w:r>
    </w:p>
    <w:bookmarkEnd w:id="159"/>
    <w:bookmarkEnd w:id="160"/>
    <w:bookmarkStart w:id="170" w:name="bibliography-references"/>
    <w:p>
      <w:pPr>
        <w:pStyle w:val="Heading1"/>
      </w:pPr>
      <w:r>
        <w:t xml:space="preserve">Bibliography (References)</w:t>
      </w:r>
    </w:p>
    <w:bookmarkStart w:id="169" w:name="refs"/>
    <w:bookmarkStart w:id="162" w:name="ref-bucknall2022"/>
    <w:p>
      <w:pPr>
        <w:pStyle w:val="Bibliography"/>
      </w:pPr>
      <w:r>
        <w:t xml:space="preserve">Bucknall, Benjamin S., and Shiri Dori-Hacohen. 2022.</w:t>
      </w:r>
      <w:r>
        <w:t xml:space="preserve"> </w:t>
      </w:r>
      <w:r>
        <w:t xml:space="preserve">“Current and</w:t>
      </w:r>
      <w:r>
        <w:t xml:space="preserve"> </w:t>
      </w:r>
      <w:r>
        <w:t xml:space="preserve">Near-Term AI</w:t>
      </w:r>
      <w:r>
        <w:t xml:space="preserve"> </w:t>
      </w:r>
      <w:r>
        <w:t xml:space="preserve">as a</w:t>
      </w:r>
      <w:r>
        <w:t xml:space="preserve"> </w:t>
      </w:r>
      <w:r>
        <w:t xml:space="preserve">Potential Existential Risk Factor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Proceedings of the 2022</w:t>
      </w:r>
      <w:r>
        <w:rPr>
          <w:i/>
          <w:iCs/>
        </w:rPr>
        <w:t xml:space="preserve"> </w:t>
      </w:r>
      <w:r>
        <w:rPr>
          <w:i/>
          <w:iCs/>
        </w:rPr>
        <w:t xml:space="preserve">AAAI</w:t>
      </w:r>
      <w:r>
        <w:rPr>
          <w:i/>
          <w:iCs/>
        </w:rPr>
        <w:t xml:space="preserve">/</w:t>
      </w:r>
      <w:r>
        <w:rPr>
          <w:i/>
          <w:iCs/>
        </w:rPr>
        <w:t xml:space="preserve">ACM Conference</w:t>
      </w:r>
      <w:r>
        <w:rPr>
          <w:i/>
          <w:iCs/>
        </w:rPr>
        <w:t xml:space="preserve"> </w:t>
      </w:r>
      <w:r>
        <w:rPr>
          <w:i/>
          <w:iCs/>
        </w:rPr>
        <w:t xml:space="preserve">on</w:t>
      </w:r>
      <w:r>
        <w:rPr>
          <w:i/>
          <w:iCs/>
        </w:rPr>
        <w:t xml:space="preserve"> </w:t>
      </w:r>
      <w:r>
        <w:rPr>
          <w:i/>
          <w:iCs/>
        </w:rPr>
        <w:t xml:space="preserve">AI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Ethics</w:t>
      </w:r>
      <w:r>
        <w:rPr>
          <w:i/>
          <w:iCs/>
        </w:rPr>
        <w:t xml:space="preserve">, and</w:t>
      </w:r>
      <w:r>
        <w:rPr>
          <w:i/>
          <w:iCs/>
        </w:rPr>
        <w:t xml:space="preserve"> </w:t>
      </w:r>
      <w:r>
        <w:rPr>
          <w:i/>
          <w:iCs/>
        </w:rPr>
        <w:t xml:space="preserve">Society</w:t>
      </w:r>
      <w:r>
        <w:t xml:space="preserve">, 119–29.</w:t>
      </w:r>
      <w:r>
        <w:t xml:space="preserve"> </w:t>
      </w:r>
      <w:r>
        <w:t xml:space="preserve">AIES</w:t>
      </w:r>
      <w:r>
        <w:t xml:space="preserve"> </w:t>
      </w:r>
      <w:r>
        <w:t xml:space="preserve">’22. New York, NY, USA: Association for Computing Machinery.</w:t>
      </w:r>
      <w:r>
        <w:t xml:space="preserve"> </w:t>
      </w:r>
      <w:hyperlink r:id="rId161">
        <w:r>
          <w:rPr>
            <w:rStyle w:val="Hyperlink"/>
          </w:rPr>
          <w:t xml:space="preserve">https://doi.org/10.1145/3514094.3534146</w:t>
        </w:r>
      </w:hyperlink>
      <w:r>
        <w:t xml:space="preserve">.</w:t>
      </w:r>
    </w:p>
    <w:bookmarkEnd w:id="162"/>
    <w:bookmarkStart w:id="164" w:name="ref-growiec2024a"/>
    <w:p>
      <w:pPr>
        <w:pStyle w:val="Bibliography"/>
      </w:pPr>
      <w:r>
        <w:t xml:space="preserve">Growiec, Jakub. 2024.</w:t>
      </w:r>
      <w:r>
        <w:t xml:space="preserve"> </w:t>
      </w:r>
      <w:r>
        <w:t xml:space="preserve">“Existential Risk from Transformative</w:t>
      </w:r>
      <w:r>
        <w:t xml:space="preserve"> </w:t>
      </w:r>
      <w:r>
        <w:t xml:space="preserve">AI</w:t>
      </w:r>
      <w:r>
        <w:t xml:space="preserve">: An Economic Perspective.”</w:t>
      </w:r>
      <w:r>
        <w:t xml:space="preserve"> </w:t>
      </w:r>
      <w:r>
        <w:rPr>
          <w:i/>
          <w:iCs/>
        </w:rPr>
        <w:t xml:space="preserve">Technological and Economic Development of Economy</w:t>
      </w:r>
      <w:r>
        <w:t xml:space="preserve"> </w:t>
      </w:r>
      <w:r>
        <w:t xml:space="preserve">30 (6): 1682–1708.</w:t>
      </w:r>
      <w:r>
        <w:t xml:space="preserve"> </w:t>
      </w:r>
      <w:hyperlink r:id="rId163">
        <w:r>
          <w:rPr>
            <w:rStyle w:val="Hyperlink"/>
          </w:rPr>
          <w:t xml:space="preserve">https://doi.org/10.3846/tede.2024.21525</w:t>
        </w:r>
      </w:hyperlink>
      <w:r>
        <w:t xml:space="preserve">.</w:t>
      </w:r>
    </w:p>
    <w:bookmarkEnd w:id="164"/>
    <w:bookmarkStart w:id="166" w:name="ref-knuth19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Computer Journal</w:t>
      </w:r>
      <w:r>
        <w:t xml:space="preserve"> </w:t>
      </w:r>
      <w:r>
        <w:t xml:space="preserve">27 (2): 97–111.</w:t>
      </w:r>
      <w:r>
        <w:t xml:space="preserve"> </w:t>
      </w:r>
      <w:hyperlink r:id="rId165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166"/>
    <w:bookmarkStart w:id="168" w:name="ref-soares2014"/>
    <w:p>
      <w:pPr>
        <w:pStyle w:val="Bibliography"/>
      </w:pPr>
      <w:r>
        <w:t xml:space="preserve">Soares, Nate, and Benja Fallenstein. 2014.</w:t>
      </w:r>
      <w:r>
        <w:t xml:space="preserve"> </w:t>
      </w:r>
      <w:r>
        <w:t xml:space="preserve">“Aligning</w:t>
      </w:r>
      <w:r>
        <w:t xml:space="preserve"> </w:t>
      </w:r>
      <w:r>
        <w:t xml:space="preserve">Superintelligence</w:t>
      </w:r>
      <w:r>
        <w:t xml:space="preserve"> </w:t>
      </w:r>
      <w:r>
        <w:t xml:space="preserve">with</w:t>
      </w:r>
      <w:r>
        <w:t xml:space="preserve"> </w:t>
      </w:r>
      <w:r>
        <w:t xml:space="preserve">Human Interests</w:t>
      </w:r>
      <w:r>
        <w:t xml:space="preserve">:</w:t>
      </w:r>
      <w:r>
        <w:t xml:space="preserve"> </w:t>
      </w:r>
      <w:r>
        <w:t xml:space="preserve">A Technical Research Agenda</w:t>
      </w:r>
      <w:r>
        <w:t xml:space="preserve">.”</w:t>
      </w:r>
      <w:r>
        <w:t xml:space="preserve"> </w:t>
      </w:r>
      <w:hyperlink r:id="rId167">
        <w:r>
          <w:rPr>
            <w:rStyle w:val="Hyperlink"/>
          </w:rPr>
          <w:t xml:space="preserve">https://intelligence.org/files/obsolete/TechnicalAgenda%5Bold%5D.pdf</w:t>
        </w:r>
      </w:hyperlink>
      <w:r>
        <w:t xml:space="preserve">.</w:t>
      </w:r>
    </w:p>
    <w:bookmarkEnd w:id="168"/>
    <w:bookmarkEnd w:id="169"/>
    <w:bookmarkEnd w:id="170"/>
    <w:bookmarkStart w:id="175" w:name="appendices-1"/>
    <w:p>
      <w:pPr>
        <w:pStyle w:val="Heading1"/>
      </w:pPr>
      <w:r>
        <w:t xml:space="preserve">Appendix A — Appendices</w:t>
      </w:r>
    </w:p>
    <w:bookmarkStart w:id="171" w:name="X845dc7f921532b719e247cacaa35a900daa63fa"/>
    <w:p>
      <w:pPr>
        <w:pStyle w:val="Heading2"/>
      </w:pPr>
      <w:r>
        <w:t xml:space="preserve">A.1 Appendix A: Technical Implementation Details</w:t>
      </w:r>
    </w:p>
    <w:bookmarkEnd w:id="171"/>
    <w:bookmarkStart w:id="172" w:name="appendix-b-model-validation-procedures"/>
    <w:p>
      <w:pPr>
        <w:pStyle w:val="Heading2"/>
      </w:pPr>
      <w:r>
        <w:t xml:space="preserve">A.2 Appendix B: Model Validation Procedures</w:t>
      </w:r>
    </w:p>
    <w:bookmarkEnd w:id="172"/>
    <w:bookmarkStart w:id="173" w:name="appendix-c-case-studies"/>
    <w:p>
      <w:pPr>
        <w:pStyle w:val="Heading2"/>
      </w:pPr>
      <w:r>
        <w:t xml:space="preserve">A.3 Appendix C: Case Studies</w:t>
      </w:r>
    </w:p>
    <w:bookmarkEnd w:id="173"/>
    <w:bookmarkStart w:id="174" w:name="appendix-d-ethical-considerations"/>
    <w:p>
      <w:pPr>
        <w:pStyle w:val="Heading2"/>
      </w:pPr>
      <w:r>
        <w:t xml:space="preserve">A.4 Appendix D: Ethical Considerations</w:t>
      </w:r>
    </w:p>
    <w:p>
      <w:pPr>
        <w:pStyle w:val="FirstParagraph"/>
      </w:pPr>
      <w:r>
        <w:t xml:space="preserve">TestText</w:t>
      </w:r>
    </w:p>
    <w:bookmarkEnd w:id="174"/>
    <w:bookmarkEnd w:id="175"/>
    <w:bookmarkStart w:id="176" w:name="appendixa"/>
    <w:p>
      <w:pPr>
        <w:pStyle w:val="Heading1"/>
      </w:pPr>
      <w:r>
        <w:t xml:space="preserve">Appendix B — appendixA</w:t>
      </w:r>
    </w:p>
    <w:p>
      <w:pPr>
        <w:pStyle w:val="FirstParagraph"/>
      </w:pPr>
      <w:r>
        <w:t xml:space="preserve">testtext</w:t>
      </w:r>
    </w:p>
    <w:bookmarkEnd w:id="17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Inlines notes are easier to write,</w:t>
      </w:r>
      <w:r>
        <w:t xml:space="preserve"> </w:t>
      </w:r>
      <w:r>
        <w:t xml:space="preserve">since you don’t have to pick an identifier and move down to</w:t>
      </w:r>
      <w:r>
        <w:t xml:space="preserve"> </w:t>
      </w:r>
      <w:r>
        <w:t xml:space="preserve">type the note.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73" Target="media/rId73.png" /><Relationship Type="http://schemas.openxmlformats.org/officeDocument/2006/relationships/image" Id="rId156" Target="media/rId156.png" /><Relationship Type="http://schemas.openxmlformats.org/officeDocument/2006/relationships/hyperlink" Id="rId165" Target="https://doi.org/10.1093/comjnl/27.2.97" TargetMode="External" /><Relationship Type="http://schemas.openxmlformats.org/officeDocument/2006/relationships/hyperlink" Id="rId161" Target="https://doi.org/10.1145/3514094.3534146" TargetMode="External" /><Relationship Type="http://schemas.openxmlformats.org/officeDocument/2006/relationships/hyperlink" Id="rId163" Target="https://doi.org/10.3846/tede.2024.21525" TargetMode="External" /><Relationship Type="http://schemas.openxmlformats.org/officeDocument/2006/relationships/hyperlink" Id="rId76" Target="https://github.com/VJMeyer/submission" TargetMode="External" /><Relationship Type="http://schemas.openxmlformats.org/officeDocument/2006/relationships/hyperlink" Id="rId167" Target="https://intelligence.org/files/obsolete/TechnicalAgenda%5Bold%5D.pdf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65" Target="https://doi.org/10.1093/comjnl/27.2.97" TargetMode="External" /><Relationship Type="http://schemas.openxmlformats.org/officeDocument/2006/relationships/hyperlink" Id="rId161" Target="https://doi.org/10.1145/3514094.3534146" TargetMode="External" /><Relationship Type="http://schemas.openxmlformats.org/officeDocument/2006/relationships/hyperlink" Id="rId163" Target="https://doi.org/10.3846/tede.2024.21525" TargetMode="External" /><Relationship Type="http://schemas.openxmlformats.org/officeDocument/2006/relationships/hyperlink" Id="rId76" Target="https://github.com/VJMeyer/submission" TargetMode="External" /><Relationship Type="http://schemas.openxmlformats.org/officeDocument/2006/relationships/hyperlink" Id="rId167" Target="https://intelligence.org/files/obsolete/TechnicalAgenda%5Bold%5D.pdf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Automating the Modelling of Transformative Artificial Intelligence Risks</dc:title>
  <dc:creator>Valentin Jakob Meyer</dc:creator>
  <cp:keywords/>
  <dcterms:created xsi:type="dcterms:W3CDTF">2025-05-20T18:50:15Z</dcterms:created>
  <dcterms:modified xsi:type="dcterms:W3CDTF">2025-05-20T18:50:15Z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2025-05-26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