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05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End w:id="105"/>
    <w:bookmarkStart w:id="114" w:name="sec-heading"/>
    <w:p>
      <w:pPr>
        <w:pStyle w:val="Heading1"/>
      </w:pPr>
      <w:r>
        <w:t xml:space="preserve">Headings &amp; Potential Headings</w:t>
      </w:r>
    </w:p>
    <w:p>
      <w:pPr>
        <w:pStyle w:val="FirstParagraph"/>
      </w:pPr>
      <w:r>
        <w:t xml:space="preserve">Notes</w:t>
      </w:r>
    </w:p>
    <w:p>
      <w:pPr>
        <w:pStyle w:val="BodyText"/>
      </w:pPr>
      <w:r>
        <w:t xml:space="preserve">Ideas</w:t>
      </w:r>
    </w:p>
    <w:p>
      <w:pPr>
        <w:pStyle w:val="BlockText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concept connects to X theory</w:t>
      </w:r>
    </w:p>
    <w:bookmarkStart w:id="111" w:name="sec-amtair-impl"/>
    <w:p>
      <w:pPr>
        <w:pStyle w:val="Heading2"/>
      </w:pPr>
      <w:r>
        <w:t xml:space="preserve">Implementation Details</w:t>
      </w:r>
    </w:p>
    <w:p>
      <w:pPr>
        <w:pStyle w:val="FirstParagraph"/>
      </w:pPr>
      <w:r>
        <w:t xml:space="preserve">The extraction process consists of three main stages…</w:t>
      </w:r>
    </w:p>
    <w:p>
      <w:pPr>
        <w:pStyle w:val="BodyText"/>
      </w:pPr>
      <w:r>
        <w:t xml:space="preserve">Citations / Things to reference</w:t>
      </w:r>
    </w:p>
    <w:p>
      <w:pPr>
        <w:pStyle w:val="BodyText"/>
      </w:pPr>
      <w:r>
        <w:rPr>
          <w:rStyle w:val="VerbatimChar"/>
        </w:rPr>
        <w:t xml:space="preserve">verbatim code</w:t>
      </w:r>
    </w:p>
    <w:p>
      <w:pPr>
        <w:pStyle w:val="BlockText"/>
      </w:pPr>
      <w:r>
        <w:t xml:space="preserve">Blockquote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7"/>
      </w:r>
    </w:p>
    <w:p>
      <w:pPr>
        <w:pStyle w:val="SourceCode"/>
      </w:pPr>
      <w:r>
        <w:rPr>
          <w:rStyle w:val="VerbatimChar"/>
        </w:rPr>
        <w:t xml:space="preserve">code</w:t>
      </w:r>
    </w:p>
    <w:p>
      <w:pPr>
        <w:pStyle w:val="FirstParagraph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BodyText"/>
      </w:pPr>
      <w:r>
        <w:t xml:space="preserve">Referencing Sections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headings as (</w:t>
      </w:r>
      <w:r>
        <w:rPr>
          <w:b/>
          <w:bCs/>
        </w:rPr>
        <w:t xml:space="preserve">?@sec-heading</w:t>
      </w:r>
      <w:r>
        <w:t xml:space="preserve">).</w:t>
      </w:r>
    </w:p>
    <w:bookmarkEnd w:id="111"/>
    <w:bookmarkStart w:id="113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(Knuth 1984)</w:t>
      </w:r>
    </w:p>
    <w:p>
      <w:pPr>
        <w:pStyle w:val="BodyText"/>
      </w:pPr>
      <w:r>
        <w:t xml:space="preserve">Adams (1996)</w:t>
      </w:r>
      <w:r>
        <w:t xml:space="preserve"> </w:t>
      </w:r>
    </w:p>
    <w:p>
      <w:pPr>
        <w:pStyle w:val="BodyText"/>
      </w:pPr>
      <w:r>
        <w:t xml:space="preserve">(Adams 1996)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(see Knuth 1984, 33–35; also Growiec 2024, chap. 1)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(Knuth 1984, 33–35, 38–39 and passim)</w:t>
      </w:r>
    </w:p>
    <w:p>
      <w:pPr>
        <w:pStyle w:val="BodyText"/>
      </w:pPr>
      <w:r>
        <w:t xml:space="preserve">Blah Blah</w:t>
      </w:r>
      <w:r>
        <w:t xml:space="preserve"> </w:t>
      </w:r>
      <w:r>
        <w:t xml:space="preserve">(Growiec 2024; Knuth 1984)</w:t>
      </w:r>
      <w:r>
        <w:t xml:space="preserve">.</w:t>
      </w:r>
    </w:p>
    <w:p>
      <w:pPr>
        <w:pStyle w:val="BodyText"/>
      </w:pPr>
      <w:r>
        <w:t xml:space="preserve">Wickham says blah</w:t>
      </w:r>
      <w:r>
        <w:t xml:space="preserve"> </w:t>
      </w:r>
      <w:r>
        <w:t xml:space="preserve">(2024)</w:t>
      </w:r>
    </w:p>
    <w:bookmarkStart w:id="112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12"/>
    <w:bookmarkEnd w:id="113"/>
    <w:bookmarkEnd w:id="114"/>
    <w:bookmarkStart w:id="121" w:name="bibliography-references"/>
    <w:p>
      <w:pPr>
        <w:pStyle w:val="Heading1"/>
      </w:pPr>
      <w:r>
        <w:t xml:space="preserve">Bibliography (References)</w:t>
      </w:r>
    </w:p>
    <w:bookmarkStart w:id="120" w:name="refs"/>
    <w:bookmarkStart w:id="115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5"/>
    <w:bookmarkStart w:id="117" w:name="X181903cd41ef51ff95002ac3526da042715d837"/>
    <w:p>
      <w:pPr>
        <w:pStyle w:val="Bibliography"/>
      </w:pPr>
      <w:r>
        <w:t xml:space="preserve">Growiec, Jakub. 2024.</w:t>
      </w:r>
      <w:r>
        <w:t xml:space="preserve"> </w:t>
      </w:r>
      <w:r>
        <w:t xml:space="preserve">“Existential Risk from Transformative</w:t>
      </w:r>
      <w:r>
        <w:t xml:space="preserve"> </w:t>
      </w:r>
      <w:r>
        <w:t xml:space="preserve">AI</w:t>
      </w:r>
      <w:r>
        <w:t xml:space="preserve">: An Economic Perspective.”</w:t>
      </w:r>
      <w:r>
        <w:t xml:space="preserve"> </w:t>
      </w:r>
      <w:r>
        <w:rPr>
          <w:i/>
          <w:iCs/>
        </w:rPr>
        <w:t xml:space="preserve">Technological and Economic Development of Economy</w:t>
      </w:r>
      <w:r>
        <w:t xml:space="preserve"> </w:t>
      </w:r>
      <w:r>
        <w:t xml:space="preserve">30 (6): 1682–1708.</w:t>
      </w:r>
      <w:r>
        <w:t xml:space="preserve"> </w:t>
      </w:r>
      <w:hyperlink r:id="rId116">
        <w:r>
          <w:rPr>
            <w:rStyle w:val="Hyperlink"/>
          </w:rPr>
          <w:t xml:space="preserve">https://doi.org/10.3846/tede.2024.21525</w:t>
        </w:r>
      </w:hyperlink>
      <w:r>
        <w:t xml:space="preserve">.</w:t>
      </w:r>
    </w:p>
    <w:bookmarkEnd w:id="117"/>
    <w:bookmarkStart w:id="119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8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9"/>
    <w:bookmarkEnd w:id="120"/>
    <w:bookmarkEnd w:id="121"/>
    <w:bookmarkStart w:id="127" w:name="appendices-1"/>
    <w:p>
      <w:pPr>
        <w:pStyle w:val="Heading1"/>
      </w:pPr>
      <w:r>
        <w:t xml:space="preserve">Appendix A — Appendices</w:t>
      </w:r>
    </w:p>
    <w:bookmarkStart w:id="122" w:name="appendices-2"/>
    <w:p>
      <w:pPr>
        <w:pStyle w:val="Heading2"/>
      </w:pPr>
      <w:r>
        <w:t xml:space="preserve">A.1 Appendices</w:t>
      </w:r>
    </w:p>
    <w:bookmarkEnd w:id="122"/>
    <w:bookmarkStart w:id="123" w:name="appendix-a"/>
    <w:p>
      <w:pPr>
        <w:pStyle w:val="Heading2"/>
      </w:pPr>
      <w:r>
        <w:t xml:space="preserve">A.2 Appendix A</w:t>
      </w:r>
    </w:p>
    <w:bookmarkEnd w:id="123"/>
    <w:bookmarkStart w:id="124" w:name="appendix-b"/>
    <w:p>
      <w:pPr>
        <w:pStyle w:val="Heading2"/>
      </w:pPr>
      <w:r>
        <w:t xml:space="preserve">A.3 Appendix B</w:t>
      </w:r>
    </w:p>
    <w:bookmarkEnd w:id="124"/>
    <w:bookmarkStart w:id="125" w:name="appendix-c"/>
    <w:p>
      <w:pPr>
        <w:pStyle w:val="Heading2"/>
      </w:pPr>
      <w:r>
        <w:t xml:space="preserve">A.4 Appendix C</w:t>
      </w:r>
    </w:p>
    <w:bookmarkEnd w:id="125"/>
    <w:bookmarkStart w:id="126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6"/>
    <w:bookmarkEnd w:id="127"/>
    <w:bookmarkStart w:id="128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doi.org/10.1093/comjnl/27.2.97" TargetMode="External" /><Relationship Type="http://schemas.openxmlformats.org/officeDocument/2006/relationships/hyperlink" Id="rId116" Target="https://doi.org/10.3846/tede.2024.21525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2025-05-20T00:12:48Z</dcterms:created>
  <dcterms:modified xsi:type="dcterms:W3CDTF">2025-05-20T00:12:48Z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