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8.png" ContentType="image/png"/>
  <Override PartName="/word/media/rId69.png" ContentType="image/png"/>
  <Override PartName="/word/media/rId1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3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</w:p>
    <w:bookmarkStart w:id="24" w:name="abstract"/>
    <w:p>
      <w:pPr>
        <w:pStyle w:val="Heading2"/>
      </w:pPr>
      <w:r>
        <w:t xml:space="preserve">1.1 Abstract</w:t>
      </w:r>
    </w:p>
    <w:p>
      <w:pPr>
        <w:pStyle w:val="FirstParagraph"/>
      </w:pPr>
      <w:r>
        <w:rPr>
          <w:rStyle w:val="VerbatimChar"/>
        </w:rPr>
        <w:t xml:space="preserve">[x]  introduces and motivates the core question or problem</w:t>
      </w:r>
    </w:p>
    <w:bookmarkEnd w:id="24"/>
    <w:bookmarkStart w:id="25" w:name="motivation-problem-statement"/>
    <w:p>
      <w:pPr>
        <w:pStyle w:val="Heading2"/>
      </w:pPr>
      <w:r>
        <w:t xml:space="preserve">1.2 Motivation: Problem Statement</w:t>
      </w:r>
    </w:p>
    <w:p>
      <w:pPr>
        <w:pStyle w:val="SourceCode"/>
      </w:pPr>
      <w:r>
        <w:rPr>
          <w:rStyle w:val="VerbatimChar"/>
        </w:rPr>
        <w:t xml:space="preserve">    AIs are (on the path to) getting smarter than humans</w:t>
      </w:r>
      <w:r>
        <w:br/>
      </w:r>
      <w:r>
        <w:rPr>
          <w:rStyle w:val="VerbatimChar"/>
        </w:rPr>
        <w:t xml:space="preserve">    Humanities (de-centralized) collective information processing, sense-making AND coordination/cooperation is falling behind</w:t>
      </w:r>
      <w:r>
        <w:br/>
      </w:r>
      <w:r>
        <w:rPr>
          <w:rStyle w:val="VerbatimChar"/>
        </w:rPr>
        <w:t xml:space="preserve">    BUT new technology/AI also enables new modes/methods of collective information processing</w:t>
      </w:r>
      <w:r>
        <w:br/>
      </w:r>
      <w:r>
        <w:rPr>
          <w:rStyle w:val="VerbatimChar"/>
        </w:rPr>
        <w:t xml:space="preserve">    therefore this thesis/AMTAIR aspires to be an epistemic tool that enables/empowers humanity (collectively)</w:t>
      </w:r>
    </w:p>
    <w:bookmarkEnd w:id="25"/>
    <w:bookmarkStart w:id="26" w:name="motivation-research-question"/>
    <w:p>
      <w:pPr>
        <w:pStyle w:val="Heading2"/>
      </w:pPr>
      <w:r>
        <w:t xml:space="preserve">1.3 Motivation: Research Question</w:t>
      </w:r>
    </w:p>
    <w:p>
      <w:pPr>
        <w:pStyle w:val="FirstParagraph"/>
      </w:pPr>
      <w:r>
        <w:rPr>
          <w:rStyle w:val="VerbatimChar"/>
        </w:rPr>
        <w:t xml:space="preserve">- [ ] provides context for discussion (places issue within a larger debate or sphere of relevance)</w:t>
      </w:r>
    </w:p>
    <w:bookmarkEnd w:id="26"/>
    <w:bookmarkStart w:id="27" w:name="scope-aim-context-of-the-research"/>
    <w:p>
      <w:pPr>
        <w:pStyle w:val="Heading2"/>
      </w:pPr>
      <w:r>
        <w:t xml:space="preserve">1.4 Scope: Aim &amp; Context of the Research</w:t>
      </w:r>
    </w:p>
    <w:bookmarkEnd w:id="27"/>
    <w:bookmarkStart w:id="2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rPr>
          <w:rStyle w:val="VerbatimChar"/>
        </w:rPr>
        <w:t xml:space="preserve">-[ ] states precise thesis or position the author will argue for</w:t>
      </w:r>
    </w:p>
    <w:bookmarkEnd w:id="28"/>
    <w:bookmarkStart w:id="2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FirstParagraph"/>
      </w:pPr>
      <w:r>
        <w:rPr>
          <w:rStyle w:val="VerbatimChar"/>
        </w:rPr>
        <w:t xml:space="preserve">AMTAIR is a new epistemic tool/framework that enables/empowers humanities collective information processing, comprehension and thereby enables the necessary coordination ... (to compete with AIs?)</w:t>
      </w:r>
    </w:p>
    <w:p>
      <w:pPr>
        <w:pStyle w:val="BodyText"/>
      </w:pPr>
      <w:r>
        <w:rPr>
          <w:rStyle w:val="VerbatimChar"/>
        </w:rPr>
        <w:t xml:space="preserve">[ ] provides roadmap indicating structure and key content points of the essay</w:t>
      </w:r>
    </w:p>
    <w:bookmarkEnd w:id="29"/>
    <w:bookmarkStart w:id="3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0"/>
    <w:bookmarkStart w:id="31" w:name="table-of-contents"/>
    <w:p>
      <w:pPr>
        <w:pStyle w:val="Heading2"/>
      </w:pPr>
      <w:r>
        <w:t xml:space="preserve">1.8 Table of Contents</w:t>
      </w:r>
    </w:p>
    <w:bookmarkEnd w:id="31"/>
    <w:bookmarkStart w:id="3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1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2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3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4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5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Need for Automation:</w:t>
      </w:r>
    </w:p>
    <w:p>
      <w:pPr>
        <w:pStyle w:val="Compact"/>
        <w:numPr>
          <w:ilvl w:val="1"/>
          <w:numId w:val="1006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07"/>
        </w:numPr>
      </w:pPr>
      <w:r>
        <w:t xml:space="preserve">Leveraging new technologies to enhance our ability to model and mitigate AI risks.</w:t>
      </w:r>
    </w:p>
    <w:bookmarkEnd w:id="32"/>
    <w:bookmarkStart w:id="36" w:name="aim-of-the-paper"/>
    <w:p>
      <w:pPr>
        <w:pStyle w:val="Heading2"/>
      </w:pPr>
      <w:r>
        <w:t xml:space="preserve">1.10 Aim of the Paper</w:t>
      </w:r>
    </w:p>
    <w:bookmarkStart w:id="34" w:name="research-question-scope"/>
    <w:p>
      <w:pPr>
        <w:pStyle w:val="Heading3"/>
      </w:pPr>
      <w:r>
        <w:t xml:space="preserve">1.10.1 Research Question &amp; Scope</w:t>
      </w:r>
    </w:p>
    <w:bookmarkStart w:id="3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3"/>
    <w:bookmarkEnd w:id="34"/>
    <w:bookmarkStart w:id="35" w:name="significance-of-the-research"/>
    <w:p>
      <w:pPr>
        <w:pStyle w:val="Heading3"/>
      </w:pPr>
      <w:r>
        <w:t xml:space="preserve">1.10.2 Significance of the Research</w:t>
      </w:r>
    </w:p>
    <w:bookmarkEnd w:id="35"/>
    <w:bookmarkEnd w:id="36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08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09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09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09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0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1"/>
        </w:numPr>
      </w:pPr>
      <w:r>
        <w:t xml:space="preserve">A diagram illustrating how each component amplifies the others, leading to greater overall impact.</w:t>
      </w:r>
    </w:p>
    <w:bookmarkStart w:id="37" w:name="the-coordination-crisis-in-ai-governance"/>
    <w:p>
      <w:pPr>
        <w:pStyle w:val="Heading3"/>
      </w:pPr>
      <w:r>
        <w:t xml:space="preserve">1.11.1 The Coordination Crisis in AI Governance</w:t>
      </w:r>
    </w:p>
    <w:bookmarkEnd w:id="37"/>
    <w:bookmarkStart w:id="38" w:name="research-question-and-scope"/>
    <w:p>
      <w:pPr>
        <w:pStyle w:val="Heading3"/>
      </w:pPr>
      <w:r>
        <w:t xml:space="preserve">1.11.2 1.2 Research Question and Scope</w:t>
      </w:r>
    </w:p>
    <w:bookmarkEnd w:id="38"/>
    <w:bookmarkStart w:id="39" w:name="the-multiplicative-benefits-framework"/>
    <w:p>
      <w:pPr>
        <w:pStyle w:val="Heading3"/>
      </w:pPr>
      <w:r>
        <w:t xml:space="preserve">1.11.3 1.3 The Multiplicative Benefits Framework</w:t>
      </w:r>
    </w:p>
    <w:bookmarkEnd w:id="39"/>
    <w:bookmarkStart w:id="40" w:name="from-theory-to-practice-a-roadmap"/>
    <w:p>
      <w:pPr>
        <w:pStyle w:val="Heading3"/>
      </w:pPr>
      <w:r>
        <w:t xml:space="preserve">1.11.4 1.4 From Theory to Practice: A Roadmap</w:t>
      </w:r>
    </w:p>
    <w:bookmarkEnd w:id="40"/>
    <w:bookmarkEnd w:id="41"/>
    <w:bookmarkStart w:id="42" w:name="overview-table-of-contents"/>
    <w:p>
      <w:pPr>
        <w:pStyle w:val="Heading2"/>
      </w:pPr>
      <w:r>
        <w:t xml:space="preserve">1.12 Overview / Table of Contents</w:t>
      </w:r>
    </w:p>
    <w:bookmarkEnd w:id="42"/>
    <w:bookmarkEnd w:id="43"/>
    <w:bookmarkStart w:id="76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</w:p>
    <w:p>
      <w:pPr>
        <w:pStyle w:val="Compact"/>
        <w:numPr>
          <w:ilvl w:val="0"/>
          <w:numId w:val="1012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4" w:name="background-considerations"/>
    <w:p>
      <w:pPr>
        <w:pStyle w:val="Heading2"/>
      </w:pPr>
      <w:r>
        <w:t xml:space="preserve">2.1 Background Considerations</w:t>
      </w:r>
    </w:p>
    <w:bookmarkEnd w:id="44"/>
    <w:bookmarkStart w:id="48" w:name="literature-concepts-terminology"/>
    <w:p>
      <w:pPr>
        <w:pStyle w:val="Heading2"/>
      </w:pPr>
      <w:r>
        <w:t xml:space="preserve">2.2 Literature, Concepts &amp; Terminology</w:t>
      </w:r>
    </w:p>
    <w:bookmarkStart w:id="45" w:name="dag-bayesnets"/>
    <w:p>
      <w:pPr>
        <w:pStyle w:val="Heading3"/>
      </w:pPr>
      <w:r>
        <w:t xml:space="preserve">2.2.1 DAG / BayesNets</w:t>
      </w:r>
    </w:p>
    <w:bookmarkEnd w:id="45"/>
    <w:bookmarkStart w:id="47" w:name="state-of-the-art-mtair-explanation"/>
    <w:p>
      <w:pPr>
        <w:pStyle w:val="Heading3"/>
      </w:pPr>
      <w:r>
        <w:t xml:space="preserve">2.2.2 State of the art (MTAIR) — Explanation</w:t>
      </w:r>
    </w:p>
    <w:bookmarkStart w:id="46" w:name="carlsmith-model-analytica"/>
    <w:p>
      <w:pPr>
        <w:pStyle w:val="Heading4"/>
      </w:pPr>
      <w:r>
        <w:t xml:space="preserve">2.2.2.1 Carlsmith Model (Analytica)</w:t>
      </w:r>
    </w:p>
    <w:bookmarkEnd w:id="46"/>
    <w:bookmarkEnd w:id="47"/>
    <w:bookmarkEnd w:id="48"/>
    <w:bookmarkStart w:id="56" w:name="theoretical-foundations"/>
    <w:p>
      <w:pPr>
        <w:pStyle w:val="Heading2"/>
      </w:pPr>
      <w:r>
        <w:t xml:space="preserve">2.3 Theoretical Foundations</w:t>
      </w:r>
    </w:p>
    <w:bookmarkStart w:id="49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49"/>
    <w:bookmarkStart w:id="50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0"/>
    <w:bookmarkStart w:id="51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1"/>
    <w:bookmarkStart w:id="52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2"/>
    <w:bookmarkStart w:id="53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3"/>
    <w:bookmarkStart w:id="54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4"/>
    <w:bookmarkStart w:id="55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5"/>
    <w:bookmarkEnd w:id="56"/>
    <w:bookmarkStart w:id="64" w:name="methodology"/>
    <w:p>
      <w:pPr>
        <w:pStyle w:val="Heading2"/>
      </w:pPr>
      <w:r>
        <w:t xml:space="preserve">2.4 Methodology</w:t>
      </w:r>
    </w:p>
    <w:bookmarkStart w:id="63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57" w:name="research-design-overview"/>
    <w:p>
      <w:pPr>
        <w:pStyle w:val="Heading4"/>
      </w:pPr>
      <w:r>
        <w:t xml:space="preserve">2.4.1.1 Research Design Overview</w:t>
      </w:r>
    </w:p>
    <w:bookmarkEnd w:id="57"/>
    <w:bookmarkStart w:id="58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58"/>
    <w:bookmarkStart w:id="59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59"/>
    <w:bookmarkStart w:id="60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0"/>
    <w:bookmarkStart w:id="61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1"/>
    <w:bookmarkStart w:id="62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2"/>
    <w:bookmarkEnd w:id="63"/>
    <w:bookmarkEnd w:id="64"/>
    <w:bookmarkStart w:id="75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5" w:name="kialo"/>
    <w:p>
      <w:pPr>
        <w:pStyle w:val="Heading4"/>
      </w:pPr>
      <w:r>
        <w:t xml:space="preserve">2.5.0.1 Kialo</w:t>
      </w:r>
    </w:p>
    <w:bookmarkEnd w:id="65"/>
    <w:bookmarkStart w:id="66" w:name="rainsprinklerlawn-dag"/>
    <w:p>
      <w:pPr>
        <w:pStyle w:val="Heading4"/>
      </w:pPr>
      <w:r>
        <w:t xml:space="preserve">2.5.0.2 Rain/Sprinkler/Lawn DAG</w:t>
      </w:r>
    </w:p>
    <w:bookmarkEnd w:id="66"/>
    <w:bookmarkStart w:id="67" w:name="bayeserver"/>
    <w:p>
      <w:pPr>
        <w:pStyle w:val="Heading4"/>
      </w:pPr>
      <w:r>
        <w:t xml:space="preserve">2.5.0.3 BayeServer</w:t>
      </w:r>
    </w:p>
    <w:bookmarkEnd w:id="67"/>
    <w:bookmarkStart w:id="68" w:name="bayesnet-extended-example"/>
    <w:p>
      <w:pPr>
        <w:pStyle w:val="Heading4"/>
      </w:pPr>
      <w:r>
        <w:t xml:space="preserve">2.5.0.4 BayesNet — Extended Example</w:t>
      </w:r>
    </w:p>
    <w:bookmarkEnd w:id="68"/>
    <w:bookmarkStart w:id="74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automation_pipeline"/>
          <w:p>
            <w:pPr>
              <w:pStyle w:val="Compact"/>
              <w:jc w:val="center"/>
            </w:pPr>
            <w:hyperlink r:id="rId72">
              <w:r>
                <w:drawing>
                  <wp:inline>
                    <wp:extent cx="5334000" cy="4000500"/>
                    <wp:effectExtent b="0" l="0" r="0" t="0"/>
                    <wp:docPr descr="AMTAIR Automation Pipeline from CITATION" title="" id="70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 from CITATION</w:t>
            </w:r>
          </w:p>
          <w:bookmarkEnd w:id="7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9.1</w:t>
        </w:r>
      </w:hyperlink>
      <w:r>
        <w:t xml:space="preserve">.</w:t>
      </w:r>
    </w:p>
    <w:bookmarkEnd w:id="74"/>
    <w:bookmarkEnd w:id="75"/>
    <w:bookmarkEnd w:id="76"/>
    <w:bookmarkStart w:id="92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77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77"/>
    <w:bookmarkStart w:id="78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78"/>
    <w:bookmarkStart w:id="85" w:name="implementation"/>
    <w:p>
      <w:pPr>
        <w:pStyle w:val="Heading2"/>
      </w:pPr>
      <w:r>
        <w:t xml:space="preserve">3.3 Implementation</w:t>
      </w:r>
    </w:p>
    <w:bookmarkStart w:id="79" w:name="system-architecture-and-data-flow"/>
    <w:p>
      <w:pPr>
        <w:pStyle w:val="Heading4"/>
      </w:pPr>
      <w:r>
        <w:t xml:space="preserve">3.3.0.1 System Architecture and Data Flow</w:t>
      </w:r>
    </w:p>
    <w:bookmarkEnd w:id="79"/>
    <w:bookmarkStart w:id="80" w:name="automated-extraction-pipeline"/>
    <w:p>
      <w:pPr>
        <w:pStyle w:val="Heading4"/>
      </w:pPr>
      <w:r>
        <w:t xml:space="preserve">3.3.0.2 Automated Extraction Pipeline</w:t>
      </w:r>
    </w:p>
    <w:bookmarkEnd w:id="80"/>
    <w:bookmarkStart w:id="81" w:name="network-construction-and-visualization"/>
    <w:p>
      <w:pPr>
        <w:pStyle w:val="Heading4"/>
      </w:pPr>
      <w:r>
        <w:t xml:space="preserve">3.3.0.3 Network Construction and Visualization</w:t>
      </w:r>
    </w:p>
    <w:bookmarkEnd w:id="81"/>
    <w:bookmarkStart w:id="82" w:name="probabilistic-inference-engine"/>
    <w:p>
      <w:pPr>
        <w:pStyle w:val="Heading4"/>
      </w:pPr>
      <w:r>
        <w:t xml:space="preserve">3.3.0.4 Probabilistic Inference Engine</w:t>
      </w:r>
    </w:p>
    <w:bookmarkEnd w:id="82"/>
    <w:bookmarkStart w:id="83" w:name="prediction-market-integration-module"/>
    <w:p>
      <w:pPr>
        <w:pStyle w:val="Heading4"/>
      </w:pPr>
      <w:r>
        <w:t xml:space="preserve">3.3.0.5 Prediction Market Integration Module</w:t>
      </w:r>
    </w:p>
    <w:bookmarkEnd w:id="83"/>
    <w:bookmarkStart w:id="84" w:name="policy-evaluation-interface"/>
    <w:p>
      <w:pPr>
        <w:pStyle w:val="Heading4"/>
      </w:pPr>
      <w:r>
        <w:t xml:space="preserve">3.3.0.6 Policy Evaluation Interface</w:t>
      </w:r>
    </w:p>
    <w:bookmarkEnd w:id="84"/>
    <w:bookmarkEnd w:id="85"/>
    <w:bookmarkStart w:id="91" w:name="results-from-theory-to-application"/>
    <w:p>
      <w:pPr>
        <w:pStyle w:val="Heading2"/>
      </w:pPr>
      <w:r>
        <w:t xml:space="preserve">3.4 Results: From Theory to Application</w:t>
      </w:r>
    </w:p>
    <w:bookmarkStart w:id="86" w:name="extraction-quality-assessment"/>
    <w:p>
      <w:pPr>
        <w:pStyle w:val="Heading4"/>
      </w:pPr>
      <w:r>
        <w:t xml:space="preserve">3.4.0.1 Extraction Quality Assessment</w:t>
      </w:r>
    </w:p>
    <w:bookmarkEnd w:id="86"/>
    <w:bookmarkStart w:id="87" w:name="computational-performance-analysis"/>
    <w:p>
      <w:pPr>
        <w:pStyle w:val="Heading4"/>
      </w:pPr>
      <w:r>
        <w:t xml:space="preserve">3.4.0.2 Computational Performance Analysis</w:t>
      </w:r>
    </w:p>
    <w:bookmarkEnd w:id="87"/>
    <w:bookmarkStart w:id="88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88"/>
    <w:bookmarkStart w:id="89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89"/>
    <w:bookmarkStart w:id="90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0"/>
    <w:bookmarkEnd w:id="91"/>
    <w:bookmarkEnd w:id="92"/>
    <w:bookmarkStart w:id="97" w:name="insights-findings"/>
    <w:p>
      <w:pPr>
        <w:pStyle w:val="Heading1"/>
      </w:pPr>
      <w:r>
        <w:t xml:space="preserve">4. Insights &amp; Findings</w:t>
      </w:r>
    </w:p>
    <w:bookmarkStart w:id="9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3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3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3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3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3"/>
        </w:numPr>
      </w:pPr>
      <w:r>
        <w:t xml:space="preserve">Overcame limitations of manual modeling.</w:t>
      </w:r>
    </w:p>
    <w:bookmarkEnd w:id="93"/>
    <w:bookmarkStart w:id="9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4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5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6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17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Enhanced policy analysis.</w:t>
      </w:r>
    </w:p>
    <w:bookmarkEnd w:id="94"/>
    <w:bookmarkStart w:id="9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18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19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0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1"/>
        </w:numPr>
      </w:pPr>
      <w:r>
        <w:t xml:space="preserve">Scalability amplifies policy impact.</w:t>
      </w:r>
    </w:p>
    <w:bookmarkEnd w:id="95"/>
    <w:bookmarkStart w:id="9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2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2"/>
        </w:numPr>
      </w:pPr>
      <w:r>
        <w:t xml:space="preserve">Automation Strengths:</w:t>
      </w:r>
      <w:r>
        <w:br/>
      </w:r>
    </w:p>
    <w:p>
      <w:pPr>
        <w:numPr>
          <w:ilvl w:val="0"/>
          <w:numId w:val="1022"/>
        </w:numPr>
      </w:pPr>
      <w:r>
        <w:t xml:space="preserve">Speed, consistency.</w:t>
      </w:r>
      <w:r>
        <w:br/>
      </w:r>
    </w:p>
    <w:p>
      <w:pPr>
        <w:numPr>
          <w:ilvl w:val="0"/>
          <w:numId w:val="1022"/>
        </w:numPr>
      </w:pPr>
      <w:r>
        <w:t xml:space="preserve">Human Strengths:</w:t>
      </w:r>
      <w:r>
        <w:br/>
      </w:r>
    </w:p>
    <w:p>
      <w:pPr>
        <w:numPr>
          <w:ilvl w:val="0"/>
          <w:numId w:val="1022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2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2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2"/>
        </w:numPr>
      </w:pPr>
      <w:r>
        <w:t xml:space="preserve">Optimal results from combining AI with expert input.</w:t>
      </w:r>
    </w:p>
    <w:bookmarkEnd w:id="96"/>
    <w:bookmarkEnd w:id="97"/>
    <w:bookmarkStart w:id="98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98"/>
    <w:bookmarkStart w:id="108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99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3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3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3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3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3"/>
        </w:numPr>
      </w:pPr>
      <w:r>
        <w:t xml:space="preserve">Identifying points of failure strengthens the approach.</w:t>
      </w:r>
    </w:p>
    <w:bookmarkEnd w:id="99"/>
    <w:bookmarkStart w:id="100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4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4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4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4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4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4"/>
        </w:numPr>
      </w:pPr>
      <w:r>
        <w:t xml:space="preserve">Strategies to maximize positive impacts.</w:t>
      </w:r>
    </w:p>
    <w:bookmarkEnd w:id="100"/>
    <w:bookmarkStart w:id="101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5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5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5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5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5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5"/>
        </w:numPr>
      </w:pPr>
      <w:r>
        <w:t xml:space="preserve">Strategies to maximize positive impacts.</w:t>
      </w:r>
    </w:p>
    <w:bookmarkEnd w:id="101"/>
    <w:bookmarkStart w:id="107" w:name="discussion-implications-and-limitations"/>
    <w:p>
      <w:pPr>
        <w:pStyle w:val="Heading2"/>
      </w:pPr>
      <w:r>
        <w:t xml:space="preserve">6.4 Discussion: Implications and Limitations</w:t>
      </w:r>
    </w:p>
    <w:bookmarkStart w:id="102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2"/>
    <w:bookmarkStart w:id="103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3"/>
    <w:bookmarkStart w:id="104" w:name="scaling-challenges-and-opportunities"/>
    <w:p>
      <w:pPr>
        <w:pStyle w:val="Heading4"/>
      </w:pPr>
      <w:r>
        <w:t xml:space="preserve">6.4.0.3 Scaling Challenges and Opportunities</w:t>
      </w:r>
    </w:p>
    <w:bookmarkEnd w:id="104"/>
    <w:bookmarkStart w:id="105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5"/>
    <w:bookmarkStart w:id="106" w:name="known-unknowns-and-deep-uncertainties"/>
    <w:p>
      <w:pPr>
        <w:pStyle w:val="Heading4"/>
      </w:pPr>
      <w:r>
        <w:t xml:space="preserve">6.4.0.5 Known Unknowns and Deep Uncertainties</w:t>
      </w:r>
    </w:p>
    <w:bookmarkEnd w:id="106"/>
    <w:bookmarkEnd w:id="107"/>
    <w:bookmarkEnd w:id="108"/>
    <w:bookmarkStart w:id="109" w:name="conclusion"/>
    <w:p>
      <w:pPr>
        <w:pStyle w:val="Heading1"/>
      </w:pPr>
      <w:r>
        <w:t xml:space="preserve">7. Conclusion</w:t>
      </w:r>
    </w:p>
    <w:bookmarkEnd w:id="109"/>
    <w:bookmarkStart w:id="133" w:name="Xa6fe62c28c803bdb6234bd75bfc9a98074ecb24"/>
    <w:p>
      <w:pPr>
        <w:pStyle w:val="Heading1"/>
      </w:pPr>
      <w:r>
        <w:t xml:space="preserve">8.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 ~ 10 pages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Start w:id="114" w:name="summary-key-takeaways-findings"/>
    <w:p>
      <w:pPr>
        <w:pStyle w:val="Heading2"/>
      </w:pPr>
      <w:r>
        <w:t xml:space="preserve">8.1 Summary — Key Takeaways &amp; Findings</w:t>
      </w:r>
    </w:p>
    <w:bookmarkStart w:id="110" w:name="assessing-policy-effects"/>
    <w:p>
      <w:pPr>
        <w:pStyle w:val="Heading3"/>
      </w:pPr>
      <w:r>
        <w:t xml:space="preserve">8.1.1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0"/>
    <w:bookmarkStart w:id="111" w:name="conditional-probability"/>
    <w:p>
      <w:pPr>
        <w:pStyle w:val="Heading3"/>
      </w:pPr>
      <w:r>
        <w:t xml:space="preserve">8.1.2 Conditional Probability:</w:t>
      </w:r>
    </w:p>
    <w:p>
      <w:pPr>
        <w:pStyle w:val="FirstParagraph"/>
      </w:pPr>
      <w:r>
        <w:t xml:space="preserve">Calculating P(Doom | Policy Alpha).</w:t>
      </w:r>
    </w:p>
    <w:bookmarkEnd w:id="111"/>
    <w:bookmarkStart w:id="112" w:name="methodology-1"/>
    <w:p>
      <w:pPr>
        <w:pStyle w:val="Heading3"/>
      </w:pPr>
      <w:r>
        <w:t xml:space="preserve">8.1.3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2"/>
    <w:bookmarkStart w:id="113" w:name="purpose"/>
    <w:p>
      <w:pPr>
        <w:pStyle w:val="Heading3"/>
      </w:pPr>
      <w:r>
        <w:t xml:space="preserve">8.1.4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3"/>
    <w:bookmarkEnd w:id="114"/>
    <w:bookmarkStart w:id="126" w:name="Xef1e2fcd6223095627d926ed80928a9c57a99d4"/>
    <w:p>
      <w:pPr>
        <w:pStyle w:val="Heading2"/>
      </w:pPr>
      <w:r>
        <w:t xml:space="preserve">8.2 Outlook — Outlook &amp; Next Steps / Further Research</w:t>
      </w:r>
    </w:p>
    <w:bookmarkStart w:id="115" w:name="scaling-up"/>
    <w:p>
      <w:pPr>
        <w:pStyle w:val="Heading3"/>
      </w:pPr>
      <w:r>
        <w:t xml:space="preserve">8.2.1 Scaling Up:</w:t>
      </w:r>
    </w:p>
    <w:p>
      <w:pPr>
        <w:pStyle w:val="Compact"/>
        <w:numPr>
          <w:ilvl w:val="0"/>
          <w:numId w:val="1026"/>
        </w:numPr>
      </w:pPr>
      <w:r>
        <w:t xml:space="preserve">Include more variables and data sources.</w:t>
      </w:r>
    </w:p>
    <w:bookmarkEnd w:id="115"/>
    <w:bookmarkStart w:id="116" w:name="collaboration"/>
    <w:p>
      <w:pPr>
        <w:pStyle w:val="Heading3"/>
      </w:pPr>
      <w:r>
        <w:t xml:space="preserve">8.2.2 Collaboration:</w:t>
      </w:r>
    </w:p>
    <w:p>
      <w:pPr>
        <w:pStyle w:val="Compact"/>
        <w:numPr>
          <w:ilvl w:val="0"/>
          <w:numId w:val="1027"/>
        </w:numPr>
      </w:pPr>
      <w:r>
        <w:t xml:space="preserve">Partner with policymakers and researchers.</w:t>
      </w:r>
    </w:p>
    <w:bookmarkEnd w:id="116"/>
    <w:bookmarkStart w:id="117" w:name="technological-enhancements"/>
    <w:p>
      <w:pPr>
        <w:pStyle w:val="Heading3"/>
      </w:pPr>
      <w:r>
        <w:t xml:space="preserve">8.2.3 Technological Enhancements:</w:t>
      </w:r>
    </w:p>
    <w:p>
      <w:pPr>
        <w:pStyle w:val="Compact"/>
        <w:numPr>
          <w:ilvl w:val="0"/>
          <w:numId w:val="1028"/>
        </w:numPr>
      </w:pPr>
      <w:r>
        <w:t xml:space="preserve">Employ advanced AI techniques.</w:t>
      </w:r>
    </w:p>
    <w:bookmarkEnd w:id="117"/>
    <w:bookmarkStart w:id="118" w:name="potential-impact"/>
    <w:p>
      <w:pPr>
        <w:pStyle w:val="Heading3"/>
      </w:pPr>
      <w:r>
        <w:t xml:space="preserve">8.2.4 Potential Impact:</w:t>
      </w:r>
    </w:p>
    <w:p>
      <w:pPr>
        <w:pStyle w:val="Compact"/>
        <w:numPr>
          <w:ilvl w:val="0"/>
          <w:numId w:val="1029"/>
        </w:numPr>
      </w:pPr>
      <w:r>
        <w:t xml:space="preserve">Influence global AI governance.</w:t>
      </w:r>
    </w:p>
    <w:bookmarkEnd w:id="118"/>
    <w:bookmarkStart w:id="119" w:name="limitations-of-the-analysis"/>
    <w:p>
      <w:pPr>
        <w:pStyle w:val="Heading3"/>
      </w:pPr>
      <w:r>
        <w:t xml:space="preserve">8.2.5 Limitations of the Analysis</w:t>
      </w:r>
    </w:p>
    <w:bookmarkEnd w:id="119"/>
    <w:bookmarkStart w:id="120" w:name="policy-implications-recommendations"/>
    <w:p>
      <w:pPr>
        <w:pStyle w:val="Heading3"/>
      </w:pPr>
      <w:r>
        <w:t xml:space="preserve">8.2.6 Policy Implications &amp; Recommendations</w:t>
      </w:r>
    </w:p>
    <w:bookmarkEnd w:id="120"/>
    <w:bookmarkStart w:id="121" w:name="areas-for-future-research"/>
    <w:p>
      <w:pPr>
        <w:pStyle w:val="Heading3"/>
      </w:pPr>
      <w:r>
        <w:t xml:space="preserve">8.2.7 Areas for Future Research</w:t>
      </w:r>
    </w:p>
    <w:bookmarkEnd w:id="121"/>
    <w:bookmarkStart w:id="124" w:name="Xef0590cfc8bf216f4967d4414b7fab6ffccfc51"/>
    <w:p>
      <w:pPr>
        <w:pStyle w:val="Heading3"/>
      </w:pPr>
      <w:r>
        <w:t xml:space="preserve">8.2.8 Open Questions — Central/Remaining Questions &amp; Feedback</w:t>
      </w:r>
    </w:p>
    <w:bookmarkStart w:id="122" w:name="questions"/>
    <w:p>
      <w:pPr>
        <w:pStyle w:val="Heading4"/>
      </w:pPr>
      <w:r>
        <w:t xml:space="preserve">8.2.8.1 Questions:</w:t>
      </w:r>
    </w:p>
    <w:p>
      <w:pPr>
        <w:pStyle w:val="Compact"/>
        <w:numPr>
          <w:ilvl w:val="0"/>
          <w:numId w:val="1030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can interdisciplinary efforts enhance outcomes?</w:t>
      </w:r>
    </w:p>
    <w:bookmarkEnd w:id="122"/>
    <w:bookmarkStart w:id="123" w:name="feedback"/>
    <w:p>
      <w:pPr>
        <w:pStyle w:val="Heading4"/>
      </w:pPr>
      <w:r>
        <w:t xml:space="preserve">8.2.8.2 Feedback:</w:t>
      </w:r>
    </w:p>
    <w:p>
      <w:pPr>
        <w:pStyle w:val="Compact"/>
        <w:numPr>
          <w:ilvl w:val="0"/>
          <w:numId w:val="1031"/>
        </w:numPr>
      </w:pPr>
      <w:r>
        <w:t xml:space="preserve">Invite thoughts, critiques, and suggestions.</w:t>
      </w:r>
    </w:p>
    <w:bookmarkEnd w:id="123"/>
    <w:bookmarkEnd w:id="124"/>
    <w:bookmarkStart w:id="125" w:name="Xe8fa94800d764ef6b070d1730575db10a7178a3"/>
    <w:p>
      <w:pPr>
        <w:pStyle w:val="Heading3"/>
      </w:pPr>
      <w:r>
        <w:t xml:space="preserve">8.2.9 Outlook — Outlook &amp; Next Steps / Further Research</w:t>
      </w:r>
    </w:p>
    <w:bookmarkEnd w:id="125"/>
    <w:bookmarkEnd w:id="126"/>
    <w:bookmarkStart w:id="132" w:name="X896f6cd5c606a6c8066ef1a0944c90d9d7c65fc"/>
    <w:p>
      <w:pPr>
        <w:pStyle w:val="Heading2"/>
      </w:pPr>
      <w:r>
        <w:t xml:space="preserve">8.3 Conclusion: Toward an Adaptive AI Governance Framework</w:t>
      </w:r>
    </w:p>
    <w:bookmarkStart w:id="127" w:name="key-contributions-and-findings"/>
    <w:p>
      <w:pPr>
        <w:pStyle w:val="Heading3"/>
      </w:pPr>
      <w:r>
        <w:t xml:space="preserve">8.3.1 Key Contributions and Findings</w:t>
      </w:r>
    </w:p>
    <w:bookmarkEnd w:id="127"/>
    <w:bookmarkStart w:id="128" w:name="X5d798522e1d3e299526c32598e66204591eff7c"/>
    <w:p>
      <w:pPr>
        <w:pStyle w:val="Heading3"/>
      </w:pPr>
      <w:r>
        <w:t xml:space="preserve">8.3.2 Limitations of the Current Implementation</w:t>
      </w:r>
    </w:p>
    <w:bookmarkEnd w:id="128"/>
    <w:bookmarkStart w:id="129" w:name="policy-implications-and-recommendations"/>
    <w:p>
      <w:pPr>
        <w:pStyle w:val="Heading3"/>
      </w:pPr>
      <w:r>
        <w:t xml:space="preserve">8.3.3 Policy Implications and Recommendations</w:t>
      </w:r>
    </w:p>
    <w:bookmarkEnd w:id="129"/>
    <w:bookmarkStart w:id="130" w:name="future-research-directions"/>
    <w:p>
      <w:pPr>
        <w:pStyle w:val="Heading3"/>
      </w:pPr>
      <w:r>
        <w:t xml:space="preserve">8.3.4 Future Research Directions</w:t>
      </w:r>
    </w:p>
    <w:bookmarkEnd w:id="130"/>
    <w:bookmarkStart w:id="131" w:name="concluding-reflections"/>
    <w:p>
      <w:pPr>
        <w:pStyle w:val="Heading3"/>
      </w:pPr>
      <w:r>
        <w:t xml:space="preserve">8.3.5 Concluding Reflections</w:t>
      </w:r>
    </w:p>
    <w:bookmarkEnd w:id="131"/>
    <w:bookmarkEnd w:id="132"/>
    <w:bookmarkEnd w:id="133"/>
    <w:bookmarkStart w:id="134" w:name="frontmatter"/>
    <w:p>
      <w:pPr>
        <w:pStyle w:val="Heading1"/>
      </w:pPr>
      <w:r>
        <w:t xml:space="preserve">Frontmatter</w:t>
      </w:r>
    </w:p>
    <w:bookmarkEnd w:id="134"/>
    <w:bookmarkStart w:id="14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2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5.1: Policy impact evaluation results - summary metrics</w:t>
      </w:r>
    </w:p>
    <w:bookmarkEnd w:id="135"/>
    <w:bookmarkStart w:id="136" w:name="list-of-graphics-figures"/>
    <w:p>
      <w:pPr>
        <w:pStyle w:val="Heading2"/>
      </w:pPr>
      <w:r>
        <w:t xml:space="preserve">List of Graphics &amp; Figures</w:t>
      </w:r>
    </w:p>
    <w:bookmarkEnd w:id="136"/>
    <w:bookmarkStart w:id="13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3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CPT - Conditional Probability Table</w:t>
      </w:r>
    </w:p>
    <w:bookmarkEnd w:id="137"/>
    <w:bookmarkStart w:id="138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38"/>
    <w:bookmarkStart w:id="139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39"/>
    <w:bookmarkStart w:id="140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5"/>
        </w:numPr>
      </w:pPr>
      <w:r>
        <w:t xml:space="preserve">introduce all terminology</w:t>
      </w:r>
    </w:p>
    <w:p>
      <w:pPr>
        <w:pStyle w:val="Compact"/>
        <w:numPr>
          <w:ilvl w:val="1"/>
          <w:numId w:val="1036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readership is intelligent and interested but has no prior knowledge</w:t>
      </w:r>
    </w:p>
    <w:bookmarkEnd w:id="140"/>
    <w:bookmarkStart w:id="141" w:name="section"/>
    <w:p>
      <w:pPr>
        <w:pStyle w:val="Heading2"/>
      </w:pPr>
    </w:p>
    <w:bookmarkEnd w:id="141"/>
    <w:bookmarkStart w:id="143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37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2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2"/>
    <w:bookmarkEnd w:id="143"/>
    <w:bookmarkEnd w:id="144"/>
    <w:bookmarkStart w:id="161" w:name="quarto-syntax"/>
    <w:p>
      <w:pPr>
        <w:pStyle w:val="Heading1"/>
      </w:pPr>
      <w:r>
        <w:t xml:space="preserve">9. Quarto Syntax</w:t>
      </w:r>
    </w:p>
    <w:bookmarkStart w:id="152" w:name="sec-figues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7" w:name="fig-automation_pipeline"/>
          <w:p>
            <w:pPr>
              <w:pStyle w:val="Compact"/>
              <w:jc w:val="center"/>
            </w:pPr>
            <w:hyperlink r:id="rId72">
              <w:r>
                <w:drawing>
                  <wp:inline>
                    <wp:extent cx="5334000" cy="4000500"/>
                    <wp:effectExtent b="0" l="0" r="0" t="0"/>
                    <wp:docPr descr="AMTAIR Automation Pipeline from Bucknall and Dori-Hacohen (2022)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9.1: AMTAIR Automation Pipeline from</w:t>
            </w:r>
            <w:r>
              <w:t xml:space="preserve"> </w:t>
            </w:r>
            <w:r>
              <w:t xml:space="preserve">Bucknall and Dori-Hacohen (2022)</w:t>
            </w:r>
          </w:p>
          <w:bookmarkEnd w:id="14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9.1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1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149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1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9.2: Caption/Title 2</w:t>
            </w:r>
          </w:p>
          <w:bookmarkEnd w:id="151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9.2</w:t>
        </w:r>
      </w:hyperlink>
      <w:r>
        <w:t xml:space="preserve">.</w:t>
      </w:r>
    </w:p>
    <w:bookmarkEnd w:id="152"/>
    <w:bookmarkStart w:id="153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Soares and Fallenstein (2014)</w:t>
      </w:r>
      <w:r>
        <w:t xml:space="preserve"> </w:t>
      </w:r>
    </w:p>
    <w:p>
      <w:pPr>
        <w:pStyle w:val="BodyText"/>
      </w:pPr>
      <w:r>
        <w:t xml:space="preserve">(Soares and Fallenstein 2014)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Growiec says blah</w:t>
      </w:r>
      <w:r>
        <w:t xml:space="preserve"> </w:t>
      </w:r>
      <w:r>
        <w:t xml:space="preserve">(2024)</w:t>
      </w:r>
    </w:p>
    <w:bookmarkEnd w:id="153"/>
    <w:bookmarkStart w:id="154" w:name="sec-heading"/>
    <w:p>
      <w:pPr>
        <w:pStyle w:val="Heading2"/>
      </w:pPr>
      <w:r>
        <w:t xml:space="preserve">9.1 Headings &amp; Potential Headings</w:t>
      </w:r>
    </w:p>
    <w:bookmarkEnd w:id="154"/>
    <w:bookmarkStart w:id="160" w:name="sidebars-for-comments"/>
    <w:p>
      <w:pPr>
        <w:pStyle w:val="Heading2"/>
      </w:pPr>
      <w:r>
        <w:t xml:space="preserve">9.2 Sidebars for comments</w:t>
      </w:r>
    </w:p>
    <w:p>
      <w:pPr>
        <w:pStyle w:val="FirstParagraph"/>
      </w:pPr>
      <w:r>
        <w:t xml:space="preserve">Create Sidebars by applying the .sidebar attribute to a level 1 heading (for global sidebars) or level 2 heading (for page level sidebars).</w:t>
      </w:r>
    </w:p>
    <w:p>
      <w:pPr>
        <w:pStyle w:val="BodyText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“Suggested Citations (e.g. carlsmith 2024 on …)”</w:t>
      </w:r>
      <w:r>
        <w:t xml:space="preserve"> </w:t>
      </w:r>
      <w:r>
        <w:t xml:space="preserve">and/or claims which require a citation (e.g. claim x should be backed-up by a ciation from the literature)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55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6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9.1</w:t>
        </w:r>
      </w:hyperlink>
      <w:r>
        <w:t xml:space="preserve">.</w:t>
      </w:r>
    </w:p>
    <w:bookmarkEnd w:id="160"/>
    <w:bookmarkEnd w:id="161"/>
    <w:bookmarkStart w:id="169" w:name="bibliography-references"/>
    <w:p>
      <w:pPr>
        <w:pStyle w:val="Heading1"/>
      </w:pPr>
      <w:r>
        <w:t xml:space="preserve">Bibliography (References)</w:t>
      </w:r>
    </w:p>
    <w:bookmarkStart w:id="168" w:name="refs"/>
    <w:bookmarkStart w:id="163" w:name="ref-bucknall2022"/>
    <w:p>
      <w:pPr>
        <w:pStyle w:val="Bibliography"/>
      </w:pPr>
      <w:r>
        <w:t xml:space="preserve">Bucknall, Benjamin S., and Shiri Dori-Hacohen. 2022.</w:t>
      </w:r>
      <w:r>
        <w:t xml:space="preserve"> </w:t>
      </w:r>
      <w:r>
        <w:t xml:space="preserve">“Current and</w:t>
      </w:r>
      <w:r>
        <w:t xml:space="preserve"> </w:t>
      </w:r>
      <w:r>
        <w:t xml:space="preserve">Near-Term AI</w:t>
      </w:r>
      <w:r>
        <w:t xml:space="preserve"> </w:t>
      </w:r>
      <w:r>
        <w:t xml:space="preserve">as a</w:t>
      </w:r>
      <w:r>
        <w:t xml:space="preserve"> </w:t>
      </w:r>
      <w:r>
        <w:t xml:space="preserve">Potential Existential Risk Factor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2022</w:t>
      </w:r>
      <w:r>
        <w:rPr>
          <w:i/>
          <w:iCs/>
        </w:rPr>
        <w:t xml:space="preserve"> </w:t>
      </w:r>
      <w:r>
        <w:rPr>
          <w:i/>
          <w:iCs/>
        </w:rPr>
        <w:t xml:space="preserve">AAAI</w:t>
      </w:r>
      <w:r>
        <w:rPr>
          <w:i/>
          <w:iCs/>
        </w:rPr>
        <w:t xml:space="preserve">/</w:t>
      </w:r>
      <w:r>
        <w:rPr>
          <w:i/>
          <w:iCs/>
        </w:rPr>
        <w:t xml:space="preserve">ACM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AI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Ethics</w:t>
      </w:r>
      <w:r>
        <w:rPr>
          <w:i/>
          <w:iCs/>
        </w:rPr>
        <w:t xml:space="preserve">, and</w:t>
      </w:r>
      <w:r>
        <w:rPr>
          <w:i/>
          <w:iCs/>
        </w:rPr>
        <w:t xml:space="preserve"> </w:t>
      </w:r>
      <w:r>
        <w:rPr>
          <w:i/>
          <w:iCs/>
        </w:rPr>
        <w:t xml:space="preserve">Society</w:t>
      </w:r>
      <w:r>
        <w:t xml:space="preserve">, 119–29. Oxford United Kingdom: ACM.</w:t>
      </w:r>
      <w:r>
        <w:t xml:space="preserve"> </w:t>
      </w:r>
      <w:hyperlink r:id="rId162">
        <w:r>
          <w:rPr>
            <w:rStyle w:val="Hyperlink"/>
          </w:rPr>
          <w:t xml:space="preserve">https://doi.org/10.1145/3514094.3534146</w:t>
        </w:r>
      </w:hyperlink>
      <w:r>
        <w:t xml:space="preserve">.</w:t>
      </w:r>
    </w:p>
    <w:bookmarkEnd w:id="163"/>
    <w:bookmarkStart w:id="164" w:name="ref-growiec2024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, 1–27.</w:t>
      </w:r>
    </w:p>
    <w:bookmarkEnd w:id="164"/>
    <w:bookmarkStart w:id="166" w:name="ref-knuth19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6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66"/>
    <w:bookmarkStart w:id="167" w:name="ref-soares2014"/>
    <w:p>
      <w:pPr>
        <w:pStyle w:val="Bibliography"/>
      </w:pPr>
      <w:r>
        <w:t xml:space="preserve">Soares, Nate, and Benja Fallenstein. 2014.</w:t>
      </w:r>
      <w:r>
        <w:t xml:space="preserve"> </w:t>
      </w:r>
      <w:r>
        <w:t xml:space="preserve">“Aligning Superintelligence with Human Interests:</w:t>
      </w:r>
      <w:r>
        <w:t xml:space="preserve"> </w:t>
      </w:r>
      <w:r>
        <w:t xml:space="preserve">A</w:t>
      </w:r>
      <w:r>
        <w:t xml:space="preserve"> </w:t>
      </w:r>
      <w:r>
        <w:t xml:space="preserve">Technical Research Agenda.”</w:t>
      </w:r>
    </w:p>
    <w:bookmarkEnd w:id="167"/>
    <w:bookmarkEnd w:id="168"/>
    <w:bookmarkEnd w:id="169"/>
    <w:bookmarkStart w:id="174" w:name="appendices-1"/>
    <w:p>
      <w:pPr>
        <w:pStyle w:val="Heading1"/>
      </w:pPr>
      <w:r>
        <w:t xml:space="preserve">Appendix A — Appendices</w:t>
      </w:r>
    </w:p>
    <w:bookmarkStart w:id="170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70"/>
    <w:bookmarkStart w:id="171" w:name="appendix-b-model-validation-procedures"/>
    <w:p>
      <w:pPr>
        <w:pStyle w:val="Heading2"/>
      </w:pPr>
      <w:r>
        <w:t xml:space="preserve">A.2 Appendix B: Model Validation Procedures</w:t>
      </w:r>
    </w:p>
    <w:bookmarkEnd w:id="171"/>
    <w:bookmarkStart w:id="172" w:name="appendix-c-case-studies"/>
    <w:p>
      <w:pPr>
        <w:pStyle w:val="Heading2"/>
      </w:pPr>
      <w:r>
        <w:t xml:space="preserve">A.3 Appendix C: Case Studies</w:t>
      </w:r>
    </w:p>
    <w:bookmarkEnd w:id="172"/>
    <w:bookmarkStart w:id="173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73"/>
    <w:bookmarkEnd w:id="174"/>
    <w:bookmarkStart w:id="175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8" Target="media/rId148.png" /><Relationship Type="http://schemas.openxmlformats.org/officeDocument/2006/relationships/image" Id="rId69" Target="media/rId69.png" /><Relationship Type="http://schemas.openxmlformats.org/officeDocument/2006/relationships/image" Id="rId157" Target="media/rId157.png" /><Relationship Type="http://schemas.openxmlformats.org/officeDocument/2006/relationships/hyperlink" Id="rId165" Target="https://doi.org/10.1093/comjnl/27.2.97" TargetMode="External" /><Relationship Type="http://schemas.openxmlformats.org/officeDocument/2006/relationships/hyperlink" Id="rId162" Target="https://doi.org/10.1145/3514094.3534146" TargetMode="External" /><Relationship Type="http://schemas.openxmlformats.org/officeDocument/2006/relationships/hyperlink" Id="rId72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5" Target="https://doi.org/10.1093/comjnl/27.2.97" TargetMode="External" /><Relationship Type="http://schemas.openxmlformats.org/officeDocument/2006/relationships/hyperlink" Id="rId162" Target="https://doi.org/10.1145/3514094.3534146" TargetMode="External" /><Relationship Type="http://schemas.openxmlformats.org/officeDocument/2006/relationships/hyperlink" Id="rId72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2025-05-21T14:51:05Z</dcterms:created>
  <dcterms:modified xsi:type="dcterms:W3CDTF">2025-05-21T14:51:05Z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