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8.png" ContentType="image/png"/>
  <Override PartName="/word/media/rId68.png" ContentType="image/png"/>
  <Override PartName="/word/media/rId1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43" w:name="introduction"/>
    <w:p>
      <w:pPr>
        <w:pStyle w:val="Heading1"/>
      </w:pPr>
      <w:r>
        <w:t xml:space="preserve">1. Introduction</w:t>
      </w:r>
    </w:p>
    <w:p>
      <w:pPr>
        <w:pStyle w:val="SourceCode"/>
      </w:pPr>
      <w:r>
        <w:rPr>
          <w:rStyle w:val="VerbatimChar"/>
        </w:rPr>
        <w:t xml:space="preserve">10% of Grade: ~ 14% of text ~ 4200 words ~ 10 pages</w:t>
      </w:r>
      <w:r>
        <w:br/>
      </w:r>
      <w:r>
        <w:br/>
      </w:r>
      <w:r>
        <w:rPr>
          <w:rStyle w:val="VerbatimChar"/>
        </w:rPr>
        <w:t xml:space="preserve">-   introduces and motivates the core question or problem</w:t>
      </w:r>
      <w:r>
        <w:br/>
      </w:r>
      <w:r>
        <w:rPr>
          <w:rStyle w:val="VerbatimChar"/>
        </w:rPr>
        <w:t xml:space="preserve">-   provides context for discussion (places issue within a larger debate or sphere of relevance)</w:t>
      </w:r>
      <w:r>
        <w:br/>
      </w:r>
      <w:r>
        <w:rPr>
          <w:rStyle w:val="VerbatimChar"/>
        </w:rPr>
        <w:t xml:space="preserve">-   states precise thesis or position the author will argue for</w:t>
      </w:r>
      <w:r>
        <w:br/>
      </w:r>
      <w:r>
        <w:rPr>
          <w:rStyle w:val="VerbatimChar"/>
        </w:rPr>
        <w:t xml:space="preserve">-   provides roadmap indicating structure and key content points of the essay</w:t>
      </w:r>
    </w:p>
    <w:bookmarkStart w:id="24" w:name="abstract"/>
    <w:p>
      <w:pPr>
        <w:pStyle w:val="Heading2"/>
      </w:pPr>
      <w:r>
        <w:t xml:space="preserve">1.1 Abstract</w:t>
      </w:r>
    </w:p>
    <w:p>
      <w:pPr>
        <w:pStyle w:val="FirstParagraph"/>
      </w:pPr>
      <w:r>
        <w:rPr>
          <w:rStyle w:val="VerbatimChar"/>
        </w:rPr>
        <w:t xml:space="preserve">[x]  introduces and motivates the core question or problem</w:t>
      </w:r>
    </w:p>
    <w:bookmarkEnd w:id="24"/>
    <w:bookmarkStart w:id="25" w:name="motivation-problem-statement"/>
    <w:p>
      <w:pPr>
        <w:pStyle w:val="Heading2"/>
      </w:pPr>
      <w:r>
        <w:t xml:space="preserve">1.2 Motivation: Problem Statement</w:t>
      </w:r>
    </w:p>
    <w:p>
      <w:pPr>
        <w:pStyle w:val="SourceCode"/>
      </w:pPr>
      <w:r>
        <w:rPr>
          <w:rStyle w:val="VerbatimChar"/>
        </w:rPr>
        <w:t xml:space="preserve">    AIs are (on the path to) getting smarter than humans</w:t>
      </w:r>
      <w:r>
        <w:br/>
      </w:r>
      <w:r>
        <w:rPr>
          <w:rStyle w:val="VerbatimChar"/>
        </w:rPr>
        <w:t xml:space="preserve">    Humanities (de-centralized) collective information processing, sense-making AND coordination/cooperation is falling behind</w:t>
      </w:r>
      <w:r>
        <w:br/>
      </w:r>
      <w:r>
        <w:rPr>
          <w:rStyle w:val="VerbatimChar"/>
        </w:rPr>
        <w:t xml:space="preserve">    BUT new technology/AI also enables new modes/methods of collective information processing</w:t>
      </w:r>
      <w:r>
        <w:br/>
      </w:r>
      <w:r>
        <w:rPr>
          <w:rStyle w:val="VerbatimChar"/>
        </w:rPr>
        <w:t xml:space="preserve">    therefore this thesis/AMTAIR aspires to be an epistemic tool that enables/empowers humanity (collectively)</w:t>
      </w:r>
    </w:p>
    <w:bookmarkEnd w:id="25"/>
    <w:bookmarkStart w:id="26" w:name="motivation-research-question"/>
    <w:p>
      <w:pPr>
        <w:pStyle w:val="Heading2"/>
      </w:pPr>
      <w:r>
        <w:t xml:space="preserve">1.3 Motivation: Research Question</w:t>
      </w:r>
    </w:p>
    <w:p>
      <w:pPr>
        <w:pStyle w:val="FirstParagraph"/>
      </w:pPr>
      <w:r>
        <w:rPr>
          <w:rStyle w:val="VerbatimChar"/>
        </w:rPr>
        <w:t xml:space="preserve">- [ ] provides context for discussion (places issue within a larger debate or sphere of relevance)</w:t>
      </w:r>
    </w:p>
    <w:bookmarkEnd w:id="26"/>
    <w:bookmarkStart w:id="27" w:name="scope-aim-context-of-the-research"/>
    <w:p>
      <w:pPr>
        <w:pStyle w:val="Heading2"/>
      </w:pPr>
      <w:r>
        <w:t xml:space="preserve">1.4 Scope: Aim &amp; Context of the Research</w:t>
      </w:r>
    </w:p>
    <w:bookmarkEnd w:id="27"/>
    <w:bookmarkStart w:id="28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rPr>
          <w:rStyle w:val="VerbatimChar"/>
        </w:rPr>
        <w:t xml:space="preserve">-[ ] states precise thesis or position the author will argue for</w:t>
      </w:r>
    </w:p>
    <w:bookmarkEnd w:id="28"/>
    <w:bookmarkStart w:id="29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FirstParagraph"/>
      </w:pPr>
      <w:r>
        <w:rPr>
          <w:rStyle w:val="VerbatimChar"/>
        </w:rPr>
        <w:t xml:space="preserve">AMTAIR is a new epistemic tool/framework that enables/empowers humanities collective information processing, comprehension and thereby enables the necessary coordination ... (to compete with AIs?)</w:t>
      </w:r>
    </w:p>
    <w:p>
      <w:pPr>
        <w:pStyle w:val="BodyText"/>
      </w:pPr>
      <w:r>
        <w:rPr>
          <w:rStyle w:val="VerbatimChar"/>
        </w:rPr>
        <w:t xml:space="preserve">[ ] provides roadmap indicating structure and key content points of the essay</w:t>
      </w:r>
    </w:p>
    <w:bookmarkEnd w:id="29"/>
    <w:bookmarkStart w:id="30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0"/>
    <w:bookmarkStart w:id="31" w:name="table-of-contents"/>
    <w:p>
      <w:pPr>
        <w:pStyle w:val="Heading2"/>
      </w:pPr>
      <w:r>
        <w:t xml:space="preserve">1.8 Table of Contents</w:t>
      </w:r>
    </w:p>
    <w:bookmarkEnd w:id="31"/>
    <w:bookmarkStart w:id="32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1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2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3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4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5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Need for Automation:</w:t>
      </w:r>
    </w:p>
    <w:p>
      <w:pPr>
        <w:pStyle w:val="Compact"/>
        <w:numPr>
          <w:ilvl w:val="1"/>
          <w:numId w:val="1006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07"/>
        </w:numPr>
      </w:pPr>
      <w:r>
        <w:t xml:space="preserve">Leveraging new technologies to enhance our ability to model and mitigate AI risks.</w:t>
      </w:r>
    </w:p>
    <w:bookmarkEnd w:id="32"/>
    <w:bookmarkStart w:id="36" w:name="aim-of-the-paper"/>
    <w:p>
      <w:pPr>
        <w:pStyle w:val="Heading2"/>
      </w:pPr>
      <w:r>
        <w:t xml:space="preserve">1.10 Aim of the Paper</w:t>
      </w:r>
    </w:p>
    <w:bookmarkStart w:id="34" w:name="research-question-scope"/>
    <w:p>
      <w:pPr>
        <w:pStyle w:val="Heading3"/>
      </w:pPr>
      <w:r>
        <w:t xml:space="preserve">1.10.1 Research Question &amp; Scope</w:t>
      </w:r>
    </w:p>
    <w:bookmarkStart w:id="33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3"/>
    <w:bookmarkEnd w:id="34"/>
    <w:bookmarkStart w:id="35" w:name="significance-of-the-research"/>
    <w:p>
      <w:pPr>
        <w:pStyle w:val="Heading3"/>
      </w:pPr>
      <w:r>
        <w:t xml:space="preserve">1.10.2 Significance of the Research</w:t>
      </w:r>
    </w:p>
    <w:bookmarkEnd w:id="35"/>
    <w:bookmarkEnd w:id="36"/>
    <w:bookmarkStart w:id="41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08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09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09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09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0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1"/>
        </w:numPr>
      </w:pPr>
      <w:r>
        <w:t xml:space="preserve">A diagram illustrating how each component amplifies the others, leading to greater overall impact.</w:t>
      </w:r>
    </w:p>
    <w:bookmarkStart w:id="37" w:name="the-coordination-crisis-in-ai-governance"/>
    <w:p>
      <w:pPr>
        <w:pStyle w:val="Heading3"/>
      </w:pPr>
      <w:r>
        <w:t xml:space="preserve">1.11.1 The Coordination Crisis in AI Governance</w:t>
      </w:r>
    </w:p>
    <w:bookmarkEnd w:id="37"/>
    <w:bookmarkStart w:id="38" w:name="research-question-and-scope"/>
    <w:p>
      <w:pPr>
        <w:pStyle w:val="Heading3"/>
      </w:pPr>
      <w:r>
        <w:t xml:space="preserve">1.11.2 1.2 Research Question and Scope</w:t>
      </w:r>
    </w:p>
    <w:bookmarkEnd w:id="38"/>
    <w:bookmarkStart w:id="39" w:name="the-multiplicative-benefits-framework"/>
    <w:p>
      <w:pPr>
        <w:pStyle w:val="Heading3"/>
      </w:pPr>
      <w:r>
        <w:t xml:space="preserve">1.11.3 1.3 The Multiplicative Benefits Framework</w:t>
      </w:r>
    </w:p>
    <w:bookmarkEnd w:id="39"/>
    <w:bookmarkStart w:id="40" w:name="from-theory-to-practice-a-roadmap"/>
    <w:p>
      <w:pPr>
        <w:pStyle w:val="Heading3"/>
      </w:pPr>
      <w:r>
        <w:t xml:space="preserve">1.11.4 1.4 From Theory to Practice: A Roadmap</w:t>
      </w:r>
    </w:p>
    <w:bookmarkEnd w:id="40"/>
    <w:bookmarkEnd w:id="41"/>
    <w:bookmarkStart w:id="42" w:name="overview-table-of-contents"/>
    <w:p>
      <w:pPr>
        <w:pStyle w:val="Heading2"/>
      </w:pPr>
      <w:r>
        <w:t xml:space="preserve">1.12 Overview / Table of Contents</w:t>
      </w:r>
    </w:p>
    <w:bookmarkEnd w:id="42"/>
    <w:bookmarkEnd w:id="43"/>
    <w:bookmarkStart w:id="76" w:name="context"/>
    <w:p>
      <w:pPr>
        <w:pStyle w:val="Heading1"/>
      </w:pPr>
      <w:r>
        <w:t xml:space="preserve">2. Context</w:t>
      </w:r>
    </w:p>
    <w:p>
      <w:pPr>
        <w:pStyle w:val="SourceCode"/>
      </w:pPr>
      <w:r>
        <w:rPr>
          <w:rStyle w:val="VerbatimChar"/>
        </w:rPr>
        <w:t xml:space="preserve">### 20% of Grade: ~ 29% of text ~ 8700 words ~ 20 pages</w:t>
      </w:r>
      <w:r>
        <w:br/>
      </w:r>
      <w:r>
        <w:br/>
      </w:r>
      <w:r>
        <w:rPr>
          <w:rStyle w:val="VerbatimChar"/>
        </w:rPr>
        <w:t xml:space="preserve">- demonstrates understanding of all relevant core concepts</w:t>
      </w:r>
      <w:r>
        <w:br/>
      </w:r>
      <w:r>
        <w:br/>
      </w:r>
      <w:r>
        <w:rPr>
          <w:rStyle w:val="VerbatimChar"/>
        </w:rPr>
        <w:t xml:space="preserve">- explains why the question/thesis/problem is relevant in student’s own words (supported by quotations)</w:t>
      </w:r>
      <w:r>
        <w:br/>
      </w:r>
      <w:r>
        <w:br/>
      </w:r>
      <w:r>
        <w:rPr>
          <w:rStyle w:val="VerbatimChar"/>
        </w:rPr>
        <w:t xml:space="preserve">- situates it within the debate/course material</w:t>
      </w:r>
      <w:r>
        <w:br/>
      </w:r>
      <w:r>
        <w:br/>
      </w:r>
      <w:r>
        <w:rPr>
          <w:rStyle w:val="VerbatimChar"/>
        </w:rPr>
        <w:t xml:space="preserve">- reconstructs selected arguments and identifies relevant assumptions</w:t>
      </w:r>
      <w:r>
        <w:br/>
      </w:r>
      <w:r>
        <w:br/>
      </w:r>
      <w:r>
        <w:rPr>
          <w:rStyle w:val="VerbatimChar"/>
        </w:rPr>
        <w:t xml:space="preserve">- describes additional relevant material that has been consulted and integrates it with the course material as well as the research question/thesis/problem</w:t>
      </w:r>
    </w:p>
    <w:p>
      <w:pPr>
        <w:pStyle w:val="Compact"/>
        <w:numPr>
          <w:ilvl w:val="0"/>
          <w:numId w:val="1012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Start w:id="44" w:name="background-considerations"/>
    <w:p>
      <w:pPr>
        <w:pStyle w:val="Heading2"/>
      </w:pPr>
      <w:r>
        <w:t xml:space="preserve">2.1 Background Considerations</w:t>
      </w:r>
    </w:p>
    <w:bookmarkEnd w:id="44"/>
    <w:bookmarkStart w:id="48" w:name="literature-concepts-terminology"/>
    <w:p>
      <w:pPr>
        <w:pStyle w:val="Heading2"/>
      </w:pPr>
      <w:r>
        <w:t xml:space="preserve">2.2 Literature, Concepts &amp; Terminology</w:t>
      </w:r>
    </w:p>
    <w:bookmarkStart w:id="45" w:name="dag-bayesnets"/>
    <w:p>
      <w:pPr>
        <w:pStyle w:val="Heading3"/>
      </w:pPr>
      <w:r>
        <w:t xml:space="preserve">2.2.1 DAG / BayesNets</w:t>
      </w:r>
    </w:p>
    <w:bookmarkEnd w:id="45"/>
    <w:bookmarkStart w:id="47" w:name="state-of-the-art-mtair-explanation"/>
    <w:p>
      <w:pPr>
        <w:pStyle w:val="Heading3"/>
      </w:pPr>
      <w:r>
        <w:t xml:space="preserve">2.2.2 State of the art (MTAIR) — Explanation</w:t>
      </w:r>
    </w:p>
    <w:bookmarkStart w:id="46" w:name="carlsmith-model-analytica"/>
    <w:p>
      <w:pPr>
        <w:pStyle w:val="Heading4"/>
      </w:pPr>
      <w:r>
        <w:t xml:space="preserve">2.2.2.1 Carlsmith Model (Analytica)</w:t>
      </w:r>
    </w:p>
    <w:bookmarkEnd w:id="46"/>
    <w:bookmarkEnd w:id="47"/>
    <w:bookmarkEnd w:id="48"/>
    <w:bookmarkStart w:id="56" w:name="theoretical-foundations"/>
    <w:p>
      <w:pPr>
        <w:pStyle w:val="Heading2"/>
      </w:pPr>
      <w:r>
        <w:t xml:space="preserve">2.3 Theoretical Foundations</w:t>
      </w:r>
    </w:p>
    <w:bookmarkStart w:id="49" w:name="ai-existential-risk-the-carlsmith-model"/>
    <w:p>
      <w:pPr>
        <w:pStyle w:val="Heading3"/>
      </w:pPr>
      <w:r>
        <w:t xml:space="preserve">2.3.1</w:t>
      </w:r>
      <w:r>
        <w:t xml:space="preserve"> </w:t>
      </w:r>
      <w:r>
        <w:rPr>
          <w:b/>
          <w:bCs/>
        </w:rPr>
        <w:t xml:space="preserve">AI Existential Risk: The Carlsmith Model</w:t>
      </w:r>
    </w:p>
    <w:bookmarkEnd w:id="49"/>
    <w:bookmarkStart w:id="50" w:name="X91a49f00b00256855b1912b70029b9b6b7b2857"/>
    <w:p>
      <w:pPr>
        <w:pStyle w:val="Heading3"/>
      </w:pPr>
      <w:r>
        <w:t xml:space="preserve">2.3.2</w:t>
      </w:r>
      <w:r>
        <w:t xml:space="preserve"> </w:t>
      </w:r>
      <w:r>
        <w:rPr>
          <w:b/>
          <w:bCs/>
        </w:rPr>
        <w:t xml:space="preserve">The Epistemic Challenge of Policy Evaluation</w:t>
      </w:r>
    </w:p>
    <w:bookmarkEnd w:id="50"/>
    <w:bookmarkStart w:id="51" w:name="Xf9873595ae72059ab1876785ea560ce11cc3997"/>
    <w:p>
      <w:pPr>
        <w:pStyle w:val="Heading3"/>
      </w:pPr>
      <w:r>
        <w:t xml:space="preserve">2.3.3</w:t>
      </w:r>
      <w:r>
        <w:t xml:space="preserve"> </w:t>
      </w:r>
      <w:r>
        <w:rPr>
          <w:b/>
          <w:bCs/>
        </w:rPr>
        <w:t xml:space="preserve">Argument Mapping and Formal Representations</w:t>
      </w:r>
    </w:p>
    <w:bookmarkEnd w:id="51"/>
    <w:bookmarkStart w:id="52" w:name="X9500d12fd1e4ca78dcbd8924f15d0d3e5307aac"/>
    <w:p>
      <w:pPr>
        <w:pStyle w:val="Heading3"/>
      </w:pPr>
      <w:r>
        <w:t xml:space="preserve">2.3.4</w:t>
      </w:r>
      <w:r>
        <w:t xml:space="preserve"> </w:t>
      </w:r>
      <w:r>
        <w:rPr>
          <w:b/>
          <w:bCs/>
        </w:rPr>
        <w:t xml:space="preserve">Bayesian Networks as Knowledge Representation</w:t>
      </w:r>
    </w:p>
    <w:bookmarkEnd w:id="52"/>
    <w:bookmarkStart w:id="53" w:name="Xe635a40d8ac5d30cc40227ab9425172fe1dc5dd"/>
    <w:p>
      <w:pPr>
        <w:pStyle w:val="Heading3"/>
      </w:pPr>
      <w:r>
        <w:t xml:space="preserve">2.3.5</w:t>
      </w:r>
      <w:r>
        <w:t xml:space="preserve"> </w:t>
      </w:r>
      <w:r>
        <w:rPr>
          <w:b/>
          <w:bCs/>
        </w:rPr>
        <w:t xml:space="preserve">The MTAIR Framework: Achievements and Limitations</w:t>
      </w:r>
    </w:p>
    <w:bookmarkEnd w:id="53"/>
    <w:bookmarkStart w:id="54" w:name="X5374cdac9e1327fb0afd877cf58faebc495e1b9"/>
    <w:p>
      <w:pPr>
        <w:pStyle w:val="Heading3"/>
      </w:pPr>
      <w:r>
        <w:t xml:space="preserve">2.3.6</w:t>
      </w:r>
      <w:r>
        <w:t xml:space="preserve"> </w:t>
      </w:r>
      <w:r>
        <w:rPr>
          <w:b/>
          <w:bCs/>
        </w:rPr>
        <w:t xml:space="preserve">“A Narrow Path”</w:t>
      </w:r>
      <w:r>
        <w:rPr>
          <w:b/>
          <w:bCs/>
        </w:rPr>
        <w:t xml:space="preserve">: Conditional Policy Proposals in Practice</w:t>
      </w:r>
    </w:p>
    <w:bookmarkEnd w:id="54"/>
    <w:bookmarkStart w:id="55" w:name="intro-example-rainsprinklerlawn"/>
    <w:p>
      <w:pPr>
        <w:pStyle w:val="Heading3"/>
      </w:pPr>
      <w:r>
        <w:t xml:space="preserve">2.3.7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5"/>
    <w:bookmarkEnd w:id="56"/>
    <w:bookmarkStart w:id="64" w:name="methodology"/>
    <w:p>
      <w:pPr>
        <w:pStyle w:val="Heading2"/>
      </w:pPr>
      <w:r>
        <w:t xml:space="preserve">2.4 Methodology</w:t>
      </w:r>
    </w:p>
    <w:bookmarkStart w:id="63" w:name="Xae2574e1d22efc897c0202b5ac519f3ce8a7115"/>
    <w:p>
      <w:pPr>
        <w:pStyle w:val="Heading3"/>
      </w:pPr>
      <w:r>
        <w:t xml:space="preserve">2.4.1 From World Models to Computational Representation</w:t>
      </w:r>
    </w:p>
    <w:bookmarkStart w:id="57" w:name="research-design-overview"/>
    <w:p>
      <w:pPr>
        <w:pStyle w:val="Heading4"/>
      </w:pPr>
      <w:r>
        <w:t xml:space="preserve">2.4.1.1 Research Design Overview</w:t>
      </w:r>
    </w:p>
    <w:bookmarkEnd w:id="57"/>
    <w:bookmarkStart w:id="58" w:name="X76f5f8eaf47596f82627e8927c0cd2faa31eae8"/>
    <w:p>
      <w:pPr>
        <w:pStyle w:val="Heading4"/>
      </w:pPr>
      <w:r>
        <w:t xml:space="preserve">2.4.1.2 Formalizing World Models from AI Safety Literature</w:t>
      </w:r>
    </w:p>
    <w:bookmarkEnd w:id="58"/>
    <w:bookmarkStart w:id="59" w:name="Xd4b65e73849db9ac382ed4318a544d75d857b46"/>
    <w:p>
      <w:pPr>
        <w:pStyle w:val="Heading4"/>
      </w:pPr>
      <w:r>
        <w:t xml:space="preserve">2.4.1.3 Directed Acyclic Graphs: Structure and Semantics</w:t>
      </w:r>
    </w:p>
    <w:bookmarkEnd w:id="59"/>
    <w:bookmarkStart w:id="60" w:name="X506a63e389a1208f09235d32273028a3ea2a1c3"/>
    <w:p>
      <w:pPr>
        <w:pStyle w:val="Heading4"/>
      </w:pPr>
      <w:r>
        <w:t xml:space="preserve">2.4.1.4 Quantification Approaches for Probabilistic Judgments</w:t>
      </w:r>
    </w:p>
    <w:bookmarkEnd w:id="60"/>
    <w:bookmarkStart w:id="61" w:name="Xb8692c9c1722daf3cfc414e3117e9b69575a3e4"/>
    <w:p>
      <w:pPr>
        <w:pStyle w:val="Heading4"/>
      </w:pPr>
      <w:r>
        <w:t xml:space="preserve">2.4.1.5 Inference Techniques for Complex Networks</w:t>
      </w:r>
    </w:p>
    <w:bookmarkEnd w:id="61"/>
    <w:bookmarkStart w:id="62" w:name="Xb71ce03e6cc498eae9f4abd64ccf44001998950"/>
    <w:p>
      <w:pPr>
        <w:pStyle w:val="Heading4"/>
      </w:pPr>
      <w:r>
        <w:t xml:space="preserve">2.4.1.6 Integration with Prediction Markets and Forecasting Platforms</w:t>
      </w:r>
    </w:p>
    <w:bookmarkEnd w:id="62"/>
    <w:bookmarkEnd w:id="63"/>
    <w:bookmarkEnd w:id="64"/>
    <w:bookmarkStart w:id="75" w:name="practical-real-world-examples"/>
    <w:p>
      <w:pPr>
        <w:pStyle w:val="Heading2"/>
      </w:pPr>
      <w:r>
        <w:t xml:space="preserve">2.5 Practical Real World Examples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65" w:name="kialo"/>
    <w:p>
      <w:pPr>
        <w:pStyle w:val="Heading4"/>
      </w:pPr>
      <w:r>
        <w:t xml:space="preserve">2.5.0.1 Kialo</w:t>
      </w:r>
    </w:p>
    <w:bookmarkEnd w:id="65"/>
    <w:bookmarkStart w:id="66" w:name="bayeserver"/>
    <w:p>
      <w:pPr>
        <w:pStyle w:val="Heading4"/>
      </w:pPr>
      <w:r>
        <w:t xml:space="preserve">2.5.0.2 BayeServer</w:t>
      </w:r>
    </w:p>
    <w:bookmarkEnd w:id="66"/>
    <w:bookmarkStart w:id="67" w:name="bayesnet-extended-example"/>
    <w:p>
      <w:pPr>
        <w:pStyle w:val="Heading4"/>
      </w:pPr>
      <w:r>
        <w:t xml:space="preserve">2.5.0.3 BayesNet — Extended Example</w:t>
      </w:r>
    </w:p>
    <w:bookmarkEnd w:id="67"/>
    <w:bookmarkStart w:id="74" w:name="rainsprinklerlawn-dag"/>
    <w:p>
      <w:pPr>
        <w:pStyle w:val="Heading3"/>
      </w:pPr>
      <w:r>
        <w:t xml:space="preserve">2.5.1 Rain/Sprinkler/Lawn DAG</w:t>
      </w:r>
    </w:p>
    <w:bookmarkStart w:id="73" w:name="code-documentation"/>
    <w:p>
      <w:pPr>
        <w:pStyle w:val="Heading4"/>
      </w:pPr>
      <w:r>
        <w:t xml:space="preserve">2.5.1.1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2" w:name="fig-automation_pipeline"/>
          <w:p>
            <w:pPr>
              <w:pStyle w:val="Compact"/>
              <w:jc w:val="center"/>
            </w:pPr>
            <w:hyperlink r:id="rId71">
              <w:r>
                <w:drawing>
                  <wp:inline>
                    <wp:extent cx="5334000" cy="4000500"/>
                    <wp:effectExtent b="0" l="0" r="0" t="0"/>
                    <wp:docPr descr="AMTAIR Automation Pipeline from CITATION" title="" id="69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7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 from CITATION</w:t>
            </w:r>
          </w:p>
          <w:bookmarkEnd w:id="72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8.1</w:t>
        </w:r>
      </w:hyperlink>
      <w:r>
        <w:t xml:space="preserve">.</w:t>
      </w:r>
    </w:p>
    <w:bookmarkEnd w:id="73"/>
    <w:bookmarkEnd w:id="74"/>
    <w:bookmarkEnd w:id="75"/>
    <w:bookmarkEnd w:id="76"/>
    <w:bookmarkStart w:id="92" w:name="amtair"/>
    <w:p>
      <w:pPr>
        <w:pStyle w:val="Heading1"/>
      </w:pPr>
      <w:r>
        <w:t xml:space="preserve">3. AMTAIR</w:t>
      </w:r>
    </w:p>
    <w:p>
      <w:pPr>
        <w:pStyle w:val="SourceCode"/>
      </w:pPr>
      <w:r>
        <w:rPr>
          <w:rStyle w:val="VerbatimChar"/>
        </w:rPr>
        <w:t xml:space="preserve">### 20% of Grade: ~ 29% of text ~ 8700 words ~ 20 pages</w:t>
      </w:r>
      <w:r>
        <w:br/>
      </w:r>
      <w:r>
        <w:br/>
      </w:r>
      <w:r>
        <w:rPr>
          <w:rStyle w:val="VerbatimChar"/>
        </w:rPr>
        <w:t xml:space="preserve">- provides critical or constructive evaluation of positions introduced</w:t>
      </w:r>
      <w:r>
        <w:br/>
      </w:r>
      <w:r>
        <w:rPr>
          <w:rStyle w:val="VerbatimChar"/>
        </w:rPr>
        <w:t xml:space="preserve">- develops strong (plausible) argument in support of author’s own position/thesis</w:t>
      </w:r>
      <w:r>
        <w:br/>
      </w:r>
      <w:r>
        <w:rPr>
          <w:rStyle w:val="VerbatimChar"/>
        </w:rPr>
        <w:t xml:space="preserve">- argument draws on relevant course material claim/argument</w:t>
      </w:r>
      <w:r>
        <w:br/>
      </w:r>
      <w:r>
        <w:rPr>
          <w:rStyle w:val="VerbatimChar"/>
        </w:rPr>
        <w:t xml:space="preserve">- demonstrate understanding of the course materials incl. key arguments and core concepts within the debate</w:t>
      </w:r>
      <w:r>
        <w:br/>
      </w:r>
      <w:r>
        <w:rPr>
          <w:rStyle w:val="VerbatimChar"/>
        </w:rPr>
        <w:t xml:space="preserve">- claim/argument is original or insightful, possibly even presents an original contribution to the debate </w:t>
      </w:r>
    </w:p>
    <w:bookmarkStart w:id="77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77"/>
    <w:bookmarkStart w:id="78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78"/>
    <w:bookmarkStart w:id="85" w:name="implementation"/>
    <w:p>
      <w:pPr>
        <w:pStyle w:val="Heading2"/>
      </w:pPr>
      <w:r>
        <w:t xml:space="preserve">3.3 Implementation</w:t>
      </w:r>
    </w:p>
    <w:bookmarkStart w:id="79" w:name="system-architecture-and-data-flow"/>
    <w:p>
      <w:pPr>
        <w:pStyle w:val="Heading4"/>
      </w:pPr>
      <w:r>
        <w:t xml:space="preserve">3.3.0.1 System Architecture and Data Flow</w:t>
      </w:r>
    </w:p>
    <w:bookmarkEnd w:id="79"/>
    <w:bookmarkStart w:id="80" w:name="automated-extraction-pipeline"/>
    <w:p>
      <w:pPr>
        <w:pStyle w:val="Heading4"/>
      </w:pPr>
      <w:r>
        <w:t xml:space="preserve">3.3.0.2 Automated Extraction Pipeline</w:t>
      </w:r>
    </w:p>
    <w:bookmarkEnd w:id="80"/>
    <w:bookmarkStart w:id="81" w:name="network-construction-and-visualization"/>
    <w:p>
      <w:pPr>
        <w:pStyle w:val="Heading4"/>
      </w:pPr>
      <w:r>
        <w:t xml:space="preserve">3.3.0.3 Network Construction and Visualization</w:t>
      </w:r>
    </w:p>
    <w:bookmarkEnd w:id="81"/>
    <w:bookmarkStart w:id="82" w:name="probabilistic-inference-engine"/>
    <w:p>
      <w:pPr>
        <w:pStyle w:val="Heading4"/>
      </w:pPr>
      <w:r>
        <w:t xml:space="preserve">3.3.0.4 Probabilistic Inference Engine</w:t>
      </w:r>
    </w:p>
    <w:bookmarkEnd w:id="82"/>
    <w:bookmarkStart w:id="83" w:name="prediction-market-integration-module"/>
    <w:p>
      <w:pPr>
        <w:pStyle w:val="Heading4"/>
      </w:pPr>
      <w:r>
        <w:t xml:space="preserve">3.3.0.5 Prediction Market Integration Module</w:t>
      </w:r>
    </w:p>
    <w:bookmarkEnd w:id="83"/>
    <w:bookmarkStart w:id="84" w:name="policy-evaluation-interface"/>
    <w:p>
      <w:pPr>
        <w:pStyle w:val="Heading4"/>
      </w:pPr>
      <w:r>
        <w:t xml:space="preserve">3.3.0.6 Policy Evaluation Interface</w:t>
      </w:r>
    </w:p>
    <w:bookmarkEnd w:id="84"/>
    <w:bookmarkEnd w:id="85"/>
    <w:bookmarkStart w:id="91" w:name="results-from-theory-to-application"/>
    <w:p>
      <w:pPr>
        <w:pStyle w:val="Heading2"/>
      </w:pPr>
      <w:r>
        <w:t xml:space="preserve">3.4 Results: From Theory to Application</w:t>
      </w:r>
    </w:p>
    <w:bookmarkStart w:id="86" w:name="extraction-quality-assessment"/>
    <w:p>
      <w:pPr>
        <w:pStyle w:val="Heading4"/>
      </w:pPr>
      <w:r>
        <w:t xml:space="preserve">3.4.0.1 Extraction Quality Assessment</w:t>
      </w:r>
    </w:p>
    <w:bookmarkEnd w:id="86"/>
    <w:bookmarkStart w:id="87" w:name="computational-performance-analysis"/>
    <w:p>
      <w:pPr>
        <w:pStyle w:val="Heading4"/>
      </w:pPr>
      <w:r>
        <w:t xml:space="preserve">3.4.0.2 Computational Performance Analysis</w:t>
      </w:r>
    </w:p>
    <w:bookmarkEnd w:id="87"/>
    <w:bookmarkStart w:id="88" w:name="X4848c9c04aa5f90377da03c897e3606e74a9952"/>
    <w:p>
      <w:pPr>
        <w:pStyle w:val="Heading4"/>
      </w:pPr>
      <w:r>
        <w:t xml:space="preserve">3.4.0.3 Case Study: The Carlsmith Model Formalized</w:t>
      </w:r>
    </w:p>
    <w:bookmarkEnd w:id="88"/>
    <w:bookmarkStart w:id="89" w:name="X3e235dcfec2b8a889f13219627e36b5a84d6ab9"/>
    <w:p>
      <w:pPr>
        <w:pStyle w:val="Heading4"/>
      </w:pPr>
      <w:r>
        <w:t xml:space="preserve">3.4.0.4 Comparative Analysis of AI Governance Worldviews</w:t>
      </w:r>
    </w:p>
    <w:bookmarkEnd w:id="89"/>
    <w:bookmarkStart w:id="90" w:name="X5982fd8e8ce3be7f446783739301d759512b10f"/>
    <w:p>
      <w:pPr>
        <w:pStyle w:val="Heading4"/>
      </w:pPr>
      <w:r>
        <w:t xml:space="preserve">3.4.0.5 Policy Impact Evaluation: Proof of Concept</w:t>
      </w:r>
    </w:p>
    <w:p>
      <w:pPr>
        <w:pStyle w:val="FirstParagraph"/>
      </w:pPr>
      <w:r>
        <w:t xml:space="preserve">TestText</w:t>
      </w:r>
    </w:p>
    <w:bookmarkEnd w:id="90"/>
    <w:bookmarkEnd w:id="91"/>
    <w:bookmarkEnd w:id="92"/>
    <w:bookmarkStart w:id="97" w:name="insights-findings"/>
    <w:p>
      <w:pPr>
        <w:pStyle w:val="Heading1"/>
      </w:pPr>
      <w:r>
        <w:t xml:space="preserve">4. Insights &amp; Findings</w:t>
      </w:r>
    </w:p>
    <w:bookmarkStart w:id="93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3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3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3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3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3"/>
        </w:numPr>
      </w:pPr>
      <w:r>
        <w:t xml:space="preserve">Overcame limitations of manual modeling.</w:t>
      </w:r>
    </w:p>
    <w:bookmarkEnd w:id="93"/>
    <w:bookmarkStart w:id="94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14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15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16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17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Enhanced policy analysis.</w:t>
      </w:r>
    </w:p>
    <w:bookmarkEnd w:id="94"/>
    <w:bookmarkStart w:id="95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18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19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0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1"/>
        </w:numPr>
      </w:pPr>
      <w:r>
        <w:t xml:space="preserve">Scalability amplifies policy impact.</w:t>
      </w:r>
    </w:p>
    <w:bookmarkEnd w:id="95"/>
    <w:bookmarkStart w:id="96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2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2"/>
        </w:numPr>
      </w:pPr>
      <w:r>
        <w:t xml:space="preserve">Automation Strengths:</w:t>
      </w:r>
      <w:r>
        <w:br/>
      </w:r>
    </w:p>
    <w:p>
      <w:pPr>
        <w:numPr>
          <w:ilvl w:val="0"/>
          <w:numId w:val="1022"/>
        </w:numPr>
      </w:pPr>
      <w:r>
        <w:t xml:space="preserve">Speed, consistency.</w:t>
      </w:r>
      <w:r>
        <w:br/>
      </w:r>
    </w:p>
    <w:p>
      <w:pPr>
        <w:numPr>
          <w:ilvl w:val="0"/>
          <w:numId w:val="1022"/>
        </w:numPr>
      </w:pPr>
      <w:r>
        <w:t xml:space="preserve">Human Strengths:</w:t>
      </w:r>
      <w:r>
        <w:br/>
      </w:r>
    </w:p>
    <w:p>
      <w:pPr>
        <w:numPr>
          <w:ilvl w:val="0"/>
          <w:numId w:val="1022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2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2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2"/>
        </w:numPr>
      </w:pPr>
      <w:r>
        <w:t xml:space="preserve">Optimal results from combining AI with expert input.</w:t>
      </w:r>
    </w:p>
    <w:bookmarkEnd w:id="96"/>
    <w:bookmarkEnd w:id="97"/>
    <w:bookmarkStart w:id="98" w:name="discussion"/>
    <w:p>
      <w:pPr>
        <w:pStyle w:val="Heading1"/>
      </w:pPr>
      <w:r>
        <w:t xml:space="preserve">5. Discussion</w:t>
      </w:r>
    </w:p>
    <w:p>
      <w:pPr>
        <w:pStyle w:val="SourceCode"/>
      </w:pPr>
      <w:r>
        <w:rPr>
          <w:rStyle w:val="VerbatimChar"/>
        </w:rPr>
        <w:t xml:space="preserve">10% of Grade: ~ 14% of text ~ 4200 words ~ 10 pages</w:t>
      </w:r>
      <w:r>
        <w:br/>
      </w:r>
      <w:r>
        <w:br/>
      </w:r>
      <w:r>
        <w:rPr>
          <w:rStyle w:val="VerbatimChar"/>
        </w:rPr>
        <w:t xml:space="preserve">- discusses a specific objection to student’s own argument</w:t>
      </w:r>
      <w:r>
        <w:br/>
      </w:r>
      <w:r>
        <w:rPr>
          <w:rStyle w:val="VerbatimChar"/>
        </w:rPr>
        <w:t xml:space="preserve">- provides a convincing reply that bolsters or refines the main argument</w:t>
      </w:r>
      <w:r>
        <w:br/>
      </w:r>
      <w:r>
        <w:rPr>
          <w:rStyle w:val="VerbatimChar"/>
        </w:rPr>
        <w:t xml:space="preserve">- relates to or extends beyond materials/arguments covered in class</w:t>
      </w:r>
    </w:p>
    <w:bookmarkEnd w:id="98"/>
    <w:bookmarkStart w:id="108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99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23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23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23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23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23"/>
        </w:numPr>
      </w:pPr>
      <w:r>
        <w:t xml:space="preserve">Identifying points of failure strengthens the approach.</w:t>
      </w:r>
    </w:p>
    <w:bookmarkEnd w:id="99"/>
    <w:bookmarkStart w:id="100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4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4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4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4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4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4"/>
        </w:numPr>
      </w:pPr>
      <w:r>
        <w:t xml:space="preserve">Strategies to maximize positive impacts.</w:t>
      </w:r>
    </w:p>
    <w:bookmarkEnd w:id="100"/>
    <w:bookmarkStart w:id="101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5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5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5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5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5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5"/>
        </w:numPr>
      </w:pPr>
      <w:r>
        <w:t xml:space="preserve">Strategies to maximize positive impacts.</w:t>
      </w:r>
    </w:p>
    <w:bookmarkEnd w:id="101"/>
    <w:bookmarkStart w:id="107" w:name="discussion-implications-and-limitations"/>
    <w:p>
      <w:pPr>
        <w:pStyle w:val="Heading2"/>
      </w:pPr>
      <w:r>
        <w:t xml:space="preserve">6.4 Discussion: Implications and Limitations</w:t>
      </w:r>
    </w:p>
    <w:bookmarkStart w:id="102" w:name="Xb9522146ea4077bc40d09d49bc7ceeca1b1cbee"/>
    <w:p>
      <w:pPr>
        <w:pStyle w:val="Heading4"/>
      </w:pPr>
      <w:r>
        <w:t xml:space="preserve">6.4.0.1 Red-Teaming Results: Identifying Failure Modes</w:t>
      </w:r>
    </w:p>
    <w:bookmarkEnd w:id="102"/>
    <w:bookmarkStart w:id="103" w:name="X2f2b6711a377e9b29dd2bb960baaaaadbf93f20"/>
    <w:p>
      <w:pPr>
        <w:pStyle w:val="Heading4"/>
      </w:pPr>
      <w:r>
        <w:t xml:space="preserve">6.4.0.2 Enhancing Epistemic Security in AI Governance</w:t>
      </w:r>
    </w:p>
    <w:bookmarkEnd w:id="103"/>
    <w:bookmarkStart w:id="104" w:name="scaling-challenges-and-opportunities"/>
    <w:p>
      <w:pPr>
        <w:pStyle w:val="Heading4"/>
      </w:pPr>
      <w:r>
        <w:t xml:space="preserve">6.4.0.3 Scaling Challenges and Opportunities</w:t>
      </w:r>
    </w:p>
    <w:bookmarkEnd w:id="104"/>
    <w:bookmarkStart w:id="105" w:name="X98eb0be095cf4b48b7eae6d8167365ff895dd98"/>
    <w:p>
      <w:pPr>
        <w:pStyle w:val="Heading4"/>
      </w:pPr>
      <w:r>
        <w:t xml:space="preserve">6.4.0.4 Integration with Existing Governance Frameworks</w:t>
      </w:r>
    </w:p>
    <w:bookmarkEnd w:id="105"/>
    <w:bookmarkStart w:id="106" w:name="known-unknowns-and-deep-uncertainties"/>
    <w:p>
      <w:pPr>
        <w:pStyle w:val="Heading4"/>
      </w:pPr>
      <w:r>
        <w:t xml:space="preserve">6.4.0.5 Known Unknowns and Deep Uncertainties</w:t>
      </w:r>
    </w:p>
    <w:bookmarkEnd w:id="106"/>
    <w:bookmarkEnd w:id="107"/>
    <w:bookmarkEnd w:id="108"/>
    <w:bookmarkStart w:id="133" w:name="conclusion"/>
    <w:p>
      <w:pPr>
        <w:pStyle w:val="Heading1"/>
      </w:pPr>
      <w:r>
        <w:t xml:space="preserve">7. Conclusion</w:t>
      </w:r>
    </w:p>
    <w:bookmarkStart w:id="109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SourceCode"/>
      </w:pPr>
      <w:r>
        <w:rPr>
          <w:rStyle w:val="VerbatimChar"/>
        </w:rPr>
        <w:t xml:space="preserve">10% of Grade: ~ 14% of text ~ 4200 words ~ 10 pages</w:t>
      </w:r>
      <w:r>
        <w:br/>
      </w:r>
      <w:r>
        <w:br/>
      </w:r>
      <w:r>
        <w:rPr>
          <w:rStyle w:val="VerbatimChar"/>
        </w:rPr>
        <w:t xml:space="preserve">- summarizes thesis and line of argument </w:t>
      </w:r>
      <w:r>
        <w:br/>
      </w:r>
      <w:r>
        <w:rPr>
          <w:rStyle w:val="VerbatimChar"/>
        </w:rPr>
        <w:t xml:space="preserve">- outlines possible implications</w:t>
      </w:r>
      <w:r>
        <w:br/>
      </w:r>
      <w:r>
        <w:rPr>
          <w:rStyle w:val="VerbatimChar"/>
        </w:rPr>
        <w:t xml:space="preserve">- notes outstanding issues / limitations of discussion</w:t>
      </w:r>
      <w:r>
        <w:br/>
      </w:r>
      <w:r>
        <w:rPr>
          <w:rStyle w:val="VerbatimChar"/>
        </w:rPr>
        <w:t xml:space="preserve">- points to avenues for further research</w:t>
      </w:r>
      <w:r>
        <w:br/>
      </w:r>
      <w:r>
        <w:rPr>
          <w:rStyle w:val="VerbatimChar"/>
        </w:rPr>
        <w:t xml:space="preserve">- overall conclusion is in line with introduction</w:t>
      </w:r>
    </w:p>
    <w:bookmarkEnd w:id="109"/>
    <w:bookmarkStart w:id="114" w:name="summary-key-takeaways-findings"/>
    <w:p>
      <w:pPr>
        <w:pStyle w:val="Heading2"/>
      </w:pPr>
      <w:r>
        <w:t xml:space="preserve">7.2 Summary — Key Takeaways &amp; Findings</w:t>
      </w:r>
    </w:p>
    <w:bookmarkStart w:id="110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110"/>
    <w:bookmarkStart w:id="111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111"/>
    <w:bookmarkStart w:id="112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112"/>
    <w:bookmarkStart w:id="113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113"/>
    <w:bookmarkEnd w:id="114"/>
    <w:bookmarkStart w:id="126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115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26"/>
        </w:numPr>
      </w:pPr>
      <w:r>
        <w:t xml:space="preserve">Include more variables and data sources.</w:t>
      </w:r>
    </w:p>
    <w:bookmarkEnd w:id="115"/>
    <w:bookmarkStart w:id="116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27"/>
        </w:numPr>
      </w:pPr>
      <w:r>
        <w:t xml:space="preserve">Partner with policymakers and researchers.</w:t>
      </w:r>
    </w:p>
    <w:bookmarkEnd w:id="116"/>
    <w:bookmarkStart w:id="117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28"/>
        </w:numPr>
      </w:pPr>
      <w:r>
        <w:t xml:space="preserve">Employ advanced AI techniques.</w:t>
      </w:r>
    </w:p>
    <w:bookmarkEnd w:id="117"/>
    <w:bookmarkStart w:id="118" w:name="potential-impact"/>
    <w:p>
      <w:pPr>
        <w:pStyle w:val="Heading3"/>
      </w:pPr>
      <w:r>
        <w:t xml:space="preserve">7.3.4 Potential Impact:</w:t>
      </w:r>
    </w:p>
    <w:p>
      <w:pPr>
        <w:pStyle w:val="Compact"/>
        <w:numPr>
          <w:ilvl w:val="0"/>
          <w:numId w:val="1029"/>
        </w:numPr>
      </w:pPr>
      <w:r>
        <w:t xml:space="preserve">Influence global AI governance.</w:t>
      </w:r>
    </w:p>
    <w:bookmarkEnd w:id="118"/>
    <w:bookmarkStart w:id="119" w:name="limitations-of-the-analysis"/>
    <w:p>
      <w:pPr>
        <w:pStyle w:val="Heading3"/>
      </w:pPr>
      <w:r>
        <w:t xml:space="preserve">7.3.5 Limitations of the Analysis</w:t>
      </w:r>
    </w:p>
    <w:bookmarkEnd w:id="119"/>
    <w:bookmarkStart w:id="120" w:name="policy-implications-recommendations"/>
    <w:p>
      <w:pPr>
        <w:pStyle w:val="Heading3"/>
      </w:pPr>
      <w:r>
        <w:t xml:space="preserve">7.3.6 Policy Implications &amp; Recommendations</w:t>
      </w:r>
    </w:p>
    <w:bookmarkEnd w:id="120"/>
    <w:bookmarkStart w:id="121" w:name="areas-for-future-research"/>
    <w:p>
      <w:pPr>
        <w:pStyle w:val="Heading3"/>
      </w:pPr>
      <w:r>
        <w:t xml:space="preserve">7.3.7 Areas for Future Research</w:t>
      </w:r>
    </w:p>
    <w:bookmarkEnd w:id="121"/>
    <w:bookmarkStart w:id="124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122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0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How can interdisciplinary efforts enhance outcomes?</w:t>
      </w:r>
    </w:p>
    <w:bookmarkEnd w:id="122"/>
    <w:bookmarkStart w:id="123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1"/>
        </w:numPr>
      </w:pPr>
      <w:r>
        <w:t xml:space="preserve">Invite thoughts, critiques, and suggestions.</w:t>
      </w:r>
    </w:p>
    <w:bookmarkEnd w:id="123"/>
    <w:bookmarkEnd w:id="124"/>
    <w:bookmarkStart w:id="125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125"/>
    <w:bookmarkEnd w:id="126"/>
    <w:bookmarkStart w:id="132" w:name="X896f6cd5c606a6c8066ef1a0944c90d9d7c65fc"/>
    <w:p>
      <w:pPr>
        <w:pStyle w:val="Heading2"/>
      </w:pPr>
      <w:r>
        <w:t xml:space="preserve">7.4 Conclusion: Toward an Adaptive AI Governance Framework</w:t>
      </w:r>
    </w:p>
    <w:bookmarkStart w:id="127" w:name="key-contributions-and-findings"/>
    <w:p>
      <w:pPr>
        <w:pStyle w:val="Heading3"/>
      </w:pPr>
      <w:r>
        <w:t xml:space="preserve">7.4.1 Key Contributions and Findings</w:t>
      </w:r>
    </w:p>
    <w:bookmarkEnd w:id="127"/>
    <w:bookmarkStart w:id="128" w:name="X5d798522e1d3e299526c32598e66204591eff7c"/>
    <w:p>
      <w:pPr>
        <w:pStyle w:val="Heading3"/>
      </w:pPr>
      <w:r>
        <w:t xml:space="preserve">7.4.2 Limitations of the Current Implementation</w:t>
      </w:r>
    </w:p>
    <w:bookmarkEnd w:id="128"/>
    <w:bookmarkStart w:id="129" w:name="policy-implications-and-recommendations"/>
    <w:p>
      <w:pPr>
        <w:pStyle w:val="Heading3"/>
      </w:pPr>
      <w:r>
        <w:t xml:space="preserve">7.4.3 Policy Implications and Recommendations</w:t>
      </w:r>
    </w:p>
    <w:bookmarkEnd w:id="129"/>
    <w:bookmarkStart w:id="130" w:name="future-research-directions"/>
    <w:p>
      <w:pPr>
        <w:pStyle w:val="Heading3"/>
      </w:pPr>
      <w:r>
        <w:t xml:space="preserve">7.4.4 Future Research Directions</w:t>
      </w:r>
    </w:p>
    <w:bookmarkEnd w:id="130"/>
    <w:bookmarkStart w:id="131" w:name="concluding-reflections"/>
    <w:p>
      <w:pPr>
        <w:pStyle w:val="Heading3"/>
      </w:pPr>
      <w:r>
        <w:t xml:space="preserve">7.4.5 Concluding Reflections</w:t>
      </w:r>
    </w:p>
    <w:bookmarkEnd w:id="131"/>
    <w:bookmarkEnd w:id="132"/>
    <w:bookmarkEnd w:id="133"/>
    <w:bookmarkStart w:id="134" w:name="frontmatter"/>
    <w:p>
      <w:pPr>
        <w:pStyle w:val="Heading1"/>
      </w:pPr>
      <w:r>
        <w:t xml:space="preserve">Frontmatter</w:t>
      </w:r>
    </w:p>
    <w:bookmarkEnd w:id="134"/>
    <w:bookmarkStart w:id="144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135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p>
      <w:pPr>
        <w:pStyle w:val="Compact"/>
        <w:numPr>
          <w:ilvl w:val="0"/>
          <w:numId w:val="1032"/>
        </w:numPr>
      </w:pPr>
      <w:r>
        <w:t xml:space="preserve">Figure 1.1: The coordination crisis in AI governance - visualization of fragmentation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2.1: The Carlsmith model - DAG representation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3.1: Research design overview - workflow diagram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3.2: From natural language to BayesDown - transformation process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4.1: ARPA system architecture - component diagram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4.2: Visualization of Rain-Sprinkler-Grass_Wet Bayesian network - screenshot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5.1: Extraction quality metrics - comparative chart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5.2: Comparative analysis of AI governance worldviews - network visualization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Table 2.1: Comparison of approaches to AI risk modeling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Table 3.1: Probabilistic translation guide for qualitative expressions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Table 4.1: System component responsibilities and interactions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Table 5.1: Policy impact evaluation results - summary metrics</w:t>
      </w:r>
    </w:p>
    <w:bookmarkEnd w:id="135"/>
    <w:bookmarkStart w:id="136" w:name="list-of-graphics-figures"/>
    <w:p>
      <w:pPr>
        <w:pStyle w:val="Heading2"/>
      </w:pPr>
      <w:r>
        <w:t xml:space="preserve">List of Graphics &amp; Figures</w:t>
      </w:r>
    </w:p>
    <w:bookmarkEnd w:id="136"/>
    <w:bookmarkStart w:id="137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p>
      <w:pPr>
        <w:pStyle w:val="Compact"/>
        <w:numPr>
          <w:ilvl w:val="0"/>
          <w:numId w:val="1033"/>
        </w:numPr>
      </w:pPr>
      <w:r>
        <w:t xml:space="preserve">AI - Artificial Intelligence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AGI - Artificial General Intelligence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ARPA - AI Risk Pathway Analyzer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DAG - Directed Acyclic Graph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LLM - Large Language Model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MTAIR - Modeling Transformative AI Risks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P(Doom) - Probability of existential catastrophe from misaligned AI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CPT - Conditional Probability Table</w:t>
      </w:r>
    </w:p>
    <w:bookmarkEnd w:id="137"/>
    <w:bookmarkStart w:id="138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Argument mapping</w:t>
      </w:r>
      <w:r>
        <w:t xml:space="preserve">: A method for visually representing the structure of arguments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BayesDown</w:t>
      </w:r>
      <w:r>
        <w:t xml:space="preserve">: An extension of ArgDown that incorporates probabilistic information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Bayesian network</w:t>
      </w:r>
      <w:r>
        <w:t xml:space="preserve">: A probabilistic graphical model representing variables and their dependencies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Conditional probability</w:t>
      </w:r>
      <w:r>
        <w:t xml:space="preserve">: The probability of an event given that another event has occurred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Directed Acyclic Graph (DAG)</w:t>
      </w:r>
      <w:r>
        <w:t xml:space="preserve">: A graph with directed edges and no cycles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Existential risk</w:t>
      </w:r>
      <w:r>
        <w:t xml:space="preserve">: Risk of permanent curtailment of humanity’s potential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Power-seeking AI</w:t>
      </w:r>
      <w:r>
        <w:t xml:space="preserve">: AI systems with instrumental incentives to acquire resources and power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Prediction market</w:t>
      </w:r>
      <w:r>
        <w:t xml:space="preserve">: A market where participants trade contracts that resolve based on future events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d-separation</w:t>
      </w:r>
      <w:r>
        <w:t xml:space="preserve">: A criterion for identifying conditional independence relationships in Bayesian networks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Monte Carlo sampling</w:t>
      </w:r>
      <w:r>
        <w:t xml:space="preserve">: A computational technique using random sampling to obtain numerical results</w:t>
      </w:r>
    </w:p>
    <w:bookmarkEnd w:id="138"/>
    <w:bookmarkStart w:id="139" w:name="checklists"/>
    <w:p>
      <w:pPr>
        <w:pStyle w:val="Heading2"/>
      </w:pPr>
      <w:r>
        <w:t xml:space="preserve">Checklists</w:t>
      </w:r>
      <w:r>
        <w:t xml:space="preserve"> </w:t>
      </w:r>
    </w:p>
    <w:bookmarkEnd w:id="139"/>
    <w:bookmarkStart w:id="140" w:name="usual-paper-requirements"/>
    <w:p>
      <w:pPr>
        <w:pStyle w:val="Heading2"/>
      </w:pPr>
      <w:r>
        <w:t xml:space="preserve">“Usual paper requirements”</w:t>
      </w:r>
    </w:p>
    <w:p>
      <w:pPr>
        <w:pStyle w:val="Compact"/>
        <w:numPr>
          <w:ilvl w:val="0"/>
          <w:numId w:val="1035"/>
        </w:numPr>
      </w:pPr>
      <w:r>
        <w:t xml:space="preserve">introduce all terminology</w:t>
      </w:r>
    </w:p>
    <w:p>
      <w:pPr>
        <w:pStyle w:val="Compact"/>
        <w:numPr>
          <w:ilvl w:val="1"/>
          <w:numId w:val="1036"/>
        </w:numPr>
      </w:pPr>
      <w:r>
        <w:t xml:space="preserve">go through text, make sure all terms are defined, explained (and added to the list of Abbr.) when first mentioned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readership is intelligent and interested but has no prior knowledge</w:t>
      </w:r>
    </w:p>
    <w:bookmarkEnd w:id="140"/>
    <w:bookmarkStart w:id="141" w:name="section"/>
    <w:p>
      <w:pPr>
        <w:pStyle w:val="Heading2"/>
      </w:pPr>
    </w:p>
    <w:bookmarkEnd w:id="141"/>
    <w:bookmarkStart w:id="143" w:name="Xc8a776d0551185c024bb90d656532b794aa65a6"/>
    <w:p>
      <w:pPr>
        <w:pStyle w:val="Heading2"/>
      </w:pPr>
      <w:r>
        <w:t xml:space="preserve">(Format:) ~ Anything that makes it easier to understand</w:t>
      </w:r>
    </w:p>
    <w:p>
      <w:pPr>
        <w:pStyle w:val="Compact"/>
        <w:numPr>
          <w:ilvl w:val="0"/>
          <w:numId w:val="1037"/>
        </w:numPr>
      </w:pPr>
      <w:r>
        <w:t xml:space="preserve">short sentences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paragraphs (one idea per paragraph)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simplicity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!limit use of passive voice!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use active voice, even prefer I over we!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minimise use of</w:t>
      </w:r>
      <w:r>
        <w:t xml:space="preserve"> </w:t>
      </w:r>
      <w:r>
        <w:t xml:space="preserve">“zombi nouns”</w:t>
      </w:r>
      <w:r>
        <w:t xml:space="preserve"> </w:t>
      </w:r>
      <w:r>
        <w:t xml:space="preserve">(don’t turn verbs/adjectives to nouns!)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“find words that can be cut”</w:t>
      </w:r>
    </w:p>
    <w:p>
      <w:pPr>
        <w:pStyle w:val="FirstParagraph"/>
      </w:pPr>
      <w:r>
        <w:t xml:space="preserve">– the paper can</w:t>
      </w:r>
      <w:r>
        <w:t xml:space="preserve"> </w:t>
      </w:r>
      <w:r>
        <w:rPr>
          <w:b/>
          <w:bCs/>
        </w:rPr>
        <w:t xml:space="preserve">focus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one aspect of the presentation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“open door policy”</w:t>
      </w:r>
      <w:r>
        <w:t xml:space="preserve"> </w:t>
      </w:r>
      <w:r>
        <w:t xml:space="preserve">for (content) questions</w:t>
      </w:r>
    </w:p>
    <w:p>
      <w:pPr>
        <w:pStyle w:val="BodyText"/>
      </w:pPr>
      <w:r>
        <w:t xml:space="preserve">~ demonstrate ability for novel research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“solve research question with the tools accessible to you”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“show something that has not been shown before / should be publishable in principle”</w:t>
      </w:r>
    </w:p>
    <w:p>
      <w:pPr>
        <w:pStyle w:val="BodyText"/>
      </w:pPr>
      <w:r>
        <w:t xml:space="preserve">– new idea (or criticism)</w:t>
      </w:r>
      <w:r>
        <w:t xml:space="preserve"> </w:t>
      </w:r>
      <w:r>
        <w:t xml:space="preserve">“in this field”</w:t>
      </w:r>
    </w:p>
    <w:p>
      <w:pPr>
        <w:pStyle w:val="BodyText"/>
      </w:pPr>
      <w:r>
        <w:t xml:space="preserve">– Outline idea THEN reading with a purpose (answering concrete questions)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“Only”</w:t>
      </w:r>
      <w:r>
        <w:t xml:space="preserve"> </w:t>
      </w:r>
      <w:r>
        <w:t xml:space="preserve">confirm that nobody has published the exact same idea on the same topic</w:t>
      </w:r>
    </w:p>
    <w:p>
      <w:pPr>
        <w:pStyle w:val="BodyText"/>
      </w:pPr>
      <w:r>
        <w:t xml:space="preserve">– pretty much determined by presentation &amp; proposal but narrow down further (&amp; choose supervisor?)</w:t>
      </w:r>
    </w:p>
    <w:bookmarkStart w:id="142" w:name="Xad5e4f8f9280fda27cba8f9d226d3fd3c6fcbc4"/>
    <w:p>
      <w:pPr>
        <w:pStyle w:val="Heading3"/>
      </w:pPr>
      <w:r>
        <w:t xml:space="preserve">Quarto Features Incompatible with LaTeX (Below)</w:t>
      </w:r>
    </w:p>
    <w:bookmarkEnd w:id="142"/>
    <w:bookmarkEnd w:id="143"/>
    <w:bookmarkEnd w:id="144"/>
    <w:bookmarkStart w:id="160" w:name="quarto-syntax"/>
    <w:p>
      <w:pPr>
        <w:pStyle w:val="Heading1"/>
      </w:pPr>
      <w:r>
        <w:t xml:space="preserve">8. Quarto Syntax</w:t>
      </w:r>
    </w:p>
    <w:bookmarkStart w:id="152" w:name="sec-figues"/>
    <w:p>
      <w:pPr>
        <w:pStyle w:val="Heading2"/>
      </w:pPr>
      <w:r>
        <w:t xml:space="preserve">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47" w:name="fig-automation_pipeline"/>
          <w:p>
            <w:pPr>
              <w:pStyle w:val="Compact"/>
              <w:jc w:val="center"/>
            </w:pPr>
            <w:hyperlink r:id="rId71">
              <w:r>
                <w:drawing>
                  <wp:inline>
                    <wp:extent cx="5334000" cy="4000500"/>
                    <wp:effectExtent b="0" l="0" r="0" t="0"/>
                    <wp:docPr descr="AMTAIR Automation Pipeline from Bucknall and Dori-Hacohen (2022)" title="" id="145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14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8.1: AMTAIR Automation Pipeline from</w:t>
            </w:r>
            <w:r>
              <w:t xml:space="preserve"> </w:t>
            </w:r>
            <w:r>
              <w:t xml:space="preserve">Bucknall and Dori-Hacohen (2022)</w:t>
            </w:r>
          </w:p>
          <w:bookmarkEnd w:id="14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8.1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51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149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8.2: Caption/Title 2</w:t>
            </w:r>
          </w:p>
          <w:bookmarkEnd w:id="151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8.2</w:t>
        </w:r>
      </w:hyperlink>
      <w:r>
        <w:t xml:space="preserve">.</w:t>
      </w:r>
    </w:p>
    <w:bookmarkEnd w:id="152"/>
    <w:bookmarkStart w:id="153" w:name="sec-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Soares and Fallenstein (2014)</w:t>
      </w:r>
      <w:r>
        <w:t xml:space="preserve"> </w:t>
      </w:r>
    </w:p>
    <w:p>
      <w:pPr>
        <w:pStyle w:val="BodyText"/>
      </w:pPr>
      <w:r>
        <w:t xml:space="preserve">(Soares and Fallenstein 2014)</w:t>
      </w:r>
      <w:r>
        <w:t xml:space="preserve"> </w:t>
      </w:r>
      <w:r>
        <w:t xml:space="preserve">and</w:t>
      </w:r>
      <w:r>
        <w:t xml:space="preserve"> </w:t>
      </w:r>
      <w:r>
        <w:t xml:space="preserve">(Knuth 1984)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(see Knuth 1984, 33–35; also Growiec 2024, chap. 1)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(Knuth 1984, 33–35, 38–39 and passim)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(Growiec 2024; Knuth 1984)</w:t>
      </w:r>
      <w:r>
        <w:t xml:space="preserve">.</w:t>
      </w:r>
    </w:p>
    <w:p>
      <w:pPr>
        <w:pStyle w:val="BodyText"/>
      </w:pPr>
      <w:r>
        <w:t xml:space="preserve">Growiec says blah</w:t>
      </w:r>
      <w:r>
        <w:t xml:space="preserve"> </w:t>
      </w:r>
      <w:r>
        <w:t xml:space="preserve">(2024)</w:t>
      </w:r>
    </w:p>
    <w:bookmarkEnd w:id="153"/>
    <w:bookmarkStart w:id="159" w:name="sec-heading"/>
    <w:p>
      <w:pPr>
        <w:pStyle w:val="Heading2"/>
      </w:pPr>
      <w:r>
        <w:t xml:space="preserve">8.1 Headings &amp; Potential Headings</w:t>
      </w:r>
    </w:p>
    <w:p>
      <w:pPr>
        <w:pStyle w:val="FirstParagraph"/>
      </w:pPr>
      <w:r>
        <w:rPr>
          <w:rStyle w:val="VerbatimChar"/>
        </w:rPr>
        <w:t xml:space="preserve">verbatim code formatting for notes and ideas to be included (here)</w:t>
      </w:r>
    </w:p>
    <w:p>
      <w:pPr>
        <w:pStyle w:val="SourceCode"/>
      </w:pPr>
      <w:r>
        <w:rPr>
          <w:rStyle w:val="VerbatimChar"/>
        </w:rPr>
        <w:t xml:space="preserve">Also code blocks for more extensive notes and ideas to be included and checklists</w:t>
      </w:r>
      <w:r>
        <w:br/>
      </w:r>
      <w:r>
        <w:rPr>
          <w:rStyle w:val="VerbatimChar"/>
        </w:rPr>
        <w:t xml:space="preserve">- test 1. </w:t>
      </w:r>
      <w:r>
        <w:br/>
      </w:r>
      <w:r>
        <w:rPr>
          <w:rStyle w:val="VerbatimChar"/>
        </w:rPr>
        <w:t xml:space="preserve">- test 2. </w:t>
      </w:r>
      <w:r>
        <w:br/>
      </w:r>
      <w:r>
        <w:rPr>
          <w:rStyle w:val="VerbatimChar"/>
        </w:rPr>
        <w:t xml:space="preserve">- test 3.</w:t>
      </w:r>
      <w:r>
        <w:br/>
      </w:r>
      <w:r>
        <w:rPr>
          <w:rStyle w:val="VerbatimChar"/>
        </w:rPr>
        <w:t xml:space="preserve">2. second</w:t>
      </w:r>
      <w:r>
        <w:br/>
      </w:r>
      <w:r>
        <w:rPr>
          <w:rStyle w:val="VerbatimChar"/>
        </w:rPr>
        <w:t xml:space="preserve">3. third</w:t>
      </w:r>
    </w:p>
    <w:p>
      <w:pPr>
        <w:pStyle w:val="BlockText"/>
      </w:pPr>
      <w:r>
        <w:t xml:space="preserve">Blockquote formatting for</w:t>
      </w:r>
      <w:r>
        <w:t xml:space="preserve"> </w:t>
      </w:r>
      <w:r>
        <w:t xml:space="preserve">“Suggested Citations (e.g. carlsmith 2024 on …)”</w:t>
      </w:r>
      <w:r>
        <w:t xml:space="preserve"> </w:t>
      </w:r>
      <w:r>
        <w:t xml:space="preserve">and/or claims which require a citation (e.g. claim x should be backed-up by a ciation from the literature)</w:t>
      </w:r>
    </w:p>
    <w:p>
      <w:pPr>
        <w:pStyle w:val="FirstParagraph"/>
      </w:pPr>
      <w:r>
        <w:t xml:space="preserve">Here is an inline note.</w:t>
      </w:r>
      <w:r>
        <w:rPr>
          <w:rStyle w:val="FootnoteReference"/>
        </w:rPr>
        <w:footnoteReference w:id="154"/>
      </w:r>
    </w:p>
    <w:p>
      <w:pPr>
        <w:pStyle w:val="BodyText"/>
      </w:pPr>
      <w:r>
        <w:t xml:space="preserve">Here is a footnote reference,</w:t>
      </w:r>
      <w:r>
        <w:rPr>
          <w:rStyle w:val="FootnoteReference"/>
        </w:rPr>
        <w:footnoteReference w:id="155"/>
      </w:r>
    </w:p>
    <w:p>
      <w:pPr>
        <w:pStyle w:val="BodyText"/>
      </w:pPr>
      <w:r>
        <w:t xml:space="preserve">Here’s some raw inline HTML:</w:t>
      </w:r>
      <w:r>
        <w:t xml:space="preserve"> </w:t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403276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ref/references_files/figure-docx/mermaid-figure-3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8.1</w:t>
        </w:r>
      </w:hyperlink>
      <w:r>
        <w:t xml:space="preserve">.</w:t>
      </w:r>
    </w:p>
    <w:bookmarkEnd w:id="159"/>
    <w:bookmarkEnd w:id="160"/>
    <w:bookmarkStart w:id="168" w:name="bibliography-references"/>
    <w:p>
      <w:pPr>
        <w:pStyle w:val="Heading1"/>
      </w:pPr>
      <w:r>
        <w:t xml:space="preserve">Bibliography (References)</w:t>
      </w:r>
    </w:p>
    <w:bookmarkStart w:id="167" w:name="refs"/>
    <w:bookmarkStart w:id="162" w:name="ref-bucknall2022"/>
    <w:p>
      <w:pPr>
        <w:pStyle w:val="Bibliography"/>
      </w:pPr>
      <w:r>
        <w:t xml:space="preserve">Bucknall, Benjamin S., and Shiri Dori-Hacohen. 2022.</w:t>
      </w:r>
      <w:r>
        <w:t xml:space="preserve"> </w:t>
      </w:r>
      <w:r>
        <w:t xml:space="preserve">“Current and</w:t>
      </w:r>
      <w:r>
        <w:t xml:space="preserve"> </w:t>
      </w:r>
      <w:r>
        <w:t xml:space="preserve">Near-Term AI</w:t>
      </w:r>
      <w:r>
        <w:t xml:space="preserve"> </w:t>
      </w:r>
      <w:r>
        <w:t xml:space="preserve">as a</w:t>
      </w:r>
      <w:r>
        <w:t xml:space="preserve"> </w:t>
      </w:r>
      <w:r>
        <w:t xml:space="preserve">Potential Existential Risk Factor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Proceedings of the 2022</w:t>
      </w:r>
      <w:r>
        <w:rPr>
          <w:i/>
          <w:iCs/>
        </w:rPr>
        <w:t xml:space="preserve"> </w:t>
      </w:r>
      <w:r>
        <w:rPr>
          <w:i/>
          <w:iCs/>
        </w:rPr>
        <w:t xml:space="preserve">AAAI</w:t>
      </w:r>
      <w:r>
        <w:rPr>
          <w:i/>
          <w:iCs/>
        </w:rPr>
        <w:t xml:space="preserve">/</w:t>
      </w:r>
      <w:r>
        <w:rPr>
          <w:i/>
          <w:iCs/>
        </w:rPr>
        <w:t xml:space="preserve">ACM Conference</w:t>
      </w:r>
      <w:r>
        <w:rPr>
          <w:i/>
          <w:iCs/>
        </w:rPr>
        <w:t xml:space="preserve"> </w:t>
      </w:r>
      <w:r>
        <w:rPr>
          <w:i/>
          <w:iCs/>
        </w:rPr>
        <w:t xml:space="preserve">on</w:t>
      </w:r>
      <w:r>
        <w:rPr>
          <w:i/>
          <w:iCs/>
        </w:rPr>
        <w:t xml:space="preserve"> </w:t>
      </w:r>
      <w:r>
        <w:rPr>
          <w:i/>
          <w:iCs/>
        </w:rPr>
        <w:t xml:space="preserve">AI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Ethics</w:t>
      </w:r>
      <w:r>
        <w:rPr>
          <w:i/>
          <w:iCs/>
        </w:rPr>
        <w:t xml:space="preserve">, and</w:t>
      </w:r>
      <w:r>
        <w:rPr>
          <w:i/>
          <w:iCs/>
        </w:rPr>
        <w:t xml:space="preserve"> </w:t>
      </w:r>
      <w:r>
        <w:rPr>
          <w:i/>
          <w:iCs/>
        </w:rPr>
        <w:t xml:space="preserve">Society</w:t>
      </w:r>
      <w:r>
        <w:t xml:space="preserve">, 119–29. Oxford United Kingdom: ACM.</w:t>
      </w:r>
      <w:r>
        <w:t xml:space="preserve"> </w:t>
      </w:r>
      <w:hyperlink r:id="rId161">
        <w:r>
          <w:rPr>
            <w:rStyle w:val="Hyperlink"/>
          </w:rPr>
          <w:t xml:space="preserve">https://doi.org/10.1145/3514094.3534146</w:t>
        </w:r>
      </w:hyperlink>
      <w:r>
        <w:t xml:space="preserve">.</w:t>
      </w:r>
    </w:p>
    <w:bookmarkEnd w:id="162"/>
    <w:bookmarkStart w:id="163" w:name="ref-growiec2024"/>
    <w:p>
      <w:pPr>
        <w:pStyle w:val="Bibliography"/>
      </w:pPr>
      <w:r>
        <w:t xml:space="preserve">Growiec, Jakub. 2024.</w:t>
      </w:r>
      <w:r>
        <w:t xml:space="preserve"> </w:t>
      </w:r>
      <w:r>
        <w:t xml:space="preserve">“Existential Risk from Transformative</w:t>
      </w:r>
      <w:r>
        <w:t xml:space="preserve"> </w:t>
      </w:r>
      <w:r>
        <w:t xml:space="preserve">AI</w:t>
      </w:r>
      <w:r>
        <w:t xml:space="preserve">: An Economic Perspective.”</w:t>
      </w:r>
      <w:r>
        <w:t xml:space="preserve"> </w:t>
      </w:r>
      <w:r>
        <w:rPr>
          <w:i/>
          <w:iCs/>
        </w:rPr>
        <w:t xml:space="preserve">Technological and Economic Development of Economy</w:t>
      </w:r>
      <w:r>
        <w:t xml:space="preserve">, 1–27.</w:t>
      </w:r>
    </w:p>
    <w:bookmarkEnd w:id="163"/>
    <w:bookmarkStart w:id="165" w:name="ref-knuth19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Computer Journal</w:t>
      </w:r>
      <w:r>
        <w:t xml:space="preserve"> </w:t>
      </w:r>
      <w:r>
        <w:t xml:space="preserve">27 (2): 97–111.</w:t>
      </w:r>
      <w:r>
        <w:t xml:space="preserve"> </w:t>
      </w:r>
      <w:hyperlink r:id="rId16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165"/>
    <w:bookmarkStart w:id="166" w:name="ref-soares2014"/>
    <w:p>
      <w:pPr>
        <w:pStyle w:val="Bibliography"/>
      </w:pPr>
      <w:r>
        <w:t xml:space="preserve">Soares, Nate, and Benja Fallenstein. 2014.</w:t>
      </w:r>
      <w:r>
        <w:t xml:space="preserve"> </w:t>
      </w:r>
      <w:r>
        <w:t xml:space="preserve">“Aligning Superintelligence with Human Interests:</w:t>
      </w:r>
      <w:r>
        <w:t xml:space="preserve"> </w:t>
      </w:r>
      <w:r>
        <w:t xml:space="preserve">A</w:t>
      </w:r>
      <w:r>
        <w:t xml:space="preserve"> </w:t>
      </w:r>
      <w:r>
        <w:t xml:space="preserve">Technical Research Agenda.”</w:t>
      </w:r>
    </w:p>
    <w:bookmarkEnd w:id="166"/>
    <w:bookmarkEnd w:id="167"/>
    <w:p>
      <w:pPr>
        <w:pStyle w:val="BodyText"/>
      </w:pPr>
    </w:p>
    <w:bookmarkEnd w:id="168"/>
    <w:bookmarkStart w:id="173" w:name="appendices-1"/>
    <w:p>
      <w:pPr>
        <w:pStyle w:val="Heading1"/>
      </w:pPr>
      <w:r>
        <w:t xml:space="preserve">Appendix A — Appendices</w:t>
      </w:r>
    </w:p>
    <w:bookmarkStart w:id="169" w:name="X845dc7f921532b719e247cacaa35a900daa63fa"/>
    <w:p>
      <w:pPr>
        <w:pStyle w:val="Heading2"/>
      </w:pPr>
      <w:r>
        <w:t xml:space="preserve">A.1 Appendix A: Technical Implementation Details</w:t>
      </w:r>
    </w:p>
    <w:bookmarkEnd w:id="169"/>
    <w:bookmarkStart w:id="170" w:name="appendix-b-model-validation-procedures"/>
    <w:p>
      <w:pPr>
        <w:pStyle w:val="Heading2"/>
      </w:pPr>
      <w:r>
        <w:t xml:space="preserve">A.2 Appendix B: Model Validation Procedures</w:t>
      </w:r>
    </w:p>
    <w:bookmarkEnd w:id="170"/>
    <w:bookmarkStart w:id="171" w:name="appendix-c-case-studies"/>
    <w:p>
      <w:pPr>
        <w:pStyle w:val="Heading2"/>
      </w:pPr>
      <w:r>
        <w:t xml:space="preserve">A.3 Appendix C: Case Studies</w:t>
      </w:r>
    </w:p>
    <w:bookmarkEnd w:id="171"/>
    <w:bookmarkStart w:id="172" w:name="appendix-d-ethical-considerations"/>
    <w:p>
      <w:pPr>
        <w:pStyle w:val="Heading2"/>
      </w:pPr>
      <w:r>
        <w:t xml:space="preserve">A.4 Appendix D: Ethical Considerations</w:t>
      </w:r>
    </w:p>
    <w:p>
      <w:pPr>
        <w:pStyle w:val="FirstParagraph"/>
      </w:pPr>
      <w:r>
        <w:t xml:space="preserve">TestText</w:t>
      </w:r>
    </w:p>
    <w:bookmarkEnd w:id="172"/>
    <w:bookmarkEnd w:id="173"/>
    <w:bookmarkStart w:id="174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7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8" Target="media/rId148.png" /><Relationship Type="http://schemas.openxmlformats.org/officeDocument/2006/relationships/image" Id="rId68" Target="media/rId68.png" /><Relationship Type="http://schemas.openxmlformats.org/officeDocument/2006/relationships/image" Id="rId156" Target="media/rId156.png" /><Relationship Type="http://schemas.openxmlformats.org/officeDocument/2006/relationships/hyperlink" Id="rId164" Target="https://doi.org/10.1093/comjnl/27.2.97" TargetMode="External" /><Relationship Type="http://schemas.openxmlformats.org/officeDocument/2006/relationships/hyperlink" Id="rId161" Target="https://doi.org/10.1145/3514094.3534146" TargetMode="External" /><Relationship Type="http://schemas.openxmlformats.org/officeDocument/2006/relationships/hyperlink" Id="rId71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4" Target="https://doi.org/10.1093/comjnl/27.2.97" TargetMode="External" /><Relationship Type="http://schemas.openxmlformats.org/officeDocument/2006/relationships/hyperlink" Id="rId161" Target="https://doi.org/10.1145/3514094.3534146" TargetMode="External" /><Relationship Type="http://schemas.openxmlformats.org/officeDocument/2006/relationships/hyperlink" Id="rId71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2025-05-21T16:07:19Z</dcterms:created>
  <dcterms:modified xsi:type="dcterms:W3CDTF">2025-05-21T16:07:19Z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