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Entry:1</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small U.S. health care clinic experienced a security incident on Tuesday, at approximately 9:00 a.m. Employees were unable to access files like medical records, causing major disruptions in the clinic's operations. A ransom note displayed on their computers informed them that their files had been encrypted by an organized group of unethical hackers. The ransom note demanded a large sum of money for the decryption key. The incident was caused by phishing emails with malicious attachments, which, when downloaded, deployed ransomware that encrypted the clinic's critical data. The clinic had to shut down its systems and contact external organizations for technical support.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 tools mentioned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incident was caused by an organized group of unethical hackers using phishing emails to gain access to the clinic's network.</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hackers deployed ransomware that encrypted the clinic's critical files, rendering them inaccessible.</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19">
            <w:pPr>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on Tuesday morning, at approximately 9:00 a.m.</w:t>
            </w:r>
          </w:p>
          <w:p w:rsidR="00000000" w:rsidDel="00000000" w:rsidP="00000000" w:rsidRDefault="00000000" w:rsidRPr="00000000" w14:paraId="0000001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1B">
            <w:pPr>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took place at a small U.S. health care clinic specializing in primary care service</w:t>
            </w:r>
          </w:p>
          <w:p w:rsidR="00000000" w:rsidDel="00000000" w:rsidP="00000000" w:rsidRDefault="00000000" w:rsidRPr="00000000" w14:paraId="0000001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1D">
            <w:pPr>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because phishing emails with malicious attachments were successfully delivered to several employees, leading to malware installation and the subsequent ransomware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2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4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6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7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9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B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B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B">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C">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D">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E">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C1">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