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rPr>
          <w:rFonts w:ascii="Arial" w:cs="Arial" w:eastAsia="Arial" w:hAnsi="Arial"/>
          <w:b/>
          <w:bCs/>
          <w:color w:val="0F7B6C"/>
          <w:sz w:val="72"/>
          <w:szCs w:val="72"/>
        </w:rPr>
        <w:t xml:space="preserve">CW</w:t>
      </w:r>
    </w:p>
    <w:p>
      <w:pPr>
        <w:spacing w:after="60" w:before="0"/>
      </w:pPr>
      <w:r>
        <w:rPr>
          <w:rFonts w:ascii="Arial" w:cs="Arial" w:eastAsia="Arial" w:hAnsi="Arial"/>
          <w:b/>
          <w:bCs/>
          <w:color w:val="1A1A2E"/>
          <w:sz w:val="36"/>
          <w:szCs w:val="36"/>
        </w:rPr>
        <w:t xml:space="preserve">clausewala.</w:t>
      </w:r>
    </w:p>
    <w:p>
      <w:pPr>
        <w:spacing w:after="80" w:before="80"/>
      </w:pPr>
      <w:r>
        <w:t xml:space="preserve"/>
      </w:r>
    </w:p>
    <w:p>
      <w:pPr>
        <w:spacing w:after="80" w:before="0"/>
      </w:pPr>
      <w:r>
        <w:rPr>
          <w:rFonts w:ascii="Arial" w:cs="Arial" w:eastAsia="Arial" w:hAnsi="Arial"/>
          <w:b/>
          <w:bCs/>
          <w:color w:val="1A1A2E"/>
          <w:sz w:val="40"/>
          <w:szCs w:val="40"/>
        </w:rPr>
        <w:t xml:space="preserve">Product Requirements Document</w:t>
      </w:r>
    </w:p>
    <w:p>
      <w:pPr>
        <w:spacing w:after="40" w:before="0"/>
      </w:pPr>
      <w:r>
        <w:rPr>
          <w:rFonts w:ascii="Arial" w:cs="Arial" w:eastAsia="Arial" w:hAnsi="Arial"/>
          <w:i/>
          <w:iCs/>
          <w:color w:val="6B7280"/>
          <w:sz w:val="28"/>
          <w:szCs w:val="28"/>
        </w:rPr>
        <w:t xml:space="preserve">Public Beta → V2.0 Roadmap  |  March – May 2026</w:t>
      </w:r>
    </w:p>
    <w:p>
      <w:pPr>
        <w:spacing w:after="80" w:before="80"/>
      </w:pPr>
      <w:r>
        <w:t xml:space="preserve"/>
      </w:r>
    </w:p>
    <w:p>
      <w:pPr>
        <w:pBdr>
          <w:bottom w:val="single" w:color="0F7B6C" w:sz="4" w:space="4"/>
        </w:pBdr>
        <w:spacing w:after="200" w:before="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E8F5F3" w:val="clear"/>
            <w:tcMar>
              <w:top w:type="dxa" w:w="80"/>
              <w:left w:type="dxa" w:w="140"/>
              <w:bottom w:type="dxa" w:w="80"/>
              <w:right w:type="dxa" w:w="140"/>
            </w:tcMar>
          </w:tcPr>
          <w:p>
            <w:r>
              <w:rPr>
                <w:rFonts w:ascii="Arial" w:cs="Arial" w:eastAsia="Arial" w:hAnsi="Arial"/>
                <w:b/>
                <w:bCs/>
                <w:color w:val="0F7B6C"/>
                <w:sz w:val="20"/>
                <w:szCs w:val="20"/>
              </w:rPr>
              <w:t xml:space="preserve">Product</w:t>
            </w:r>
          </w:p>
        </w:tc>
        <w:tc>
          <w:tcPr>
            <w:tcW w:type="dxa" w:w="68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C1C1C"/>
                <w:sz w:val="20"/>
                <w:szCs w:val="20"/>
              </w:rPr>
              <w:t xml:space="preserve">ClauseWala — AI Legal Documents for Indian Startups</w:t>
            </w:r>
          </w:p>
        </w:tc>
      </w:tr>
      <w:tr>
        <w:tc>
          <w:tcPr>
            <w:tcW w:type="dxa" w:w="2500"/>
            <w:tcBorders>
              <w:top w:val="single" w:color="DDDDDD" w:sz="1"/>
              <w:left w:val="single" w:color="DDDDDD" w:sz="1"/>
              <w:bottom w:val="single" w:color="DDDDDD" w:sz="1"/>
              <w:right w:val="single" w:color="DDDDDD" w:sz="1"/>
            </w:tcBorders>
            <w:shd w:fill="E8F5F3" w:val="clear"/>
            <w:tcMar>
              <w:top w:type="dxa" w:w="80"/>
              <w:left w:type="dxa" w:w="140"/>
              <w:bottom w:type="dxa" w:w="80"/>
              <w:right w:type="dxa" w:w="140"/>
            </w:tcMar>
          </w:tcPr>
          <w:p>
            <w:r>
              <w:rPr>
                <w:rFonts w:ascii="Arial" w:cs="Arial" w:eastAsia="Arial" w:hAnsi="Arial"/>
                <w:b/>
                <w:bCs/>
                <w:color w:val="0F7B6C"/>
                <w:sz w:val="20"/>
                <w:szCs w:val="20"/>
              </w:rPr>
              <w:t xml:space="preserve">Version</w:t>
            </w:r>
          </w:p>
        </w:tc>
        <w:tc>
          <w:tcPr>
            <w:tcW w:type="dxa" w:w="68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C1C1C"/>
                <w:sz w:val="20"/>
                <w:szCs w:val="20"/>
              </w:rPr>
              <w:t xml:space="preserve">PRD v2.0</w:t>
            </w:r>
          </w:p>
        </w:tc>
      </w:tr>
      <w:tr>
        <w:tc>
          <w:tcPr>
            <w:tcW w:type="dxa" w:w="2500"/>
            <w:tcBorders>
              <w:top w:val="single" w:color="DDDDDD" w:sz="1"/>
              <w:left w:val="single" w:color="DDDDDD" w:sz="1"/>
              <w:bottom w:val="single" w:color="DDDDDD" w:sz="1"/>
              <w:right w:val="single" w:color="DDDDDD" w:sz="1"/>
            </w:tcBorders>
            <w:shd w:fill="E8F5F3" w:val="clear"/>
            <w:tcMar>
              <w:top w:type="dxa" w:w="80"/>
              <w:left w:type="dxa" w:w="140"/>
              <w:bottom w:type="dxa" w:w="80"/>
              <w:right w:type="dxa" w:w="140"/>
            </w:tcMar>
          </w:tcPr>
          <w:p>
            <w:r>
              <w:rPr>
                <w:rFonts w:ascii="Arial" w:cs="Arial" w:eastAsia="Arial" w:hAnsi="Arial"/>
                <w:b/>
                <w:bCs/>
                <w:color w:val="0F7B6C"/>
                <w:sz w:val="20"/>
                <w:szCs w:val="20"/>
              </w:rPr>
              <w:t xml:space="preserve">Period</w:t>
            </w:r>
          </w:p>
        </w:tc>
        <w:tc>
          <w:tcPr>
            <w:tcW w:type="dxa" w:w="68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C1C1C"/>
                <w:sz w:val="20"/>
                <w:szCs w:val="20"/>
              </w:rPr>
              <w:t xml:space="preserve">March 20, 2026 — May 20, 2026 (8 weeks)</w:t>
            </w:r>
          </w:p>
        </w:tc>
      </w:tr>
      <w:tr>
        <w:tc>
          <w:tcPr>
            <w:tcW w:type="dxa" w:w="2500"/>
            <w:tcBorders>
              <w:top w:val="single" w:color="DDDDDD" w:sz="1"/>
              <w:left w:val="single" w:color="DDDDDD" w:sz="1"/>
              <w:bottom w:val="single" w:color="DDDDDD" w:sz="1"/>
              <w:right w:val="single" w:color="DDDDDD" w:sz="1"/>
            </w:tcBorders>
            <w:shd w:fill="E8F5F3" w:val="clear"/>
            <w:tcMar>
              <w:top w:type="dxa" w:w="80"/>
              <w:left w:type="dxa" w:w="140"/>
              <w:bottom w:type="dxa" w:w="80"/>
              <w:right w:type="dxa" w:w="140"/>
            </w:tcMar>
          </w:tcPr>
          <w:p>
            <w:r>
              <w:rPr>
                <w:rFonts w:ascii="Arial" w:cs="Arial" w:eastAsia="Arial" w:hAnsi="Arial"/>
                <w:b/>
                <w:bCs/>
                <w:color w:val="0F7B6C"/>
                <w:sz w:val="20"/>
                <w:szCs w:val="20"/>
              </w:rPr>
              <w:t xml:space="preserve">Author</w:t>
            </w:r>
          </w:p>
        </w:tc>
        <w:tc>
          <w:tcPr>
            <w:tcW w:type="dxa" w:w="68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C1C1C"/>
                <w:sz w:val="20"/>
                <w:szCs w:val="20"/>
              </w:rPr>
              <w:t xml:space="preserve">Vishwanath K (CEO, SASA Engineers)</w:t>
            </w:r>
          </w:p>
        </w:tc>
      </w:tr>
      <w:tr>
        <w:tc>
          <w:tcPr>
            <w:tcW w:type="dxa" w:w="2500"/>
            <w:tcBorders>
              <w:top w:val="single" w:color="DDDDDD" w:sz="1"/>
              <w:left w:val="single" w:color="DDDDDD" w:sz="1"/>
              <w:bottom w:val="single" w:color="DDDDDD" w:sz="1"/>
              <w:right w:val="single" w:color="DDDDDD" w:sz="1"/>
            </w:tcBorders>
            <w:shd w:fill="E8F5F3" w:val="clear"/>
            <w:tcMar>
              <w:top w:type="dxa" w:w="80"/>
              <w:left w:type="dxa" w:w="140"/>
              <w:bottom w:type="dxa" w:w="80"/>
              <w:right w:type="dxa" w:w="140"/>
            </w:tcMar>
          </w:tcPr>
          <w:p>
            <w:r>
              <w:rPr>
                <w:rFonts w:ascii="Arial" w:cs="Arial" w:eastAsia="Arial" w:hAnsi="Arial"/>
                <w:b/>
                <w:bCs/>
                <w:color w:val="0F7B6C"/>
                <w:sz w:val="20"/>
                <w:szCs w:val="20"/>
              </w:rPr>
              <w:t xml:space="preserve">Contact</w:t>
            </w:r>
          </w:p>
        </w:tc>
        <w:tc>
          <w:tcPr>
            <w:tcW w:type="dxa" w:w="68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C1C1C"/>
                <w:sz w:val="20"/>
                <w:szCs w:val="20"/>
              </w:rPr>
              <w:t xml:space="preserve">clausewala@vishwadev.tech  ·  clausewala.in</w:t>
            </w:r>
          </w:p>
        </w:tc>
      </w:tr>
      <w:tr>
        <w:tc>
          <w:tcPr>
            <w:tcW w:type="dxa" w:w="2500"/>
            <w:tcBorders>
              <w:top w:val="single" w:color="DDDDDD" w:sz="1"/>
              <w:left w:val="single" w:color="DDDDDD" w:sz="1"/>
              <w:bottom w:val="single" w:color="DDDDDD" w:sz="1"/>
              <w:right w:val="single" w:color="DDDDDD" w:sz="1"/>
            </w:tcBorders>
            <w:shd w:fill="E8F5F3" w:val="clear"/>
            <w:tcMar>
              <w:top w:type="dxa" w:w="80"/>
              <w:left w:type="dxa" w:w="140"/>
              <w:bottom w:type="dxa" w:w="80"/>
              <w:right w:type="dxa" w:w="140"/>
            </w:tcMar>
          </w:tcPr>
          <w:p>
            <w:r>
              <w:rPr>
                <w:rFonts w:ascii="Arial" w:cs="Arial" w:eastAsia="Arial" w:hAnsi="Arial"/>
                <w:b/>
                <w:bCs/>
                <w:color w:val="0F7B6C"/>
                <w:sz w:val="20"/>
                <w:szCs w:val="20"/>
              </w:rPr>
              <w:t xml:space="preserve">Status</w:t>
            </w:r>
          </w:p>
        </w:tc>
        <w:tc>
          <w:tcPr>
            <w:tcW w:type="dxa" w:w="68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C1C1C"/>
                <w:sz w:val="20"/>
                <w:szCs w:val="20"/>
              </w:rPr>
              <w:t xml:space="preserve">Active Development — Public Beta Live</w:t>
            </w:r>
          </w:p>
        </w:tc>
      </w:tr>
    </w:tbl>
    <w:p>
      <w:pPr>
        <w:spacing w:after="80" w:before="80"/>
      </w:pPr>
      <w:r>
        <w:t xml:space="preserve"/>
      </w:r>
    </w:p>
    <w:p>
      <w:pPr>
        <w:spacing w:after="80" w:before="80"/>
      </w:pPr>
      <w:r>
        <w:t xml:space="preserve"/>
      </w:r>
    </w:p>
    <w:p>
      <w:pPr>
        <w:pStyle w:val="Heading1"/>
        <w:pBdr>
          <w:bottom w:val="single" w:color="0F7B6C" w:sz="4" w:space="4"/>
        </w:pBdr>
        <w:spacing w:after="200" w:before="400"/>
      </w:pPr>
      <w:r>
        <w:rPr>
          <w:rFonts w:ascii="Arial" w:cs="Arial" w:eastAsia="Arial" w:hAnsi="Arial"/>
          <w:b/>
          <w:bCs/>
          <w:color w:val="1A1A2E"/>
          <w:sz w:val="32"/>
          <w:szCs w:val="32"/>
        </w:rPr>
        <w:t xml:space="preserve">1. Executive Summary</w:t>
      </w:r>
    </w:p>
    <w:p>
      <w:pPr>
        <w:spacing w:after="60" w:before="60"/>
      </w:pPr>
      <w:r>
        <w:rPr>
          <w:rFonts w:ascii="Arial" w:cs="Arial" w:eastAsia="Arial" w:hAnsi="Arial"/>
          <w:color w:val="1C1C1C"/>
          <w:sz w:val="22"/>
          <w:szCs w:val="22"/>
        </w:rPr>
        <w:t xml:space="preserve">ClauseWala is an AI-powered legal document platform built specifically for Indian startups. The platform generates India-specific contracts — citing the Indian Contract Act 1872, Companies Act 2013, IT Act 2000, and DPDP Act 2023 — through a two-stage process: clause-by-clause blueprint with risk flags, followed by full formatted PDF/DOCX export.</w:t>
      </w:r>
    </w:p>
    <w:p>
      <w:pPr>
        <w:spacing w:after="80" w:before="80"/>
      </w:pPr>
      <w:r>
        <w:t xml:space="preserve"/>
      </w:r>
    </w:p>
    <w:p>
      <w:pPr>
        <w:spacing w:after="60" w:before="60"/>
      </w:pPr>
      <w:r>
        <w:rPr>
          <w:rFonts w:ascii="Arial" w:cs="Arial" w:eastAsia="Arial" w:hAnsi="Arial"/>
          <w:color w:val="1C1C1C"/>
          <w:sz w:val="22"/>
          <w:szCs w:val="22"/>
        </w:rPr>
        <w:t xml:space="preserve">This PRD defines the development priorities for the next 8 weeks (March 20 – May 20, 2026), taking ClauseWala from its current public beta state to a significantly enhanced V2.0. The priorities are informed by expert input from Yogesh Pai (NLU Jaipur faculty) and direct founder feedback sessions.</w:t>
      </w:r>
    </w:p>
    <w:p>
      <w:pPr>
        <w:spacing w:after="80" w:before="80"/>
      </w:pPr>
      <w:r>
        <w:t xml:space="preserve"/>
      </w:r>
    </w:p>
    <w:p>
      <w:pPr>
        <w:pStyle w:val="Heading1"/>
        <w:pBdr>
          <w:bottom w:val="single" w:color="0F7B6C" w:sz="4" w:space="4"/>
        </w:pBdr>
        <w:spacing w:after="200" w:before="400"/>
      </w:pPr>
      <w:r>
        <w:rPr>
          <w:rFonts w:ascii="Arial" w:cs="Arial" w:eastAsia="Arial" w:hAnsi="Arial"/>
          <w:b/>
          <w:bCs/>
          <w:color w:val="1A1A2E"/>
          <w:sz w:val="32"/>
          <w:szCs w:val="32"/>
        </w:rPr>
        <w:t xml:space="preserve">2. Current State</w:t>
      </w:r>
    </w:p>
    <w:p>
      <w:pPr>
        <w:pStyle w:val="Heading2"/>
        <w:spacing w:after="120" w:before="300"/>
      </w:pPr>
      <w:r>
        <w:rPr>
          <w:rFonts w:ascii="Arial" w:cs="Arial" w:eastAsia="Arial" w:hAnsi="Arial"/>
          <w:b/>
          <w:bCs/>
          <w:color w:val="0F7B6C"/>
          <w:sz w:val="24"/>
          <w:szCs w:val="24"/>
        </w:rPr>
        <w:t xml:space="preserve">2.1 What's Live</w:t>
      </w:r>
    </w:p>
    <w:p>
      <w:pPr>
        <w:spacing w:after="60" w:before="60"/>
      </w:pPr>
      <w:r>
        <w:rPr>
          <w:rFonts w:ascii="Arial" w:cs="Arial" w:eastAsia="Arial" w:hAnsi="Arial"/>
          <w:color w:val="1C1C1C"/>
          <w:sz w:val="22"/>
          <w:szCs w:val="22"/>
        </w:rPr>
        <w:t xml:space="preserve">The following is already built and live at clausewala.in: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E8F5F3" w:val="clear"/>
            <w:tcMar>
              <w:top w:type="dxa" w:w="80"/>
              <w:left w:type="dxa" w:w="120"/>
              <w:bottom w:type="dxa" w:w="80"/>
              <w:right w:type="dxa" w:w="120"/>
            </w:tcMar>
          </w:tcPr>
          <w:p>
            <w:r>
              <w:rPr>
                <w:rFonts w:ascii="Arial" w:cs="Arial" w:eastAsia="Arial" w:hAnsi="Arial"/>
                <w:b/>
                <w:bCs/>
                <w:color w:val="0F7B6C"/>
                <w:sz w:val="20"/>
                <w:szCs w:val="20"/>
              </w:rPr>
              <w:t xml:space="preserve">✓ 22 document templates across 7 categories</w:t>
            </w:r>
          </w:p>
        </w:tc>
        <w:tc>
          <w:tcPr>
            <w:tcW w:type="dxa" w:w="4680"/>
            <w:tcBorders>
              <w:top w:val="none" w:color="FFFFFF" w:sz="0"/>
              <w:left w:val="none" w:color="FFFFFF" w:sz="0"/>
              <w:bottom w:val="none" w:color="FFFFFF" w:sz="0"/>
              <w:right w:val="none" w:color="FFFFFF" w:sz="0"/>
            </w:tcBorders>
            <w:shd w:fill="E8F5F3" w:val="clear"/>
            <w:tcMar>
              <w:top w:type="dxa" w:w="80"/>
              <w:left w:type="dxa" w:w="120"/>
              <w:bottom w:type="dxa" w:w="80"/>
              <w:right w:type="dxa" w:w="120"/>
            </w:tcMar>
          </w:tcPr>
          <w:p>
            <w:r>
              <w:rPr>
                <w:rFonts w:ascii="Arial" w:cs="Arial" w:eastAsia="Arial" w:hAnsi="Arial"/>
                <w:b/>
                <w:bCs/>
                <w:color w:val="0F7B6C"/>
                <w:sz w:val="20"/>
                <w:szCs w:val="20"/>
              </w:rPr>
              <w:t xml:space="preserve">✓ 2-stage AI pipeline (Blueprint → Full Doc)</w:t>
            </w:r>
          </w:p>
        </w:tc>
      </w:tr>
      <w:tr>
        <w:tc>
          <w:tcPr>
            <w:tcW w:type="dxa" w:w="4680"/>
            <w:tcBorders>
              <w:top w:val="none" w:color="FFFFFF" w:sz="0"/>
              <w:left w:val="none" w:color="FFFFFF" w:sz="0"/>
              <w:bottom w:val="none" w:color="FFFFFF" w:sz="0"/>
              <w:right w:val="none" w:color="FFFFFF" w:sz="0"/>
            </w:tcBorders>
            <w:shd w:fill="E8F5F3" w:val="clear"/>
            <w:tcMar>
              <w:top w:type="dxa" w:w="80"/>
              <w:left w:type="dxa" w:w="120"/>
              <w:bottom w:type="dxa" w:w="80"/>
              <w:right w:type="dxa" w:w="120"/>
            </w:tcMar>
          </w:tcPr>
          <w:p>
            <w:r>
              <w:rPr>
                <w:rFonts w:ascii="Arial" w:cs="Arial" w:eastAsia="Arial" w:hAnsi="Arial"/>
                <w:b/>
                <w:bCs/>
                <w:color w:val="0F7B6C"/>
                <w:sz w:val="20"/>
                <w:szCs w:val="20"/>
              </w:rPr>
              <w:t xml:space="preserve">✓ PDF and DOCX export</w:t>
            </w:r>
          </w:p>
        </w:tc>
        <w:tc>
          <w:tcPr>
            <w:tcW w:type="dxa" w:w="4680"/>
            <w:tcBorders>
              <w:top w:val="none" w:color="FFFFFF" w:sz="0"/>
              <w:left w:val="none" w:color="FFFFFF" w:sz="0"/>
              <w:bottom w:val="none" w:color="FFFFFF" w:sz="0"/>
              <w:right w:val="none" w:color="FFFFFF" w:sz="0"/>
            </w:tcBorders>
            <w:shd w:fill="E8F5F3" w:val="clear"/>
            <w:tcMar>
              <w:top w:type="dxa" w:w="80"/>
              <w:left w:type="dxa" w:w="120"/>
              <w:bottom w:type="dxa" w:w="80"/>
              <w:right w:type="dxa" w:w="120"/>
            </w:tcMar>
          </w:tcPr>
          <w:p>
            <w:r>
              <w:rPr>
                <w:rFonts w:ascii="Arial" w:cs="Arial" w:eastAsia="Arial" w:hAnsi="Arial"/>
                <w:b/>
                <w:bCs/>
                <w:color w:val="0F7B6C"/>
                <w:sz w:val="20"/>
                <w:szCs w:val="20"/>
              </w:rPr>
              <w:t xml:space="preserve">✓ Google Sign-In authentication</w:t>
            </w:r>
          </w:p>
        </w:tc>
      </w:tr>
      <w:tr>
        <w:tc>
          <w:tcPr>
            <w:tcW w:type="dxa" w:w="4680"/>
            <w:tcBorders>
              <w:top w:val="none" w:color="FFFFFF" w:sz="0"/>
              <w:left w:val="none" w:color="FFFFFF" w:sz="0"/>
              <w:bottom w:val="none" w:color="FFFFFF" w:sz="0"/>
              <w:right w:val="none" w:color="FFFFFF" w:sz="0"/>
            </w:tcBorders>
            <w:shd w:fill="E8F5F3" w:val="clear"/>
            <w:tcMar>
              <w:top w:type="dxa" w:w="80"/>
              <w:left w:type="dxa" w:w="120"/>
              <w:bottom w:type="dxa" w:w="80"/>
              <w:right w:type="dxa" w:w="120"/>
            </w:tcMar>
          </w:tcPr>
          <w:p>
            <w:r>
              <w:rPr>
                <w:rFonts w:ascii="Arial" w:cs="Arial" w:eastAsia="Arial" w:hAnsi="Arial"/>
                <w:b/>
                <w:bCs/>
                <w:color w:val="0F7B6C"/>
                <w:sz w:val="20"/>
                <w:szCs w:val="20"/>
              </w:rPr>
              <w:t xml:space="preserve">✓ Iteration chat for clause refinement</w:t>
            </w:r>
          </w:p>
        </w:tc>
        <w:tc>
          <w:tcPr>
            <w:tcW w:type="dxa" w:w="4680"/>
            <w:tcBorders>
              <w:top w:val="none" w:color="FFFFFF" w:sz="0"/>
              <w:left w:val="none" w:color="FFFFFF" w:sz="0"/>
              <w:bottom w:val="none" w:color="FFFFFF" w:sz="0"/>
              <w:right w:val="none" w:color="FFFFFF" w:sz="0"/>
            </w:tcBorders>
            <w:shd w:fill="E8F5F3" w:val="clear"/>
            <w:tcMar>
              <w:top w:type="dxa" w:w="80"/>
              <w:left w:type="dxa" w:w="120"/>
              <w:bottom w:type="dxa" w:w="80"/>
              <w:right w:type="dxa" w:w="120"/>
            </w:tcMar>
          </w:tcPr>
          <w:p>
            <w:r>
              <w:rPr>
                <w:rFonts w:ascii="Arial" w:cs="Arial" w:eastAsia="Arial" w:hAnsi="Arial"/>
                <w:b/>
                <w:bCs/>
                <w:color w:val="0F7B6C"/>
                <w:sz w:val="20"/>
                <w:szCs w:val="20"/>
              </w:rPr>
              <w:t xml:space="preserve">✓ India-specific legal framework (all major acts)</w:t>
            </w:r>
          </w:p>
        </w:tc>
      </w:tr>
      <w:tr>
        <w:tc>
          <w:tcPr>
            <w:tcW w:type="dxa" w:w="4680"/>
            <w:tcBorders>
              <w:top w:val="none" w:color="FFFFFF" w:sz="0"/>
              <w:left w:val="none" w:color="FFFFFF" w:sz="0"/>
              <w:bottom w:val="none" w:color="FFFFFF" w:sz="0"/>
              <w:right w:val="none" w:color="FFFFFF" w:sz="0"/>
            </w:tcBorders>
            <w:shd w:fill="E8F5F3" w:val="clear"/>
            <w:tcMar>
              <w:top w:type="dxa" w:w="80"/>
              <w:left w:type="dxa" w:w="120"/>
              <w:bottom w:type="dxa" w:w="80"/>
              <w:right w:type="dxa" w:w="120"/>
            </w:tcMar>
          </w:tcPr>
          <w:p>
            <w:r>
              <w:rPr>
                <w:rFonts w:ascii="Arial" w:cs="Arial" w:eastAsia="Arial" w:hAnsi="Arial"/>
                <w:b/>
                <w:bCs/>
                <w:color w:val="0F7B6C"/>
                <w:sz w:val="20"/>
                <w:szCs w:val="20"/>
              </w:rPr>
              <w:t xml:space="preserve">✓ Risk flags per clause in Blueprint mode</w:t>
            </w:r>
          </w:p>
        </w:tc>
        <w:tc>
          <w:tcPr>
            <w:tcW w:type="dxa" w:w="4680"/>
            <w:tcBorders>
              <w:top w:val="none" w:color="FFFFFF" w:sz="0"/>
              <w:left w:val="none" w:color="FFFFFF" w:sz="0"/>
              <w:bottom w:val="none" w:color="FFFFFF" w:sz="0"/>
              <w:right w:val="none" w:color="FFFFFF" w:sz="0"/>
            </w:tcBorders>
            <w:shd w:fill="E8F5F3" w:val="clear"/>
            <w:tcMar>
              <w:top w:type="dxa" w:w="80"/>
              <w:left w:type="dxa" w:w="120"/>
              <w:bottom w:type="dxa" w:w="80"/>
              <w:right w:type="dxa" w:w="120"/>
            </w:tcMar>
          </w:tcPr>
          <w:p>
            <w:r>
              <w:rPr>
                <w:rFonts w:ascii="Arial" w:cs="Arial" w:eastAsia="Arial" w:hAnsi="Arial"/>
                <w:b/>
                <w:bCs/>
                <w:color w:val="0F7B6C"/>
                <w:sz w:val="20"/>
                <w:szCs w:val="20"/>
              </w:rPr>
              <w:t xml:space="preserve">✓ Unlimited document generation (free beta)</w:t>
            </w:r>
          </w:p>
        </w:tc>
      </w:tr>
    </w:tbl>
    <w:p>
      <w:pPr>
        <w:spacing w:after="80" w:before="80"/>
      </w:pPr>
      <w:r>
        <w:t xml:space="preserve"/>
      </w:r>
    </w:p>
    <w:p>
      <w:pPr>
        <w:pStyle w:val="Heading2"/>
        <w:spacing w:after="120" w:before="300"/>
      </w:pPr>
      <w:r>
        <w:rPr>
          <w:rFonts w:ascii="Arial" w:cs="Arial" w:eastAsia="Arial" w:hAnsi="Arial"/>
          <w:b/>
          <w:bCs/>
          <w:color w:val="0F7B6C"/>
          <w:sz w:val="24"/>
          <w:szCs w:val="24"/>
        </w:rPr>
        <w:t xml:space="preserve">2.2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3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C1C1C"/>
                <w:sz w:val="20"/>
                <w:szCs w:val="20"/>
              </w:rPr>
              <w:t xml:space="preserve">Frontend</w:t>
            </w:r>
          </w:p>
        </w:tc>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C1C1C"/>
                <w:sz w:val="20"/>
                <w:szCs w:val="20"/>
              </w:rPr>
              <w:t xml:space="preserve">Next.js 14 (App Router) + TypeScript + Tailwind CSS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C1C1C"/>
                <w:sz w:val="20"/>
                <w:szCs w:val="20"/>
              </w:rPr>
              <w:t xml:space="preserve">AI Engine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C1C1C"/>
                <w:sz w:val="20"/>
                <w:szCs w:val="20"/>
              </w:rPr>
              <w:t xml:space="preserve">Groq API — 2-stage pipeline (Blueprint JSON → Full Doc)</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C1C1C"/>
                <w:sz w:val="20"/>
                <w:szCs w:val="20"/>
              </w:rPr>
              <w:t xml:space="preserve">Database</w:t>
            </w:r>
          </w:p>
        </w:tc>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C1C1C"/>
                <w:sz w:val="20"/>
                <w:szCs w:val="20"/>
              </w:rPr>
              <w:t xml:space="preserve">Supabase (PostgreSQL) + Redis for state management</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C1C1C"/>
                <w:sz w:val="20"/>
                <w:szCs w:val="20"/>
              </w:rPr>
              <w:t xml:space="preserve">Validation</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C1C1C"/>
                <w:sz w:val="20"/>
                <w:szCs w:val="20"/>
              </w:rPr>
              <w:t xml:space="preserve">Zod — schema validation across API routes and forms</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C1C1C"/>
                <w:sz w:val="20"/>
                <w:szCs w:val="20"/>
              </w:rPr>
              <w:t xml:space="preserve">Auth</w:t>
            </w:r>
          </w:p>
        </w:tc>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C1C1C"/>
                <w:sz w:val="20"/>
                <w:szCs w:val="20"/>
              </w:rPr>
              <w:t xml:space="preserve">Google Sign-In via AuthProvider</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C1C1C"/>
                <w:sz w:val="20"/>
                <w:szCs w:val="20"/>
              </w:rPr>
              <w:t xml:space="preserve">Export</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C1C1C"/>
                <w:sz w:val="20"/>
                <w:szCs w:val="20"/>
              </w:rPr>
              <w:t xml:space="preserve">PDF and DOCX exporters (lib/exporters/)</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C1C1C"/>
                <w:sz w:val="20"/>
                <w:szCs w:val="20"/>
              </w:rPr>
              <w:t xml:space="preserve">Hosting</w:t>
            </w:r>
          </w:p>
        </w:tc>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C1C1C"/>
                <w:sz w:val="20"/>
                <w:szCs w:val="20"/>
              </w:rPr>
              <w:t xml:space="preserve">clausewala.in (live)</w:t>
            </w:r>
          </w:p>
        </w:tc>
      </w:tr>
    </w:tbl>
    <w:p>
      <w:pPr>
        <w:spacing w:after="80" w:before="80"/>
      </w:pPr>
      <w:r>
        <w:t xml:space="preserve"/>
      </w:r>
    </w:p>
    <w:p>
      <w:pPr>
        <w:pStyle w:val="Heading1"/>
        <w:pBdr>
          <w:bottom w:val="single" w:color="0F7B6C" w:sz="4" w:space="4"/>
        </w:pBdr>
        <w:spacing w:after="200" w:before="400"/>
      </w:pPr>
      <w:r>
        <w:rPr>
          <w:rFonts w:ascii="Arial" w:cs="Arial" w:eastAsia="Arial" w:hAnsi="Arial"/>
          <w:b/>
          <w:bCs/>
          <w:color w:val="1A1A2E"/>
          <w:sz w:val="32"/>
          <w:szCs w:val="32"/>
        </w:rPr>
        <w:t xml:space="preserve">3. 8-Week Goals</w:t>
      </w:r>
    </w:p>
    <w:p>
      <w:pPr>
        <w:spacing w:after="60" w:before="60"/>
      </w:pPr>
      <w:r>
        <w:rPr>
          <w:rFonts w:ascii="Arial" w:cs="Arial" w:eastAsia="Arial" w:hAnsi="Arial"/>
          <w:color w:val="1C1C1C"/>
          <w:sz w:val="22"/>
          <w:szCs w:val="22"/>
        </w:rPr>
        <w:t xml:space="preserve">The V2.0 milestone targets three outcome areas:</w:t>
      </w:r>
    </w:p>
    <w:p>
      <w:pPr>
        <w:spacing w:after="80" w:before="80"/>
      </w:pPr>
      <w:r>
        <w:t xml:space="preserve"/>
      </w:r>
    </w:p>
    <w:p>
      <w:pPr>
        <w:pStyle w:val="ListParagraph"/>
        <w:numPr>
          <w:ilvl w:val="0"/>
          <w:numId w:val="2"/>
        </w:numPr>
        <w:spacing w:after="40" w:before="40"/>
      </w:pPr>
      <w:r>
        <w:rPr>
          <w:rFonts w:ascii="Arial" w:cs="Arial" w:eastAsia="Arial" w:hAnsi="Arial"/>
          <w:color w:val="1C1C1C"/>
          <w:sz w:val="22"/>
          <w:szCs w:val="22"/>
        </w:rPr>
        <w:t xml:space="preserve">Stability — harden the existing beta, fix edge cases, and make the core flow bulletproof</w:t>
      </w:r>
    </w:p>
    <w:p>
      <w:pPr>
        <w:pStyle w:val="ListParagraph"/>
        <w:numPr>
          <w:ilvl w:val="0"/>
          <w:numId w:val="2"/>
        </w:numPr>
        <w:spacing w:after="40" w:before="40"/>
      </w:pPr>
      <w:r>
        <w:rPr>
          <w:rFonts w:ascii="Arial" w:cs="Arial" w:eastAsia="Arial" w:hAnsi="Arial"/>
          <w:color w:val="1C1C1C"/>
          <w:sz w:val="22"/>
          <w:szCs w:val="22"/>
        </w:rPr>
        <w:t xml:space="preserve">Compliance &amp; Trust — add legal safeguards (disclaimers, consent, attorney-client privilege)</w:t>
      </w:r>
    </w:p>
    <w:p>
      <w:pPr>
        <w:pStyle w:val="ListParagraph"/>
        <w:numPr>
          <w:ilvl w:val="0"/>
          <w:numId w:val="2"/>
        </w:numPr>
        <w:spacing w:after="40" w:before="40"/>
      </w:pPr>
      <w:r>
        <w:rPr>
          <w:rFonts w:ascii="Arial" w:cs="Arial" w:eastAsia="Arial" w:hAnsi="Arial"/>
          <w:color w:val="1C1C1C"/>
          <w:sz w:val="22"/>
          <w:szCs w:val="22"/>
        </w:rPr>
        <w:t xml:space="preserve">Expansion — unlock new user segments (regional language users, rental agreement users, lawyers)</w:t>
      </w:r>
    </w:p>
    <w:p>
      <w:pPr>
        <w:spacing w:after="80" w:before="80"/>
      </w:pPr>
      <w:r>
        <w:t xml:space="preserve"/>
      </w:r>
    </w:p>
    <w:p>
      <w:pPr>
        <w:pStyle w:val="Heading1"/>
        <w:pBdr>
          <w:bottom w:val="single" w:color="0F7B6C" w:sz="4" w:space="4"/>
        </w:pBdr>
        <w:spacing w:after="200" w:before="400"/>
      </w:pPr>
      <w:r>
        <w:rPr>
          <w:rFonts w:ascii="Arial" w:cs="Arial" w:eastAsia="Arial" w:hAnsi="Arial"/>
          <w:b/>
          <w:bCs/>
          <w:color w:val="1A1A2E"/>
          <w:sz w:val="32"/>
          <w:szCs w:val="32"/>
        </w:rPr>
        <w:t xml:space="preserve">4. Feature Roadmap</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160"/>
      </w:tblGrid>
      <w:tr>
        <w:tc>
          <w:tcPr>
            <w:tcW w:type="dxa" w:w="32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Feature</w:t>
            </w:r>
          </w:p>
        </w:tc>
        <w:tc>
          <w:tcPr>
            <w:tcW w:type="dxa" w:w="20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c>
          <w:tcPr>
            <w:tcW w:type="dxa" w:w="20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Timeline</w:t>
            </w:r>
          </w:p>
        </w:tc>
        <w:tc>
          <w:tcPr>
            <w:tcW w:type="dxa" w:w="216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Status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E2E Flow Testing &amp; Bug Fixes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 Critical</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Week 1–2</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Pending</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C1C1C"/>
                <w:sz w:val="20"/>
                <w:szCs w:val="20"/>
              </w:rPr>
              <w:t xml:space="preserve">Groq API Error Handling</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C1C1C"/>
                <w:sz w:val="20"/>
                <w:szCs w:val="20"/>
              </w:rPr>
              <w:t xml:space="preserve">🔴 Critical</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C1C1C"/>
                <w:sz w:val="20"/>
                <w:szCs w:val="20"/>
              </w:rPr>
              <w:t xml:space="preserve">Week 1–2</w:t>
            </w:r>
          </w:p>
        </w:tc>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C1C1C"/>
                <w:sz w:val="20"/>
                <w:szCs w:val="20"/>
              </w:rPr>
              <w:t xml:space="preserve">Pending</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Disclaimer + Consent Layer</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 Critical</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Week 2–3</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Pending</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C1C1C"/>
                <w:sz w:val="20"/>
                <w:szCs w:val="20"/>
              </w:rPr>
              <w:t xml:space="preserve">Attorney-Client Privilege Framing</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C1C1C"/>
                <w:sz w:val="20"/>
                <w:szCs w:val="20"/>
              </w:rPr>
              <w:t xml:space="preserve">🟠 High</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C1C1C"/>
                <w:sz w:val="20"/>
                <w:szCs w:val="20"/>
              </w:rPr>
              <w:t xml:space="preserve">Week 3</w:t>
            </w:r>
          </w:p>
        </w:tc>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C1C1C"/>
                <w:sz w:val="20"/>
                <w:szCs w:val="20"/>
              </w:rPr>
              <w:t xml:space="preserve">Pending</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Bhashini — 22 Language Support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 High</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Week 3–5</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Pending</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C1C1C"/>
                <w:sz w:val="20"/>
                <w:szCs w:val="20"/>
              </w:rPr>
              <w:t xml:space="preserve">E-Signature via DigiLocker</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C1C1C"/>
                <w:sz w:val="20"/>
                <w:szCs w:val="20"/>
              </w:rPr>
              <w:t xml:space="preserve">🟠 High</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C1C1C"/>
                <w:sz w:val="20"/>
                <w:szCs w:val="20"/>
              </w:rPr>
              <w:t xml:space="preserve">Week 4–6</w:t>
            </w:r>
          </w:p>
        </w:tc>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C1C1C"/>
                <w:sz w:val="20"/>
                <w:szCs w:val="20"/>
              </w:rPr>
              <w:t xml:space="preserve">Pending</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Rental Agreement Focus Track</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 Medium</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Week 4–5</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Pending</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C1C1C"/>
                <w:sz w:val="20"/>
                <w:szCs w:val="20"/>
              </w:rPr>
              <w:t xml:space="preserve">Sub-Registrar Office Workflow</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C1C1C"/>
                <w:sz w:val="20"/>
                <w:szCs w:val="20"/>
              </w:rPr>
              <w:t xml:space="preserve">🟡 Medium</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C1C1C"/>
                <w:sz w:val="20"/>
                <w:szCs w:val="20"/>
              </w:rPr>
              <w:t xml:space="preserve">Week 5–6</w:t>
            </w:r>
          </w:p>
        </w:tc>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C1C1C"/>
                <w:sz w:val="20"/>
                <w:szCs w:val="20"/>
              </w:rPr>
              <w:t xml:space="preserve">Pending</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LinkedIn for Lawyers — Discovery</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 Exploratory</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Week 6–8</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Research</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C1C1C"/>
                <w:sz w:val="20"/>
                <w:szCs w:val="20"/>
              </w:rPr>
              <w:t xml:space="preserve">Digital Stamp Paper (Online)</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C1C1C"/>
                <w:sz w:val="20"/>
                <w:szCs w:val="20"/>
              </w:rPr>
              <w:t xml:space="preserve">🟢 Exploratory</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C1C1C"/>
                <w:sz w:val="20"/>
                <w:szCs w:val="20"/>
              </w:rPr>
              <w:t xml:space="preserve">Week 7–8</w:t>
            </w:r>
          </w:p>
        </w:tc>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C1C1C"/>
                <w:sz w:val="20"/>
                <w:szCs w:val="20"/>
              </w:rPr>
              <w:t xml:space="preserve">Research</w:t>
            </w:r>
          </w:p>
        </w:tc>
      </w:tr>
    </w:tbl>
    <w:p>
      <w:pPr>
        <w:spacing w:after="80" w:before="80"/>
      </w:pPr>
      <w:r>
        <w:t xml:space="preserve"/>
      </w:r>
    </w:p>
    <w:p>
      <w:pPr>
        <w:pStyle w:val="Heading1"/>
        <w:pBdr>
          <w:bottom w:val="single" w:color="0F7B6C" w:sz="4" w:space="4"/>
        </w:pBdr>
        <w:spacing w:after="200" w:before="400"/>
      </w:pPr>
      <w:r>
        <w:rPr>
          <w:rFonts w:ascii="Arial" w:cs="Arial" w:eastAsia="Arial" w:hAnsi="Arial"/>
          <w:b/>
          <w:bCs/>
          <w:color w:val="1A1A2E"/>
          <w:sz w:val="32"/>
          <w:szCs w:val="32"/>
        </w:rPr>
        <w:t xml:space="preserve">5. Feature Specifications</w:t>
      </w:r>
    </w:p>
    <w:p>
      <w:pPr>
        <w:spacing w:after="80" w:before="80"/>
      </w:pPr>
      <w:r>
        <w:t xml:space="preserve"/>
      </w:r>
    </w:p>
    <w:p>
      <w:pPr>
        <w:pStyle w:val="Heading2"/>
        <w:spacing w:after="120" w:before="300"/>
      </w:pPr>
      <w:r>
        <w:rPr>
          <w:rFonts w:ascii="Arial" w:cs="Arial" w:eastAsia="Arial" w:hAnsi="Arial"/>
          <w:b/>
          <w:bCs/>
          <w:color w:val="0F7B6C"/>
          <w:sz w:val="24"/>
          <w:szCs w:val="24"/>
        </w:rPr>
        <w:t xml:space="preserve">5.1 E2E Testing &amp; Stability (Week 1–2)</w:t>
      </w:r>
    </w:p>
    <w:p>
      <w:pPr>
        <w:spacing w:after="40" w:before="40"/>
      </w:pPr>
      <w:r>
        <w:rPr>
          <w:rFonts w:ascii="Arial" w:cs="Arial" w:eastAsia="Arial" w:hAnsi="Arial"/>
          <w:i/>
          <w:iCs/>
          <w:color w:val="6B7280"/>
          <w:sz w:val="20"/>
          <w:szCs w:val="20"/>
        </w:rPr>
        <w:t xml:space="preserve">Priority: Critical — must complete before any new feature work</w:t>
      </w:r>
    </w:p>
    <w:p>
      <w:pPr>
        <w:spacing w:after="80" w:before="80"/>
      </w:pPr>
      <w:r>
        <w:t xml:space="preserve"/>
      </w:r>
    </w:p>
    <w:p>
      <w:pPr>
        <w:spacing w:after="60" w:before="60"/>
      </w:pPr>
      <w:r>
        <w:rPr>
          <w:rFonts w:ascii="Arial" w:cs="Arial" w:eastAsia="Arial" w:hAnsi="Arial"/>
          <w:color w:val="1C1C1C"/>
          <w:sz w:val="22"/>
          <w:szCs w:val="22"/>
        </w:rPr>
        <w:t xml:space="preserve">Validate the complete user journey from document selection through AI generation to export:</w:t>
      </w:r>
    </w:p>
    <w:p>
      <w:pPr>
        <w:pStyle w:val="ListParagraph"/>
        <w:numPr>
          <w:ilvl w:val="0"/>
          <w:numId w:val="2"/>
        </w:numPr>
        <w:spacing w:after="40" w:before="40"/>
      </w:pPr>
      <w:r>
        <w:rPr>
          <w:rFonts w:ascii="Arial" w:cs="Arial" w:eastAsia="Arial" w:hAnsi="Arial"/>
          <w:color w:val="1C1C1C"/>
          <w:sz w:val="22"/>
          <w:szCs w:val="22"/>
        </w:rPr>
        <w:t xml:space="preserve">Document Selection → Form Fill → Blueprint Generation → Blueprint Review</w:t>
      </w:r>
    </w:p>
    <w:p>
      <w:pPr>
        <w:pStyle w:val="ListParagraph"/>
        <w:numPr>
          <w:ilvl w:val="0"/>
          <w:numId w:val="2"/>
        </w:numPr>
        <w:spacing w:after="40" w:before="40"/>
      </w:pPr>
      <w:r>
        <w:rPr>
          <w:rFonts w:ascii="Arial" w:cs="Arial" w:eastAsia="Arial" w:hAnsi="Arial"/>
          <w:color w:val="1C1C1C"/>
          <w:sz w:val="22"/>
          <w:szCs w:val="22"/>
        </w:rPr>
        <w:t xml:space="preserve">Iteration Chat → Full Document Expansion → PDF Export → DOCX Export</w:t>
      </w:r>
    </w:p>
    <w:p>
      <w:pPr>
        <w:pStyle w:val="ListParagraph"/>
        <w:numPr>
          <w:ilvl w:val="0"/>
          <w:numId w:val="2"/>
        </w:numPr>
        <w:spacing w:after="40" w:before="40"/>
      </w:pPr>
      <w:r>
        <w:rPr>
          <w:rFonts w:ascii="Arial" w:cs="Arial" w:eastAsia="Arial" w:hAnsi="Arial"/>
          <w:color w:val="1C1C1C"/>
          <w:sz w:val="22"/>
          <w:szCs w:val="22"/>
        </w:rPr>
        <w:t xml:space="preserve">Auth flow: Sign In → Dashboard → Document history</w:t>
      </w:r>
    </w:p>
    <w:p>
      <w:pPr>
        <w:spacing w:after="80" w:before="80"/>
      </w:pPr>
      <w:r>
        <w:t xml:space="preserve"/>
      </w:r>
    </w:p>
    <w:p>
      <w:pPr>
        <w:pStyle w:val="Heading3"/>
        <w:spacing w:after="80" w:before="200"/>
      </w:pPr>
      <w:r>
        <w:rPr>
          <w:rFonts w:ascii="Arial" w:cs="Arial" w:eastAsia="Arial" w:hAnsi="Arial"/>
          <w:b/>
          <w:bCs/>
          <w:color w:val="16213E"/>
          <w:sz w:val="22"/>
          <w:szCs w:val="22"/>
        </w:rPr>
        <w:t xml:space="preserve">Acceptance Criteria</w:t>
      </w:r>
    </w:p>
    <w:p>
      <w:pPr>
        <w:pStyle w:val="ListParagraph"/>
        <w:numPr>
          <w:ilvl w:val="0"/>
          <w:numId w:val="2"/>
        </w:numPr>
        <w:spacing w:after="40" w:before="40"/>
      </w:pPr>
      <w:r>
        <w:rPr>
          <w:rFonts w:ascii="Arial" w:cs="Arial" w:eastAsia="Arial" w:hAnsi="Arial"/>
          <w:color w:val="1C1C1C"/>
          <w:sz w:val="22"/>
          <w:szCs w:val="22"/>
        </w:rPr>
        <w:t xml:space="preserve">Zero broken flows in the core generation pipeline</w:t>
      </w:r>
    </w:p>
    <w:p>
      <w:pPr>
        <w:pStyle w:val="ListParagraph"/>
        <w:numPr>
          <w:ilvl w:val="0"/>
          <w:numId w:val="2"/>
        </w:numPr>
        <w:spacing w:after="40" w:before="40"/>
      </w:pPr>
      <w:r>
        <w:rPr>
          <w:rFonts w:ascii="Arial" w:cs="Arial" w:eastAsia="Arial" w:hAnsi="Arial"/>
          <w:color w:val="1C1C1C"/>
          <w:sz w:val="22"/>
          <w:szCs w:val="22"/>
        </w:rPr>
        <w:t xml:space="preserve">PDF and DOCX exports open correctly in Adobe, Word, Google Docs</w:t>
      </w:r>
    </w:p>
    <w:p>
      <w:pPr>
        <w:pStyle w:val="ListParagraph"/>
        <w:numPr>
          <w:ilvl w:val="0"/>
          <w:numId w:val="2"/>
        </w:numPr>
        <w:spacing w:after="40" w:before="40"/>
      </w:pPr>
      <w:r>
        <w:rPr>
          <w:rFonts w:ascii="Arial" w:cs="Arial" w:eastAsia="Arial" w:hAnsi="Arial"/>
          <w:color w:val="1C1C1C"/>
          <w:sz w:val="22"/>
          <w:szCs w:val="22"/>
        </w:rPr>
        <w:t xml:space="preserve">Document, Organisation, and Iteration DB models tracked correctly</w:t>
      </w:r>
    </w:p>
    <w:p>
      <w:pPr>
        <w:pStyle w:val="ListParagraph"/>
        <w:numPr>
          <w:ilvl w:val="0"/>
          <w:numId w:val="2"/>
        </w:numPr>
        <w:spacing w:after="40" w:before="40"/>
      </w:pPr>
      <w:r>
        <w:rPr>
          <w:rFonts w:ascii="Arial" w:cs="Arial" w:eastAsia="Arial" w:hAnsi="Arial"/>
          <w:color w:val="1C1C1C"/>
          <w:sz w:val="22"/>
          <w:szCs w:val="22"/>
        </w:rPr>
        <w:t xml:space="preserve">Groq API rate limit errors return user-friendly messages, not crashes</w:t>
      </w:r>
    </w:p>
    <w:p>
      <w:pPr>
        <w:spacing w:after="80" w:before="80"/>
      </w:pPr>
      <w:r>
        <w:t xml:space="preserve"/>
      </w:r>
    </w:p>
    <w:p>
      <w:pPr>
        <w:pStyle w:val="Heading2"/>
        <w:spacing w:after="120" w:before="300"/>
      </w:pPr>
      <w:r>
        <w:rPr>
          <w:rFonts w:ascii="Arial" w:cs="Arial" w:eastAsia="Arial" w:hAnsi="Arial"/>
          <w:b/>
          <w:bCs/>
          <w:color w:val="0F7B6C"/>
          <w:sz w:val="24"/>
          <w:szCs w:val="24"/>
        </w:rPr>
        <w:t xml:space="preserve">5.2 Disclaimer + Consent Layer (Week 2–3)</w:t>
      </w:r>
    </w:p>
    <w:p>
      <w:pPr>
        <w:spacing w:after="40" w:before="40"/>
      </w:pPr>
      <w:r>
        <w:rPr>
          <w:rFonts w:ascii="Arial" w:cs="Arial" w:eastAsia="Arial" w:hAnsi="Arial"/>
          <w:i/>
          <w:iCs/>
          <w:color w:val="6B7280"/>
          <w:sz w:val="20"/>
          <w:szCs w:val="20"/>
        </w:rPr>
        <w:t xml:space="preserve">Priority: Critical — legal protection for ClauseWala</w:t>
      </w:r>
    </w:p>
    <w:p>
      <w:pPr>
        <w:spacing w:after="80" w:before="80"/>
      </w:pPr>
      <w:r>
        <w:t xml:space="preserve"/>
      </w:r>
    </w:p>
    <w:p>
      <w:pPr>
        <w:spacing w:after="60" w:before="60"/>
      </w:pPr>
      <w:r>
        <w:rPr>
          <w:rFonts w:ascii="Arial" w:cs="Arial" w:eastAsia="Arial" w:hAnsi="Arial"/>
          <w:color w:val="1C1C1C"/>
          <w:sz w:val="22"/>
          <w:szCs w:val="22"/>
        </w:rPr>
        <w:t xml:space="preserve">Before any document is downloaded, users must acknowledge:</w:t>
      </w:r>
    </w:p>
    <w:p>
      <w:pPr>
        <w:pStyle w:val="ListParagraph"/>
        <w:numPr>
          <w:ilvl w:val="0"/>
          <w:numId w:val="2"/>
        </w:numPr>
        <w:spacing w:after="40" w:before="40"/>
      </w:pPr>
      <w:r>
        <w:rPr>
          <w:rFonts w:ascii="Arial" w:cs="Arial" w:eastAsia="Arial" w:hAnsi="Arial"/>
          <w:color w:val="1C1C1C"/>
          <w:sz w:val="22"/>
          <w:szCs w:val="22"/>
        </w:rPr>
        <w:t xml:space="preserve">The generated document is a draft, not final legal advice</w:t>
      </w:r>
    </w:p>
    <w:p>
      <w:pPr>
        <w:pStyle w:val="ListParagraph"/>
        <w:numPr>
          <w:ilvl w:val="0"/>
          <w:numId w:val="2"/>
        </w:numPr>
        <w:spacing w:after="40" w:before="40"/>
      </w:pPr>
      <w:r>
        <w:rPr>
          <w:rFonts w:ascii="Arial" w:cs="Arial" w:eastAsia="Arial" w:hAnsi="Arial"/>
          <w:color w:val="1C1C1C"/>
          <w:sz w:val="22"/>
          <w:szCs w:val="22"/>
        </w:rPr>
        <w:t xml:space="preserve">ClauseWala is not liable for any legal action if the document is presented in court as-is</w:t>
      </w:r>
    </w:p>
    <w:p>
      <w:pPr>
        <w:pStyle w:val="ListParagraph"/>
        <w:numPr>
          <w:ilvl w:val="0"/>
          <w:numId w:val="2"/>
        </w:numPr>
        <w:spacing w:after="40" w:before="40"/>
      </w:pPr>
      <w:r>
        <w:rPr>
          <w:rFonts w:ascii="Arial" w:cs="Arial" w:eastAsia="Arial" w:hAnsi="Arial"/>
          <w:color w:val="1C1C1C"/>
          <w:sz w:val="22"/>
          <w:szCs w:val="22"/>
        </w:rPr>
        <w:t xml:space="preserve">The document should be reviewed by a qualified lawyer before execution</w:t>
      </w:r>
    </w:p>
    <w:p>
      <w:pPr>
        <w:spacing w:after="80" w:before="80"/>
      </w:pPr>
      <w:r>
        <w:t xml:space="preserve"/>
      </w:r>
    </w:p>
    <w:p>
      <w:pPr>
        <w:pStyle w:val="Heading3"/>
        <w:spacing w:after="80" w:before="200"/>
      </w:pPr>
      <w:r>
        <w:rPr>
          <w:rFonts w:ascii="Arial" w:cs="Arial" w:eastAsia="Arial" w:hAnsi="Arial"/>
          <w:b/>
          <w:bCs/>
          <w:color w:val="16213E"/>
          <w:sz w:val="22"/>
          <w:szCs w:val="22"/>
        </w:rPr>
        <w:t xml:space="preserve">UX Flow</w:t>
      </w:r>
    </w:p>
    <w:p>
      <w:pPr>
        <w:pStyle w:val="ListParagraph"/>
        <w:numPr>
          <w:ilvl w:val="0"/>
          <w:numId w:val="2"/>
        </w:numPr>
        <w:spacing w:after="40" w:before="40"/>
      </w:pPr>
      <w:r>
        <w:rPr>
          <w:rFonts w:ascii="Arial" w:cs="Arial" w:eastAsia="Arial" w:hAnsi="Arial"/>
          <w:color w:val="1C1C1C"/>
          <w:sz w:val="22"/>
          <w:szCs w:val="22"/>
        </w:rPr>
        <w:t xml:space="preserve">Step 1: Modal appears before download with 3-point disclaimer</w:t>
      </w:r>
    </w:p>
    <w:p>
      <w:pPr>
        <w:pStyle w:val="ListParagraph"/>
        <w:numPr>
          <w:ilvl w:val="0"/>
          <w:numId w:val="2"/>
        </w:numPr>
        <w:spacing w:after="40" w:before="40"/>
      </w:pPr>
      <w:r>
        <w:rPr>
          <w:rFonts w:ascii="Arial" w:cs="Arial" w:eastAsia="Arial" w:hAnsi="Arial"/>
          <w:color w:val="1C1C1C"/>
          <w:sz w:val="22"/>
          <w:szCs w:val="22"/>
        </w:rPr>
        <w:t xml:space="preserve">Step 2: User checks a consent checkbox to unlock the download button</w:t>
      </w:r>
    </w:p>
    <w:p>
      <w:pPr>
        <w:pStyle w:val="ListParagraph"/>
        <w:numPr>
          <w:ilvl w:val="0"/>
          <w:numId w:val="2"/>
        </w:numPr>
        <w:spacing w:after="40" w:before="40"/>
      </w:pPr>
      <w:r>
        <w:rPr>
          <w:rFonts w:ascii="Arial" w:cs="Arial" w:eastAsia="Arial" w:hAnsi="Arial"/>
          <w:color w:val="1C1C1C"/>
          <w:sz w:val="22"/>
          <w:szCs w:val="22"/>
        </w:rPr>
        <w:t xml:space="preserve">Step 3: Consent timestamp and document ID logged in DB</w:t>
      </w:r>
    </w:p>
    <w:p>
      <w:pPr>
        <w:pStyle w:val="ListParagraph"/>
        <w:numPr>
          <w:ilvl w:val="0"/>
          <w:numId w:val="2"/>
        </w:numPr>
        <w:spacing w:after="40" w:before="40"/>
      </w:pPr>
      <w:r>
        <w:rPr>
          <w:rFonts w:ascii="Arial" w:cs="Arial" w:eastAsia="Arial" w:hAnsi="Arial"/>
          <w:color w:val="1C1C1C"/>
          <w:sz w:val="22"/>
          <w:szCs w:val="22"/>
        </w:rPr>
        <w:t xml:space="preserve">Step 4: Document downloads with embedded disclaimer footer on every page</w:t>
      </w:r>
    </w:p>
    <w:p>
      <w:pPr>
        <w:spacing w:after="80" w:before="80"/>
      </w:pPr>
      <w:r>
        <w:t xml:space="preserve"/>
      </w:r>
    </w:p>
    <w:p>
      <w:pPr>
        <w:pStyle w:val="Heading3"/>
        <w:spacing w:after="80" w:before="200"/>
      </w:pPr>
      <w:r>
        <w:rPr>
          <w:rFonts w:ascii="Arial" w:cs="Arial" w:eastAsia="Arial" w:hAnsi="Arial"/>
          <w:b/>
          <w:bCs/>
          <w:color w:val="16213E"/>
          <w:sz w:val="22"/>
          <w:szCs w:val="22"/>
        </w:rPr>
        <w:t xml:space="preserve">Acceptance Criteria</w:t>
      </w:r>
    </w:p>
    <w:p>
      <w:pPr>
        <w:pStyle w:val="ListParagraph"/>
        <w:numPr>
          <w:ilvl w:val="0"/>
          <w:numId w:val="2"/>
        </w:numPr>
        <w:spacing w:after="40" w:before="40"/>
      </w:pPr>
      <w:r>
        <w:rPr>
          <w:rFonts w:ascii="Arial" w:cs="Arial" w:eastAsia="Arial" w:hAnsi="Arial"/>
          <w:color w:val="1C1C1C"/>
          <w:sz w:val="22"/>
          <w:szCs w:val="22"/>
        </w:rPr>
        <w:t xml:space="preserve">Consent is non-bypassable — download button disabled until checked</w:t>
      </w:r>
    </w:p>
    <w:p>
      <w:pPr>
        <w:pStyle w:val="ListParagraph"/>
        <w:numPr>
          <w:ilvl w:val="0"/>
          <w:numId w:val="2"/>
        </w:numPr>
        <w:spacing w:after="40" w:before="40"/>
      </w:pPr>
      <w:r>
        <w:rPr>
          <w:rFonts w:ascii="Arial" w:cs="Arial" w:eastAsia="Arial" w:hAnsi="Arial"/>
          <w:color w:val="1C1C1C"/>
          <w:sz w:val="22"/>
          <w:szCs w:val="22"/>
        </w:rPr>
        <w:t xml:space="preserve">Disclaimer footer auto-appended to PDF and DOCX exports</w:t>
      </w:r>
    </w:p>
    <w:p>
      <w:pPr>
        <w:pStyle w:val="ListParagraph"/>
        <w:numPr>
          <w:ilvl w:val="0"/>
          <w:numId w:val="2"/>
        </w:numPr>
        <w:spacing w:after="40" w:before="40"/>
      </w:pPr>
      <w:r>
        <w:rPr>
          <w:rFonts w:ascii="Arial" w:cs="Arial" w:eastAsia="Arial" w:hAnsi="Arial"/>
          <w:color w:val="1C1C1C"/>
          <w:sz w:val="22"/>
          <w:szCs w:val="22"/>
        </w:rPr>
        <w:t xml:space="preserve">Consent log stored with user ID, doc ID, and timestamp</w:t>
      </w:r>
    </w:p>
    <w:p>
      <w:pPr>
        <w:spacing w:after="80" w:before="80"/>
      </w:pPr>
      <w:r>
        <w:t xml:space="preserve"/>
      </w:r>
    </w:p>
    <w:p>
      <w:pPr>
        <w:pStyle w:val="Heading2"/>
        <w:spacing w:after="120" w:before="300"/>
      </w:pPr>
      <w:r>
        <w:rPr>
          <w:rFonts w:ascii="Arial" w:cs="Arial" w:eastAsia="Arial" w:hAnsi="Arial"/>
          <w:b/>
          <w:bCs/>
          <w:color w:val="0F7B6C"/>
          <w:sz w:val="24"/>
          <w:szCs w:val="24"/>
        </w:rPr>
        <w:t xml:space="preserve">5.3 Attorney-Client Privilege &amp; NDA Confidentiality (Week 3)</w:t>
      </w:r>
    </w:p>
    <w:p>
      <w:pPr>
        <w:spacing w:after="40" w:before="40"/>
      </w:pPr>
      <w:r>
        <w:rPr>
          <w:rFonts w:ascii="Arial" w:cs="Arial" w:eastAsia="Arial" w:hAnsi="Arial"/>
          <w:i/>
          <w:iCs/>
          <w:color w:val="6B7280"/>
          <w:sz w:val="20"/>
          <w:szCs w:val="20"/>
        </w:rPr>
        <w:t xml:space="preserve">Priority: High — recommended by Yogesh Pai (NLU Jaipur)</w:t>
      </w:r>
    </w:p>
    <w:p>
      <w:pPr>
        <w:spacing w:after="80" w:before="80"/>
      </w:pPr>
      <w:r>
        <w:t xml:space="preserve"/>
      </w:r>
    </w:p>
    <w:p>
      <w:pPr>
        <w:spacing w:after="60" w:before="60"/>
      </w:pPr>
      <w:r>
        <w:rPr>
          <w:rFonts w:ascii="Arial" w:cs="Arial" w:eastAsia="Arial" w:hAnsi="Arial"/>
          <w:color w:val="1C1C1C"/>
          <w:sz w:val="22"/>
          <w:szCs w:val="22"/>
        </w:rPr>
        <w:t xml:space="preserve">Generated NDAs and confidential documents currently lack privilege framing. All generated documents must:</w:t>
      </w:r>
    </w:p>
    <w:p>
      <w:pPr>
        <w:pStyle w:val="ListParagraph"/>
        <w:numPr>
          <w:ilvl w:val="0"/>
          <w:numId w:val="2"/>
        </w:numPr>
        <w:spacing w:after="40" w:before="40"/>
      </w:pPr>
      <w:r>
        <w:rPr>
          <w:rFonts w:ascii="Arial" w:cs="Arial" w:eastAsia="Arial" w:hAnsi="Arial"/>
          <w:color w:val="1C1C1C"/>
          <w:sz w:val="22"/>
          <w:szCs w:val="22"/>
        </w:rPr>
        <w:t xml:space="preserve">Include a confidentiality notice on the first page stating the document is privileged</w:t>
      </w:r>
    </w:p>
    <w:p>
      <w:pPr>
        <w:pStyle w:val="ListParagraph"/>
        <w:numPr>
          <w:ilvl w:val="0"/>
          <w:numId w:val="2"/>
        </w:numPr>
        <w:spacing w:after="40" w:before="40"/>
      </w:pPr>
      <w:r>
        <w:rPr>
          <w:rFonts w:ascii="Arial" w:cs="Arial" w:eastAsia="Arial" w:hAnsi="Arial"/>
          <w:color w:val="1C1C1C"/>
          <w:sz w:val="22"/>
          <w:szCs w:val="22"/>
        </w:rPr>
        <w:t xml:space="preserve">NDA templates must auto-include attorney-client privilege language where relevant</w:t>
      </w:r>
    </w:p>
    <w:p>
      <w:pPr>
        <w:pStyle w:val="ListParagraph"/>
        <w:numPr>
          <w:ilvl w:val="0"/>
          <w:numId w:val="2"/>
        </w:numPr>
        <w:spacing w:after="40" w:before="40"/>
      </w:pPr>
      <w:r>
        <w:rPr>
          <w:rFonts w:ascii="Arial" w:cs="Arial" w:eastAsia="Arial" w:hAnsi="Arial"/>
          <w:color w:val="1C1C1C"/>
          <w:sz w:val="22"/>
          <w:szCs w:val="22"/>
        </w:rPr>
        <w:t xml:space="preserve">Add a 'Confidential' watermark option on exported documents</w:t>
      </w:r>
    </w:p>
    <w:p>
      <w:pPr>
        <w:spacing w:after="80" w:before="80"/>
      </w:pPr>
      <w:r>
        <w:t xml:space="preserve"/>
      </w:r>
    </w:p>
    <w:p>
      <w:pPr>
        <w:pStyle w:val="Heading3"/>
        <w:spacing w:after="80" w:before="200"/>
      </w:pPr>
      <w:r>
        <w:rPr>
          <w:rFonts w:ascii="Arial" w:cs="Arial" w:eastAsia="Arial" w:hAnsi="Arial"/>
          <w:b/>
          <w:bCs/>
          <w:color w:val="16213E"/>
          <w:sz w:val="22"/>
          <w:szCs w:val="22"/>
        </w:rPr>
        <w:t xml:space="preserve">Implementation</w:t>
      </w:r>
    </w:p>
    <w:p>
      <w:pPr>
        <w:pStyle w:val="ListParagraph"/>
        <w:numPr>
          <w:ilvl w:val="0"/>
          <w:numId w:val="2"/>
        </w:numPr>
        <w:spacing w:after="40" w:before="40"/>
      </w:pPr>
      <w:r>
        <w:rPr>
          <w:rFonts w:ascii="Arial" w:cs="Arial" w:eastAsia="Arial" w:hAnsi="Arial"/>
          <w:color w:val="1C1C1C"/>
          <w:sz w:val="22"/>
          <w:szCs w:val="22"/>
        </w:rPr>
        <w:t xml:space="preserve">Add CONFIDENTIAL_HEADER clause to clause-library.ts — auto-injected for NDAs, SHA, Term Sheets</w:t>
      </w:r>
    </w:p>
    <w:p>
      <w:pPr>
        <w:pStyle w:val="ListParagraph"/>
        <w:numPr>
          <w:ilvl w:val="0"/>
          <w:numId w:val="2"/>
        </w:numPr>
        <w:spacing w:after="40" w:before="40"/>
      </w:pPr>
      <w:r>
        <w:rPr>
          <w:rFonts w:ascii="Arial" w:cs="Arial" w:eastAsia="Arial" w:hAnsi="Arial"/>
          <w:color w:val="1C1C1C"/>
          <w:sz w:val="22"/>
          <w:szCs w:val="22"/>
        </w:rPr>
        <w:t xml:space="preserve">Watermark toggle on export settings (optional, user choice)</w:t>
      </w:r>
    </w:p>
    <w:p>
      <w:pPr>
        <w:pStyle w:val="ListParagraph"/>
        <w:numPr>
          <w:ilvl w:val="0"/>
          <w:numId w:val="2"/>
        </w:numPr>
        <w:spacing w:after="40" w:before="40"/>
      </w:pPr>
      <w:r>
        <w:rPr>
          <w:rFonts w:ascii="Arial" w:cs="Arial" w:eastAsia="Arial" w:hAnsi="Arial"/>
          <w:color w:val="1C1C1C"/>
          <w:sz w:val="22"/>
          <w:szCs w:val="22"/>
        </w:rPr>
        <w:t xml:space="preserve">Privilege language drawn from Indian Evidence Act, Section 126</w:t>
      </w:r>
    </w:p>
    <w:p>
      <w:pPr>
        <w:spacing w:after="80" w:before="80"/>
      </w:pPr>
      <w:r>
        <w:t xml:space="preserve"/>
      </w:r>
    </w:p>
    <w:p>
      <w:pPr>
        <w:pStyle w:val="Heading2"/>
        <w:spacing w:after="120" w:before="300"/>
      </w:pPr>
      <w:r>
        <w:rPr>
          <w:rFonts w:ascii="Arial" w:cs="Arial" w:eastAsia="Arial" w:hAnsi="Arial"/>
          <w:b/>
          <w:bCs/>
          <w:color w:val="0F7B6C"/>
          <w:sz w:val="24"/>
          <w:szCs w:val="24"/>
        </w:rPr>
        <w:t xml:space="preserve">5.4 Bhashini — 22 Indian Language Integration (Week 3–5)</w:t>
      </w:r>
    </w:p>
    <w:p>
      <w:pPr>
        <w:spacing w:after="40" w:before="40"/>
      </w:pPr>
      <w:r>
        <w:rPr>
          <w:rFonts w:ascii="Arial" w:cs="Arial" w:eastAsia="Arial" w:hAnsi="Arial"/>
          <w:i/>
          <w:iCs/>
          <w:color w:val="6B7280"/>
          <w:sz w:val="20"/>
          <w:szCs w:val="20"/>
        </w:rPr>
        <w:t xml:space="preserve">Priority: High — unlocks mass market beyond English-first startups</w:t>
      </w:r>
    </w:p>
    <w:p>
      <w:pPr>
        <w:spacing w:after="80" w:before="80"/>
      </w:pPr>
      <w:r>
        <w:t xml:space="preserve"/>
      </w:r>
    </w:p>
    <w:p>
      <w:pPr>
        <w:spacing w:after="60" w:before="60"/>
      </w:pPr>
      <w:r>
        <w:rPr>
          <w:rFonts w:ascii="Arial" w:cs="Arial" w:eastAsia="Arial" w:hAnsi="Arial"/>
          <w:color w:val="1C1C1C"/>
          <w:sz w:val="22"/>
          <w:szCs w:val="22"/>
        </w:rPr>
        <w:t xml:space="preserve">The case for this feature: a rental agreement in Jaipur was rejected because it was in English, not Hindi. Most Indian legal agreements at the ground level operate in regional languages. ClauseWala currently generates only in English.</w:t>
      </w:r>
    </w:p>
    <w:p>
      <w:pPr>
        <w:spacing w:after="80" w:before="80"/>
      </w:pPr>
      <w:r>
        <w:t xml:space="preserve"/>
      </w:r>
    </w:p>
    <w:p>
      <w:pPr>
        <w:pStyle w:val="Heading3"/>
        <w:spacing w:after="80" w:before="200"/>
      </w:pPr>
      <w:r>
        <w:rPr>
          <w:rFonts w:ascii="Arial" w:cs="Arial" w:eastAsia="Arial" w:hAnsi="Arial"/>
          <w:b/>
          <w:bCs/>
          <w:color w:val="16213E"/>
          <w:sz w:val="22"/>
          <w:szCs w:val="22"/>
        </w:rPr>
        <w:t xml:space="preserve">Proposed Integration</w:t>
      </w:r>
    </w:p>
    <w:p>
      <w:pPr>
        <w:pStyle w:val="ListParagraph"/>
        <w:numPr>
          <w:ilvl w:val="0"/>
          <w:numId w:val="2"/>
        </w:numPr>
        <w:spacing w:after="40" w:before="40"/>
      </w:pPr>
      <w:r>
        <w:rPr>
          <w:rFonts w:ascii="Arial" w:cs="Arial" w:eastAsia="Arial" w:hAnsi="Arial"/>
          <w:color w:val="1C1C1C"/>
          <w:sz w:val="22"/>
          <w:szCs w:val="22"/>
        </w:rPr>
        <w:t xml:space="preserve">Integrate Bhashini API (MeitY's official translation layer) for all 22 scheduled Indian languages</w:t>
      </w:r>
    </w:p>
    <w:p>
      <w:pPr>
        <w:pStyle w:val="ListParagraph"/>
        <w:numPr>
          <w:ilvl w:val="0"/>
          <w:numId w:val="2"/>
        </w:numPr>
        <w:spacing w:after="40" w:before="40"/>
      </w:pPr>
      <w:r>
        <w:rPr>
          <w:rFonts w:ascii="Arial" w:cs="Arial" w:eastAsia="Arial" w:hAnsi="Arial"/>
          <w:color w:val="1C1C1C"/>
          <w:sz w:val="22"/>
          <w:szCs w:val="22"/>
        </w:rPr>
        <w:t xml:space="preserve">Language selection on the document form (before generation)</w:t>
      </w:r>
    </w:p>
    <w:p>
      <w:pPr>
        <w:pStyle w:val="ListParagraph"/>
        <w:numPr>
          <w:ilvl w:val="0"/>
          <w:numId w:val="2"/>
        </w:numPr>
        <w:spacing w:after="40" w:before="40"/>
      </w:pPr>
      <w:r>
        <w:rPr>
          <w:rFonts w:ascii="Arial" w:cs="Arial" w:eastAsia="Arial" w:hAnsi="Arial"/>
          <w:color w:val="1C1C1C"/>
          <w:sz w:val="22"/>
          <w:szCs w:val="22"/>
        </w:rPr>
        <w:t xml:space="preserve">Blueprint generated and reviewed in English (for accuracy)</w:t>
      </w:r>
    </w:p>
    <w:p>
      <w:pPr>
        <w:pStyle w:val="ListParagraph"/>
        <w:numPr>
          <w:ilvl w:val="0"/>
          <w:numId w:val="2"/>
        </w:numPr>
        <w:spacing w:after="40" w:before="40"/>
      </w:pPr>
      <w:r>
        <w:rPr>
          <w:rFonts w:ascii="Arial" w:cs="Arial" w:eastAsia="Arial" w:hAnsi="Arial"/>
          <w:color w:val="1C1C1C"/>
          <w:sz w:val="22"/>
          <w:szCs w:val="22"/>
        </w:rPr>
        <w:t xml:space="preserve">Final document generated and exported in selected language</w:t>
      </w:r>
    </w:p>
    <w:p>
      <w:pPr>
        <w:pStyle w:val="ListParagraph"/>
        <w:numPr>
          <w:ilvl w:val="0"/>
          <w:numId w:val="2"/>
        </w:numPr>
        <w:spacing w:after="40" w:before="40"/>
      </w:pPr>
      <w:r>
        <w:rPr>
          <w:rFonts w:ascii="Arial" w:cs="Arial" w:eastAsia="Arial" w:hAnsi="Arial"/>
          <w:color w:val="1C1C1C"/>
          <w:sz w:val="22"/>
          <w:szCs w:val="22"/>
        </w:rPr>
        <w:t xml:space="preserve">Priority languages for V2.0: Hindi, Kannada, Tamil, Telugu, Marathi, Bengali, Gujarati</w:t>
      </w:r>
    </w:p>
    <w:p>
      <w:pPr>
        <w:spacing w:after="80" w:before="80"/>
      </w:pPr>
      <w:r>
        <w:t xml:space="preserve"/>
      </w:r>
    </w:p>
    <w:p>
      <w:pPr>
        <w:pStyle w:val="Heading3"/>
        <w:spacing w:after="80" w:before="200"/>
      </w:pPr>
      <w:r>
        <w:rPr>
          <w:rFonts w:ascii="Arial" w:cs="Arial" w:eastAsia="Arial" w:hAnsi="Arial"/>
          <w:b/>
          <w:bCs/>
          <w:color w:val="16213E"/>
          <w:sz w:val="22"/>
          <w:szCs w:val="22"/>
        </w:rPr>
        <w:t xml:space="preserve">Acceptance Criteria</w:t>
      </w:r>
    </w:p>
    <w:p>
      <w:pPr>
        <w:pStyle w:val="ListParagraph"/>
        <w:numPr>
          <w:ilvl w:val="0"/>
          <w:numId w:val="2"/>
        </w:numPr>
        <w:spacing w:after="40" w:before="40"/>
      </w:pPr>
      <w:r>
        <w:rPr>
          <w:rFonts w:ascii="Arial" w:cs="Arial" w:eastAsia="Arial" w:hAnsi="Arial"/>
          <w:color w:val="1C1C1C"/>
          <w:sz w:val="22"/>
          <w:szCs w:val="22"/>
        </w:rPr>
        <w:t xml:space="preserve">Bhashini API integrated and tested for Hindi output on NDA and rental agreement templates</w:t>
      </w:r>
    </w:p>
    <w:p>
      <w:pPr>
        <w:pStyle w:val="ListParagraph"/>
        <w:numPr>
          <w:ilvl w:val="0"/>
          <w:numId w:val="2"/>
        </w:numPr>
        <w:spacing w:after="40" w:before="40"/>
      </w:pPr>
      <w:r>
        <w:rPr>
          <w:rFonts w:ascii="Arial" w:cs="Arial" w:eastAsia="Arial" w:hAnsi="Arial"/>
          <w:color w:val="1C1C1C"/>
          <w:sz w:val="22"/>
          <w:szCs w:val="22"/>
        </w:rPr>
        <w:t xml:space="preserve">Language picker visible on all document generation forms</w:t>
      </w:r>
    </w:p>
    <w:p>
      <w:pPr>
        <w:pStyle w:val="ListParagraph"/>
        <w:numPr>
          <w:ilvl w:val="0"/>
          <w:numId w:val="2"/>
        </w:numPr>
        <w:spacing w:after="40" w:before="40"/>
      </w:pPr>
      <w:r>
        <w:rPr>
          <w:rFonts w:ascii="Arial" w:cs="Arial" w:eastAsia="Arial" w:hAnsi="Arial"/>
          <w:color w:val="1C1C1C"/>
          <w:sz w:val="22"/>
          <w:szCs w:val="22"/>
        </w:rPr>
        <w:t xml:space="preserve">Exported PDF renders correct Unicode fonts for the selected language</w:t>
      </w:r>
    </w:p>
    <w:p>
      <w:pPr>
        <w:spacing w:after="80" w:before="80"/>
      </w:pPr>
      <w:r>
        <w:t xml:space="preserve"/>
      </w:r>
    </w:p>
    <w:p>
      <w:pPr>
        <w:pStyle w:val="Heading2"/>
        <w:spacing w:after="120" w:before="300"/>
      </w:pPr>
      <w:r>
        <w:rPr>
          <w:rFonts w:ascii="Arial" w:cs="Arial" w:eastAsia="Arial" w:hAnsi="Arial"/>
          <w:b/>
          <w:bCs/>
          <w:color w:val="0F7B6C"/>
          <w:sz w:val="24"/>
          <w:szCs w:val="24"/>
        </w:rPr>
        <w:t xml:space="preserve">5.5 E-Signature via DigiLocker (Week 4–6)</w:t>
      </w:r>
    </w:p>
    <w:p>
      <w:pPr>
        <w:spacing w:after="40" w:before="40"/>
      </w:pPr>
      <w:r>
        <w:rPr>
          <w:rFonts w:ascii="Arial" w:cs="Arial" w:eastAsia="Arial" w:hAnsi="Arial"/>
          <w:i/>
          <w:iCs/>
          <w:color w:val="6B7280"/>
          <w:sz w:val="20"/>
          <w:szCs w:val="20"/>
        </w:rPr>
        <w:t xml:space="preserve">Priority: High — completes the document lifecycle end-to-end</w:t>
      </w:r>
    </w:p>
    <w:p>
      <w:pPr>
        <w:spacing w:after="80" w:before="80"/>
      </w:pPr>
      <w:r>
        <w:t xml:space="preserve"/>
      </w:r>
    </w:p>
    <w:p>
      <w:pPr>
        <w:spacing w:after="60" w:before="60"/>
      </w:pPr>
      <w:r>
        <w:rPr>
          <w:rFonts w:ascii="Arial" w:cs="Arial" w:eastAsia="Arial" w:hAnsi="Arial"/>
          <w:color w:val="1C1C1C"/>
          <w:sz w:val="22"/>
          <w:szCs w:val="22"/>
        </w:rPr>
        <w:t xml:space="preserve">Currently, ClauseWala generates documents but users must sign them externally. Adding e-signature validation via DigiLocker makes ClauseWala a complete contract platform.</w:t>
      </w:r>
    </w:p>
    <w:p>
      <w:pPr>
        <w:spacing w:after="80" w:before="80"/>
      </w:pPr>
      <w:r>
        <w:t xml:space="preserve"/>
      </w:r>
    </w:p>
    <w:p>
      <w:pPr>
        <w:pStyle w:val="Heading3"/>
        <w:spacing w:after="80" w:before="200"/>
      </w:pPr>
      <w:r>
        <w:rPr>
          <w:rFonts w:ascii="Arial" w:cs="Arial" w:eastAsia="Arial" w:hAnsi="Arial"/>
          <w:b/>
          <w:bCs/>
          <w:color w:val="16213E"/>
          <w:sz w:val="22"/>
          <w:szCs w:val="22"/>
        </w:rPr>
        <w:t xml:space="preserve">Scope for V2.0</w:t>
      </w:r>
    </w:p>
    <w:p>
      <w:pPr>
        <w:pStyle w:val="ListParagraph"/>
        <w:numPr>
          <w:ilvl w:val="0"/>
          <w:numId w:val="2"/>
        </w:numPr>
        <w:spacing w:after="40" w:before="40"/>
      </w:pPr>
      <w:r>
        <w:rPr>
          <w:rFonts w:ascii="Arial" w:cs="Arial" w:eastAsia="Arial" w:hAnsi="Arial"/>
          <w:color w:val="1C1C1C"/>
          <w:sz w:val="22"/>
          <w:szCs w:val="22"/>
        </w:rPr>
        <w:t xml:space="preserve">Investigate DigiLocker API access and MeitY partnerships for e-sign integration</w:t>
      </w:r>
    </w:p>
    <w:p>
      <w:pPr>
        <w:pStyle w:val="ListParagraph"/>
        <w:numPr>
          <w:ilvl w:val="0"/>
          <w:numId w:val="2"/>
        </w:numPr>
        <w:spacing w:after="40" w:before="40"/>
      </w:pPr>
      <w:r>
        <w:rPr>
          <w:rFonts w:ascii="Arial" w:cs="Arial" w:eastAsia="Arial" w:hAnsi="Arial"/>
          <w:color w:val="1C1C1C"/>
          <w:sz w:val="22"/>
          <w:szCs w:val="22"/>
        </w:rPr>
        <w:t xml:space="preserve">Add 'Send for Signature' button post-generation</w:t>
      </w:r>
    </w:p>
    <w:p>
      <w:pPr>
        <w:pStyle w:val="ListParagraph"/>
        <w:numPr>
          <w:ilvl w:val="0"/>
          <w:numId w:val="2"/>
        </w:numPr>
        <w:spacing w:after="40" w:before="40"/>
      </w:pPr>
      <w:r>
        <w:rPr>
          <w:rFonts w:ascii="Arial" w:cs="Arial" w:eastAsia="Arial" w:hAnsi="Arial"/>
          <w:color w:val="1C1C1C"/>
          <w:sz w:val="22"/>
          <w:szCs w:val="22"/>
        </w:rPr>
        <w:t xml:space="preserve">Generate a shareable, trackable signing link for counterparties</w:t>
      </w:r>
    </w:p>
    <w:p>
      <w:pPr>
        <w:pStyle w:val="ListParagraph"/>
        <w:numPr>
          <w:ilvl w:val="0"/>
          <w:numId w:val="2"/>
        </w:numPr>
        <w:spacing w:after="40" w:before="40"/>
      </w:pPr>
      <w:r>
        <w:rPr>
          <w:rFonts w:ascii="Arial" w:cs="Arial" w:eastAsia="Arial" w:hAnsi="Arial"/>
          <w:color w:val="1C1C1C"/>
          <w:sz w:val="22"/>
          <w:szCs w:val="22"/>
        </w:rPr>
        <w:t xml:space="preserve">Log signed status, timestamp, and signer identity in DB</w:t>
      </w:r>
    </w:p>
    <w:p>
      <w:pPr>
        <w:spacing w:after="80" w:before="80"/>
      </w:pPr>
      <w:r>
        <w:t xml:space="preserve"/>
      </w:r>
    </w:p>
    <w:p>
      <w:pPr>
        <w:pStyle w:val="Heading3"/>
        <w:spacing w:after="80" w:before="200"/>
      </w:pPr>
      <w:r>
        <w:rPr>
          <w:rFonts w:ascii="Arial" w:cs="Arial" w:eastAsia="Arial" w:hAnsi="Arial"/>
          <w:b/>
          <w:bCs/>
          <w:color w:val="16213E"/>
          <w:sz w:val="22"/>
          <w:szCs w:val="22"/>
        </w:rPr>
        <w:t xml:space="preserve">Fallback (if DigiLocker API not available in timeline)</w:t>
      </w:r>
    </w:p>
    <w:p>
      <w:pPr>
        <w:pStyle w:val="ListParagraph"/>
        <w:numPr>
          <w:ilvl w:val="0"/>
          <w:numId w:val="2"/>
        </w:numPr>
        <w:spacing w:after="40" w:before="40"/>
      </w:pPr>
      <w:r>
        <w:rPr>
          <w:rFonts w:ascii="Arial" w:cs="Arial" w:eastAsia="Arial" w:hAnsi="Arial"/>
          <w:color w:val="1C1C1C"/>
          <w:sz w:val="22"/>
          <w:szCs w:val="22"/>
        </w:rPr>
        <w:t xml:space="preserve">Integrate a third-party Indian e-sign provider (SignDesk, Leegality, or Zoho Sign)</w:t>
      </w:r>
    </w:p>
    <w:p>
      <w:pPr>
        <w:pStyle w:val="ListParagraph"/>
        <w:numPr>
          <w:ilvl w:val="0"/>
          <w:numId w:val="2"/>
        </w:numPr>
        <w:spacing w:after="40" w:before="40"/>
      </w:pPr>
      <w:r>
        <w:rPr>
          <w:rFonts w:ascii="Arial" w:cs="Arial" w:eastAsia="Arial" w:hAnsi="Arial"/>
          <w:color w:val="1C1C1C"/>
          <w:sz w:val="22"/>
          <w:szCs w:val="22"/>
        </w:rPr>
        <w:t xml:space="preserve">This is a known reference point: DJHawker has a similar e-sign validation feature</w:t>
      </w:r>
    </w:p>
    <w:p>
      <w:pPr>
        <w:spacing w:after="80" w:before="80"/>
      </w:pPr>
      <w:r>
        <w:t xml:space="preserve"/>
      </w:r>
    </w:p>
    <w:p>
      <w:pPr>
        <w:pStyle w:val="Heading2"/>
        <w:spacing w:after="120" w:before="300"/>
      </w:pPr>
      <w:r>
        <w:rPr>
          <w:rFonts w:ascii="Arial" w:cs="Arial" w:eastAsia="Arial" w:hAnsi="Arial"/>
          <w:b/>
          <w:bCs/>
          <w:color w:val="0F7B6C"/>
          <w:sz w:val="24"/>
          <w:szCs w:val="24"/>
        </w:rPr>
        <w:t xml:space="preserve">5.6 Rental Agreement Track (Week 4–5)</w:t>
      </w:r>
    </w:p>
    <w:p>
      <w:pPr>
        <w:spacing w:after="40" w:before="40"/>
      </w:pPr>
      <w:r>
        <w:rPr>
          <w:rFonts w:ascii="Arial" w:cs="Arial" w:eastAsia="Arial" w:hAnsi="Arial"/>
          <w:i/>
          <w:iCs/>
          <w:color w:val="6B7280"/>
          <w:sz w:val="20"/>
          <w:szCs w:val="20"/>
        </w:rPr>
        <w:t xml:space="preserve">Priority: Medium — fastest path to a non-startup user segment</w:t>
      </w:r>
    </w:p>
    <w:p>
      <w:pPr>
        <w:spacing w:after="80" w:before="80"/>
      </w:pPr>
      <w:r>
        <w:t xml:space="preserve"/>
      </w:r>
    </w:p>
    <w:p>
      <w:pPr>
        <w:spacing w:after="60" w:before="60"/>
      </w:pPr>
      <w:r>
        <w:rPr>
          <w:rFonts w:ascii="Arial" w:cs="Arial" w:eastAsia="Arial" w:hAnsi="Arial"/>
          <w:color w:val="1C1C1C"/>
          <w:sz w:val="22"/>
          <w:szCs w:val="22"/>
        </w:rPr>
        <w:t xml:space="preserve">Rental agreements are the highest-volume legal document in India, used by millions of individuals — not just startups. This is a significant TAM expansion.</w:t>
      </w:r>
    </w:p>
    <w:p>
      <w:pPr>
        <w:spacing w:after="80" w:before="80"/>
      </w:pPr>
      <w:r>
        <w:t xml:space="preserve"/>
      </w:r>
    </w:p>
    <w:p>
      <w:pPr>
        <w:pStyle w:val="ListParagraph"/>
        <w:numPr>
          <w:ilvl w:val="0"/>
          <w:numId w:val="2"/>
        </w:numPr>
        <w:spacing w:after="40" w:before="40"/>
      </w:pPr>
      <w:r>
        <w:rPr>
          <w:rFonts w:ascii="Arial" w:cs="Arial" w:eastAsia="Arial" w:hAnsi="Arial"/>
          <w:color w:val="1C1C1C"/>
          <w:sz w:val="22"/>
          <w:szCs w:val="22"/>
        </w:rPr>
        <w:t xml:space="preserve">Add dedicated Rental Agreement template (residential and commercial variants)</w:t>
      </w:r>
    </w:p>
    <w:p>
      <w:pPr>
        <w:pStyle w:val="ListParagraph"/>
        <w:numPr>
          <w:ilvl w:val="0"/>
          <w:numId w:val="2"/>
        </w:numPr>
        <w:spacing w:after="40" w:before="40"/>
      </w:pPr>
      <w:r>
        <w:rPr>
          <w:rFonts w:ascii="Arial" w:cs="Arial" w:eastAsia="Arial" w:hAnsi="Arial"/>
          <w:color w:val="1C1C1C"/>
          <w:sz w:val="22"/>
          <w:szCs w:val="22"/>
        </w:rPr>
        <w:t xml:space="preserve">Form includes: landlord/tenant details, rent, deposit, duration, escalation clause, maintenance terms</w:t>
      </w:r>
    </w:p>
    <w:p>
      <w:pPr>
        <w:pStyle w:val="ListParagraph"/>
        <w:numPr>
          <w:ilvl w:val="0"/>
          <w:numId w:val="2"/>
        </w:numPr>
        <w:spacing w:after="40" w:before="40"/>
      </w:pPr>
      <w:r>
        <w:rPr>
          <w:rFonts w:ascii="Arial" w:cs="Arial" w:eastAsia="Arial" w:hAnsi="Arial"/>
          <w:color w:val="1C1C1C"/>
          <w:sz w:val="22"/>
          <w:szCs w:val="22"/>
        </w:rPr>
        <w:t xml:space="preserve">Auto-detect user location to set state-specific stamp duty guidance</w:t>
      </w:r>
    </w:p>
    <w:p>
      <w:pPr>
        <w:pStyle w:val="ListParagraph"/>
        <w:numPr>
          <w:ilvl w:val="0"/>
          <w:numId w:val="2"/>
        </w:numPr>
        <w:spacing w:after="40" w:before="40"/>
      </w:pPr>
      <w:r>
        <w:rPr>
          <w:rFonts w:ascii="Arial" w:cs="Arial" w:eastAsia="Arial" w:hAnsi="Arial"/>
          <w:color w:val="1C1C1C"/>
          <w:sz w:val="22"/>
          <w:szCs w:val="22"/>
        </w:rPr>
        <w:t xml:space="preserve">Bhashini integration is critical here — rental agreements in Tier 2/3 cities are often in regional language</w:t>
      </w:r>
    </w:p>
    <w:p>
      <w:pPr>
        <w:spacing w:after="80" w:before="80"/>
      </w:pPr>
      <w:r>
        <w:t xml:space="preserve"/>
      </w:r>
    </w:p>
    <w:p>
      <w:pPr>
        <w:pStyle w:val="Heading3"/>
        <w:spacing w:after="80" w:before="200"/>
      </w:pPr>
      <w:r>
        <w:rPr>
          <w:rFonts w:ascii="Arial" w:cs="Arial" w:eastAsia="Arial" w:hAnsi="Arial"/>
          <w:b/>
          <w:bCs/>
          <w:color w:val="16213E"/>
          <w:sz w:val="22"/>
          <w:szCs w:val="22"/>
        </w:rPr>
        <w:t xml:space="preserve">Sub-Registrar Office Workflow</w:t>
      </w:r>
    </w:p>
    <w:p>
      <w:pPr>
        <w:pStyle w:val="ListParagraph"/>
        <w:numPr>
          <w:ilvl w:val="0"/>
          <w:numId w:val="2"/>
        </w:numPr>
        <w:spacing w:after="40" w:before="40"/>
      </w:pPr>
      <w:r>
        <w:rPr>
          <w:rFonts w:ascii="Arial" w:cs="Arial" w:eastAsia="Arial" w:hAnsi="Arial"/>
          <w:color w:val="1C1C1C"/>
          <w:sz w:val="22"/>
          <w:szCs w:val="22"/>
        </w:rPr>
        <w:t xml:space="preserve">Add a guidance layer: 'Next Steps after Generation' explaining sub-registrar registration process</w:t>
      </w:r>
    </w:p>
    <w:p>
      <w:pPr>
        <w:pStyle w:val="ListParagraph"/>
        <w:numPr>
          <w:ilvl w:val="0"/>
          <w:numId w:val="2"/>
        </w:numPr>
        <w:spacing w:after="40" w:before="40"/>
      </w:pPr>
      <w:r>
        <w:rPr>
          <w:rFonts w:ascii="Arial" w:cs="Arial" w:eastAsia="Arial" w:hAnsi="Arial"/>
          <w:color w:val="1C1C1C"/>
          <w:sz w:val="22"/>
          <w:szCs w:val="22"/>
        </w:rPr>
        <w:t xml:space="preserve">State-wise stamp duty calculator (static table for V2.0)</w:t>
      </w:r>
    </w:p>
    <w:p>
      <w:pPr>
        <w:pStyle w:val="ListParagraph"/>
        <w:numPr>
          <w:ilvl w:val="0"/>
          <w:numId w:val="2"/>
        </w:numPr>
        <w:spacing w:after="40" w:before="40"/>
      </w:pPr>
      <w:r>
        <w:rPr>
          <w:rFonts w:ascii="Arial" w:cs="Arial" w:eastAsia="Arial" w:hAnsi="Arial"/>
          <w:color w:val="1C1C1C"/>
          <w:sz w:val="22"/>
          <w:szCs w:val="22"/>
        </w:rPr>
        <w:t xml:space="preserve">Link to relevant state government portal for registration</w:t>
      </w:r>
    </w:p>
    <w:p>
      <w:pPr>
        <w:spacing w:after="80" w:before="80"/>
      </w:pPr>
      <w:r>
        <w:t xml:space="preserve"/>
      </w:r>
    </w:p>
    <w:p>
      <w:pPr>
        <w:pStyle w:val="Heading2"/>
        <w:spacing w:after="120" w:before="300"/>
      </w:pPr>
      <w:r>
        <w:rPr>
          <w:rFonts w:ascii="Arial" w:cs="Arial" w:eastAsia="Arial" w:hAnsi="Arial"/>
          <w:b/>
          <w:bCs/>
          <w:color w:val="0F7B6C"/>
          <w:sz w:val="24"/>
          <w:szCs w:val="24"/>
        </w:rPr>
        <w:t xml:space="preserve">5.7 LinkedIn for Lawyers — Discovery Layer (Week 6–8, Exploratory)</w:t>
      </w:r>
    </w:p>
    <w:p>
      <w:pPr>
        <w:spacing w:after="40" w:before="40"/>
      </w:pPr>
      <w:r>
        <w:rPr>
          <w:rFonts w:ascii="Arial" w:cs="Arial" w:eastAsia="Arial" w:hAnsi="Arial"/>
          <w:i/>
          <w:iCs/>
          <w:color w:val="6B7280"/>
          <w:sz w:val="20"/>
          <w:szCs w:val="20"/>
        </w:rPr>
        <w:t xml:space="preserve">Priority: Exploratory — long-term monetization and network play</w:t>
      </w:r>
    </w:p>
    <w:p>
      <w:pPr>
        <w:spacing w:after="80" w:before="80"/>
      </w:pPr>
      <w:r>
        <w:t xml:space="preserve"/>
      </w:r>
    </w:p>
    <w:p>
      <w:pPr>
        <w:spacing w:after="60" w:before="60"/>
      </w:pPr>
      <w:r>
        <w:rPr>
          <w:rFonts w:ascii="Arial" w:cs="Arial" w:eastAsia="Arial" w:hAnsi="Arial"/>
          <w:color w:val="1C1C1C"/>
          <w:sz w:val="22"/>
          <w:szCs w:val="22"/>
        </w:rPr>
        <w:t xml:space="preserve">Under Bar Council of India rules, lawyers cannot directly market their services. However, a discovery/connection layer within ClauseWala can work within these constraints:</w:t>
      </w:r>
    </w:p>
    <w:p>
      <w:pPr>
        <w:pStyle w:val="ListParagraph"/>
        <w:numPr>
          <w:ilvl w:val="0"/>
          <w:numId w:val="2"/>
        </w:numPr>
        <w:spacing w:after="40" w:before="40"/>
      </w:pPr>
      <w:r>
        <w:rPr>
          <w:rFonts w:ascii="Arial" w:cs="Arial" w:eastAsia="Arial" w:hAnsi="Arial"/>
          <w:color w:val="1C1C1C"/>
          <w:sz w:val="22"/>
          <w:szCs w:val="22"/>
        </w:rPr>
        <w:t xml:space="preserve">Lawyers create a profile: specialization, city, languages, experience</w:t>
      </w:r>
    </w:p>
    <w:p>
      <w:pPr>
        <w:pStyle w:val="ListParagraph"/>
        <w:numPr>
          <w:ilvl w:val="0"/>
          <w:numId w:val="2"/>
        </w:numPr>
        <w:spacing w:after="40" w:before="40"/>
      </w:pPr>
      <w:r>
        <w:rPr>
          <w:rFonts w:ascii="Arial" w:cs="Arial" w:eastAsia="Arial" w:hAnsi="Arial"/>
          <w:color w:val="1C1C1C"/>
          <w:sz w:val="22"/>
          <w:szCs w:val="22"/>
        </w:rPr>
        <w:t xml:space="preserve">Users who need professional review are shown relevant lawyers (not ads — organic discovery)</w:t>
      </w:r>
    </w:p>
    <w:p>
      <w:pPr>
        <w:pStyle w:val="ListParagraph"/>
        <w:numPr>
          <w:ilvl w:val="0"/>
          <w:numId w:val="2"/>
        </w:numPr>
        <w:spacing w:after="40" w:before="40"/>
      </w:pPr>
      <w:r>
        <w:rPr>
          <w:rFonts w:ascii="Arial" w:cs="Arial" w:eastAsia="Arial" w:hAnsi="Arial"/>
          <w:color w:val="1C1C1C"/>
          <w:sz w:val="22"/>
          <w:szCs w:val="22"/>
        </w:rPr>
        <w:t xml:space="preserve">Lawyer connects with user via the platform — ClauseWala facilitates, not brokers</w:t>
      </w:r>
    </w:p>
    <w:p>
      <w:pPr>
        <w:pStyle w:val="ListParagraph"/>
        <w:numPr>
          <w:ilvl w:val="0"/>
          <w:numId w:val="2"/>
        </w:numPr>
        <w:spacing w:after="40" w:before="40"/>
      </w:pPr>
      <w:r>
        <w:rPr>
          <w:rFonts w:ascii="Arial" w:cs="Arial" w:eastAsia="Arial" w:hAnsi="Arial"/>
          <w:color w:val="1C1C1C"/>
          <w:sz w:val="22"/>
          <w:szCs w:val="22"/>
        </w:rPr>
        <w:t xml:space="preserve">This aligns with the mission: founders should enter legal conversations informed</w:t>
      </w:r>
    </w:p>
    <w:p>
      <w:pPr>
        <w:spacing w:after="80" w:before="80"/>
      </w:pPr>
      <w:r>
        <w:t xml:space="preserve"/>
      </w:r>
    </w:p>
    <w:p>
      <w:pPr>
        <w:spacing w:after="60" w:before="60"/>
      </w:pPr>
      <w:r>
        <w:rPr>
          <w:rFonts w:ascii="Arial" w:cs="Arial" w:eastAsia="Arial" w:hAnsi="Arial"/>
          <w:color w:val="1C1C1C"/>
          <w:sz w:val="22"/>
          <w:szCs w:val="22"/>
        </w:rPr>
        <w:t xml:space="preserve">Note: Legal review required before implementation. Consult Yogesh Pai on Bar Council compliance before building.</w:t>
      </w:r>
    </w:p>
    <w:p>
      <w:pPr>
        <w:spacing w:after="80" w:before="80"/>
      </w:pPr>
      <w:r>
        <w:t xml:space="preserve"/>
      </w:r>
    </w:p>
    <w:p>
      <w:pPr>
        <w:pStyle w:val="Heading2"/>
        <w:spacing w:after="120" w:before="300"/>
      </w:pPr>
      <w:r>
        <w:rPr>
          <w:rFonts w:ascii="Arial" w:cs="Arial" w:eastAsia="Arial" w:hAnsi="Arial"/>
          <w:b/>
          <w:bCs/>
          <w:color w:val="0F7B6C"/>
          <w:sz w:val="24"/>
          <w:szCs w:val="24"/>
        </w:rPr>
        <w:t xml:space="preserve">5.8 Digital Stamp Paper (Week 7–8, Exploratory)</w:t>
      </w:r>
    </w:p>
    <w:p>
      <w:pPr>
        <w:spacing w:after="40" w:before="40"/>
      </w:pPr>
      <w:r>
        <w:rPr>
          <w:rFonts w:ascii="Arial" w:cs="Arial" w:eastAsia="Arial" w:hAnsi="Arial"/>
          <w:i/>
          <w:iCs/>
          <w:color w:val="6B7280"/>
          <w:sz w:val="20"/>
          <w:szCs w:val="20"/>
        </w:rPr>
        <w:t xml:space="preserve">Priority: Exploratory — potential to be genuinely disruptive</w:t>
      </w:r>
    </w:p>
    <w:p>
      <w:pPr>
        <w:spacing w:after="80" w:before="80"/>
      </w:pPr>
      <w:r>
        <w:t xml:space="preserve"/>
      </w:r>
    </w:p>
    <w:p>
      <w:pPr>
        <w:spacing w:after="60" w:before="60"/>
      </w:pPr>
      <w:r>
        <w:rPr>
          <w:rFonts w:ascii="Arial" w:cs="Arial" w:eastAsia="Arial" w:hAnsi="Arial"/>
          <w:color w:val="1C1C1C"/>
          <w:sz w:val="22"/>
          <w:szCs w:val="22"/>
        </w:rPr>
        <w:t xml:space="preserve">Online stamp papers (via SHCIL or state-specific portals) are legally valid in most Indian states. ClauseWala generating stamp-paper-ready documents would remove the last manual step in contract execution.</w:t>
      </w:r>
    </w:p>
    <w:p>
      <w:pPr>
        <w:pStyle w:val="ListParagraph"/>
        <w:numPr>
          <w:ilvl w:val="0"/>
          <w:numId w:val="2"/>
        </w:numPr>
        <w:spacing w:after="40" w:before="40"/>
      </w:pPr>
      <w:r>
        <w:rPr>
          <w:rFonts w:ascii="Arial" w:cs="Arial" w:eastAsia="Arial" w:hAnsi="Arial"/>
          <w:color w:val="1C1C1C"/>
          <w:sz w:val="22"/>
          <w:szCs w:val="22"/>
        </w:rPr>
        <w:t xml:space="preserve">Research SHCIL API and state-specific digital stamp paper availability</w:t>
      </w:r>
    </w:p>
    <w:p>
      <w:pPr>
        <w:pStyle w:val="ListParagraph"/>
        <w:numPr>
          <w:ilvl w:val="0"/>
          <w:numId w:val="2"/>
        </w:numPr>
        <w:spacing w:after="40" w:before="40"/>
      </w:pPr>
      <w:r>
        <w:rPr>
          <w:rFonts w:ascii="Arial" w:cs="Arial" w:eastAsia="Arial" w:hAnsi="Arial"/>
          <w:color w:val="1C1C1C"/>
          <w:sz w:val="22"/>
          <w:szCs w:val="22"/>
        </w:rPr>
        <w:t xml:space="preserve">Add 'Generate on Stamp Paper' option at export stage</w:t>
      </w:r>
    </w:p>
    <w:p>
      <w:pPr>
        <w:pStyle w:val="ListParagraph"/>
        <w:numPr>
          <w:ilvl w:val="0"/>
          <w:numId w:val="2"/>
        </w:numPr>
        <w:spacing w:after="40" w:before="40"/>
      </w:pPr>
      <w:r>
        <w:rPr>
          <w:rFonts w:ascii="Arial" w:cs="Arial" w:eastAsia="Arial" w:hAnsi="Arial"/>
          <w:color w:val="1C1C1C"/>
          <w:sz w:val="22"/>
          <w:szCs w:val="22"/>
        </w:rPr>
        <w:t xml:space="preserve">Start with Maharashtra and Karnataka (highest startup density)</w:t>
      </w:r>
    </w:p>
    <w:p>
      <w:pPr>
        <w:spacing w:after="80" w:before="80"/>
      </w:pPr>
      <w:r>
        <w:t xml:space="preserve"/>
      </w:r>
    </w:p>
    <w:p>
      <w:pPr>
        <w:pStyle w:val="Heading1"/>
        <w:pBdr>
          <w:bottom w:val="single" w:color="0F7B6C" w:sz="4" w:space="4"/>
        </w:pBdr>
        <w:spacing w:after="200" w:before="400"/>
      </w:pPr>
      <w:r>
        <w:rPr>
          <w:rFonts w:ascii="Arial" w:cs="Arial" w:eastAsia="Arial" w:hAnsi="Arial"/>
          <w:b/>
          <w:bCs/>
          <w:color w:val="1A1A2E"/>
          <w:sz w:val="32"/>
          <w:szCs w:val="32"/>
        </w:rPr>
        <w:t xml:space="preserve">6. 8-Week Milestone Schedule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860"/>
      </w:tblGrid>
      <w:tr>
        <w:tc>
          <w:tcPr>
            <w:tcW w:type="dxa" w:w="1500"/>
            <w:tcBorders>
              <w:top w:val="single" w:color="DDDDDD" w:sz="1"/>
              <w:left w:val="single" w:color="DDDDDD" w:sz="1"/>
              <w:bottom w:val="single" w:color="DDDDDD" w:sz="1"/>
              <w:right w:val="single" w:color="DDDDDD" w:sz="1"/>
            </w:tcBorders>
            <w:shd w:fill="1A1A2E" w:val="clear"/>
            <w:tcMar>
              <w:top w:type="dxa" w:w="90"/>
              <w:left w:type="dxa" w:w="120"/>
              <w:bottom w:type="dxa" w:w="90"/>
              <w:right w:type="dxa" w:w="120"/>
            </w:tcMar>
          </w:tcPr>
          <w:p>
            <w:r>
              <w:rPr>
                <w:rFonts w:ascii="Arial" w:cs="Arial" w:eastAsia="Arial" w:hAnsi="Arial"/>
                <w:b/>
                <w:bCs/>
                <w:color w:val="FFFFFF"/>
                <w:sz w:val="20"/>
                <w:szCs w:val="20"/>
              </w:rPr>
              <w:t xml:space="preserve">Week</w:t>
            </w:r>
          </w:p>
        </w:tc>
        <w:tc>
          <w:tcPr>
            <w:tcW w:type="dxa" w:w="2000"/>
            <w:tcBorders>
              <w:top w:val="single" w:color="DDDDDD" w:sz="1"/>
              <w:left w:val="single" w:color="DDDDDD" w:sz="1"/>
              <w:bottom w:val="single" w:color="DDDDDD" w:sz="1"/>
              <w:right w:val="single" w:color="DDDDDD" w:sz="1"/>
            </w:tcBorders>
            <w:shd w:fill="1A1A2E" w:val="clear"/>
            <w:tcMar>
              <w:top w:type="dxa" w:w="90"/>
              <w:left w:type="dxa" w:w="120"/>
              <w:bottom w:type="dxa" w:w="90"/>
              <w:right w:type="dxa" w:w="120"/>
            </w:tcMar>
          </w:tcPr>
          <w:p>
            <w:r>
              <w:rPr>
                <w:rFonts w:ascii="Arial" w:cs="Arial" w:eastAsia="Arial" w:hAnsi="Arial"/>
                <w:b/>
                <w:bCs/>
                <w:color w:val="FFFFFF"/>
                <w:sz w:val="20"/>
                <w:szCs w:val="20"/>
              </w:rPr>
              <w:t xml:space="preserve">Milestone</w:t>
            </w:r>
          </w:p>
        </w:tc>
        <w:tc>
          <w:tcPr>
            <w:tcW w:type="dxa" w:w="5860"/>
            <w:tcBorders>
              <w:top w:val="single" w:color="DDDDDD" w:sz="1"/>
              <w:left w:val="single" w:color="DDDDDD" w:sz="1"/>
              <w:bottom w:val="single" w:color="DDDDDD" w:sz="1"/>
              <w:right w:val="single" w:color="DDDDDD" w:sz="1"/>
            </w:tcBorders>
            <w:shd w:fill="1A1A2E" w:val="clear"/>
            <w:tcMar>
              <w:top w:type="dxa" w:w="90"/>
              <w:left w:type="dxa" w:w="120"/>
              <w:bottom w:type="dxa" w:w="90"/>
              <w:right w:type="dxa" w:w="120"/>
            </w:tcMar>
          </w:tcPr>
          <w:p>
            <w:r>
              <w:rPr>
                <w:rFonts w:ascii="Arial" w:cs="Arial" w:eastAsia="Arial" w:hAnsi="Arial"/>
                <w:b/>
                <w:bCs/>
                <w:color w:val="FFFFFF"/>
                <w:sz w:val="20"/>
                <w:szCs w:val="20"/>
              </w:rPr>
              <w:t xml:space="preserve">Deliverables</w:t>
            </w:r>
          </w:p>
        </w:tc>
      </w:tr>
      <w:tr>
        <w:tc>
          <w:tcPr>
            <w:tcW w:type="dxa" w:w="1500"/>
            <w:tcBorders>
              <w:top w:val="single" w:color="DDDDDD" w:sz="1"/>
              <w:left w:val="single" w:color="DDDDDD" w:sz="1"/>
              <w:bottom w:val="single" w:color="DDDDDD" w:sz="1"/>
              <w:right w:val="single" w:color="DDDDDD" w:sz="1"/>
            </w:tcBorders>
            <w:shd w:fill="F5F5F5" w:val="clear"/>
            <w:tcMar>
              <w:top w:type="dxa" w:w="90"/>
              <w:left w:type="dxa" w:w="120"/>
              <w:bottom w:type="dxa" w:w="90"/>
              <w:right w:type="dxa" w:w="120"/>
            </w:tcMar>
          </w:tcPr>
          <w:p>
            <w:r>
              <w:rPr>
                <w:rFonts w:ascii="Arial" w:cs="Arial" w:eastAsia="Arial" w:hAnsi="Arial"/>
                <w:b w:val="false"/>
                <w:bCs w:val="false"/>
                <w:color w:val="1C1C1C"/>
                <w:sz w:val="20"/>
                <w:szCs w:val="20"/>
              </w:rPr>
              <w:t xml:space="preserve">Week 1–2</w:t>
            </w:r>
          </w:p>
        </w:tc>
        <w:tc>
          <w:tcPr>
            <w:tcW w:type="dxa" w:w="2000"/>
            <w:tcBorders>
              <w:top w:val="single" w:color="DDDDDD" w:sz="1"/>
              <w:left w:val="single" w:color="DDDDDD" w:sz="1"/>
              <w:bottom w:val="single" w:color="DDDDDD" w:sz="1"/>
              <w:right w:val="single" w:color="DDDDDD" w:sz="1"/>
            </w:tcBorders>
            <w:shd w:fill="F5F5F5" w:val="clear"/>
            <w:tcMar>
              <w:top w:type="dxa" w:w="90"/>
              <w:left w:type="dxa" w:w="120"/>
              <w:bottom w:type="dxa" w:w="90"/>
              <w:right w:type="dxa" w:w="120"/>
            </w:tcMar>
          </w:tcPr>
          <w:p>
            <w:r>
              <w:rPr>
                <w:rFonts w:ascii="Arial" w:cs="Arial" w:eastAsia="Arial" w:hAnsi="Arial"/>
                <w:b w:val="false"/>
                <w:bCs w:val="false"/>
                <w:color w:val="1C1C1C"/>
                <w:sz w:val="20"/>
                <w:szCs w:val="20"/>
              </w:rPr>
              <w:t xml:space="preserve">Stability Sprint</w:t>
            </w:r>
          </w:p>
        </w:tc>
        <w:tc>
          <w:tcPr>
            <w:tcW w:type="dxa" w:w="5860"/>
            <w:tcBorders>
              <w:top w:val="single" w:color="DDDDDD" w:sz="1"/>
              <w:left w:val="single" w:color="DDDDDD" w:sz="1"/>
              <w:bottom w:val="single" w:color="DDDDDD" w:sz="1"/>
              <w:right w:val="single" w:color="DDDDDD" w:sz="1"/>
            </w:tcBorders>
            <w:shd w:fill="F5F5F5" w:val="clear"/>
            <w:tcMar>
              <w:top w:type="dxa" w:w="90"/>
              <w:left w:type="dxa" w:w="120"/>
              <w:bottom w:type="dxa" w:w="90"/>
              <w:right w:type="dxa" w:w="120"/>
            </w:tcMar>
          </w:tcPr>
          <w:p>
            <w:r>
              <w:rPr>
                <w:rFonts w:ascii="Arial" w:cs="Arial" w:eastAsia="Arial" w:hAnsi="Arial"/>
                <w:b w:val="false"/>
                <w:bCs w:val="false"/>
                <w:color w:val="1C1C1C"/>
                <w:sz w:val="20"/>
                <w:szCs w:val="20"/>
              </w:rPr>
              <w:t xml:space="preserve">E2E flow tested, Groq error handling, DB models verified</w:t>
            </w:r>
          </w:p>
        </w:tc>
      </w:tr>
      <w:tr>
        <w:tc>
          <w:tcPr>
            <w:tcW w:type="dxa" w:w="150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r>
              <w:rPr>
                <w:rFonts w:ascii="Arial" w:cs="Arial" w:eastAsia="Arial" w:hAnsi="Arial"/>
                <w:b w:val="false"/>
                <w:bCs w:val="false"/>
                <w:color w:val="1C1C1C"/>
                <w:sz w:val="20"/>
                <w:szCs w:val="20"/>
              </w:rPr>
              <w:t xml:space="preserve">Week 2–3</w:t>
            </w:r>
          </w:p>
        </w:tc>
        <w:tc>
          <w:tcPr>
            <w:tcW w:type="dxa" w:w="200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r>
              <w:rPr>
                <w:rFonts w:ascii="Arial" w:cs="Arial" w:eastAsia="Arial" w:hAnsi="Arial"/>
                <w:b w:val="false"/>
                <w:bCs w:val="false"/>
                <w:color w:val="1C1C1C"/>
                <w:sz w:val="20"/>
                <w:szCs w:val="20"/>
              </w:rPr>
              <w:t xml:space="preserve">Legal Safeguards</w:t>
            </w:r>
          </w:p>
        </w:tc>
        <w:tc>
          <w:tcPr>
            <w:tcW w:type="dxa" w:w="58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r>
              <w:rPr>
                <w:rFonts w:ascii="Arial" w:cs="Arial" w:eastAsia="Arial" w:hAnsi="Arial"/>
                <w:b w:val="false"/>
                <w:bCs w:val="false"/>
                <w:color w:val="1C1C1C"/>
                <w:sz w:val="20"/>
                <w:szCs w:val="20"/>
              </w:rPr>
              <w:t xml:space="preserve">Disclaimer modal live, consent logging, privilege framing in NDA templates</w:t>
            </w:r>
          </w:p>
        </w:tc>
      </w:tr>
      <w:tr>
        <w:tc>
          <w:tcPr>
            <w:tcW w:type="dxa" w:w="1500"/>
            <w:tcBorders>
              <w:top w:val="single" w:color="DDDDDD" w:sz="1"/>
              <w:left w:val="single" w:color="DDDDDD" w:sz="1"/>
              <w:bottom w:val="single" w:color="DDDDDD" w:sz="1"/>
              <w:right w:val="single" w:color="DDDDDD" w:sz="1"/>
            </w:tcBorders>
            <w:shd w:fill="F5F5F5" w:val="clear"/>
            <w:tcMar>
              <w:top w:type="dxa" w:w="90"/>
              <w:left w:type="dxa" w:w="120"/>
              <w:bottom w:type="dxa" w:w="90"/>
              <w:right w:type="dxa" w:w="120"/>
            </w:tcMar>
          </w:tcPr>
          <w:p>
            <w:r>
              <w:rPr>
                <w:rFonts w:ascii="Arial" w:cs="Arial" w:eastAsia="Arial" w:hAnsi="Arial"/>
                <w:b w:val="false"/>
                <w:bCs w:val="false"/>
                <w:color w:val="1C1C1C"/>
                <w:sz w:val="20"/>
                <w:szCs w:val="20"/>
              </w:rPr>
              <w:t xml:space="preserve">Week 3–4</w:t>
            </w:r>
          </w:p>
        </w:tc>
        <w:tc>
          <w:tcPr>
            <w:tcW w:type="dxa" w:w="2000"/>
            <w:tcBorders>
              <w:top w:val="single" w:color="DDDDDD" w:sz="1"/>
              <w:left w:val="single" w:color="DDDDDD" w:sz="1"/>
              <w:bottom w:val="single" w:color="DDDDDD" w:sz="1"/>
              <w:right w:val="single" w:color="DDDDDD" w:sz="1"/>
            </w:tcBorders>
            <w:shd w:fill="F5F5F5" w:val="clear"/>
            <w:tcMar>
              <w:top w:type="dxa" w:w="90"/>
              <w:left w:type="dxa" w:w="120"/>
              <w:bottom w:type="dxa" w:w="90"/>
              <w:right w:type="dxa" w:w="120"/>
            </w:tcMar>
          </w:tcPr>
          <w:p>
            <w:r>
              <w:rPr>
                <w:rFonts w:ascii="Arial" w:cs="Arial" w:eastAsia="Arial" w:hAnsi="Arial"/>
                <w:b w:val="false"/>
                <w:bCs w:val="false"/>
                <w:color w:val="1C1C1C"/>
                <w:sz w:val="20"/>
                <w:szCs w:val="20"/>
              </w:rPr>
              <w:t xml:space="preserve">Language Foundation</w:t>
            </w:r>
          </w:p>
        </w:tc>
        <w:tc>
          <w:tcPr>
            <w:tcW w:type="dxa" w:w="5860"/>
            <w:tcBorders>
              <w:top w:val="single" w:color="DDDDDD" w:sz="1"/>
              <w:left w:val="single" w:color="DDDDDD" w:sz="1"/>
              <w:bottom w:val="single" w:color="DDDDDD" w:sz="1"/>
              <w:right w:val="single" w:color="DDDDDD" w:sz="1"/>
            </w:tcBorders>
            <w:shd w:fill="F5F5F5" w:val="clear"/>
            <w:tcMar>
              <w:top w:type="dxa" w:w="90"/>
              <w:left w:type="dxa" w:w="120"/>
              <w:bottom w:type="dxa" w:w="90"/>
              <w:right w:type="dxa" w:w="120"/>
            </w:tcMar>
          </w:tcPr>
          <w:p>
            <w:r>
              <w:rPr>
                <w:rFonts w:ascii="Arial" w:cs="Arial" w:eastAsia="Arial" w:hAnsi="Arial"/>
                <w:b w:val="false"/>
                <w:bCs w:val="false"/>
                <w:color w:val="1C1C1C"/>
                <w:sz w:val="20"/>
                <w:szCs w:val="20"/>
              </w:rPr>
              <w:t xml:space="preserve">Bhashini API integrated, Hindi output working for NDA and MOU</w:t>
            </w:r>
          </w:p>
        </w:tc>
      </w:tr>
      <w:tr>
        <w:tc>
          <w:tcPr>
            <w:tcW w:type="dxa" w:w="150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r>
              <w:rPr>
                <w:rFonts w:ascii="Arial" w:cs="Arial" w:eastAsia="Arial" w:hAnsi="Arial"/>
                <w:b w:val="false"/>
                <w:bCs w:val="false"/>
                <w:color w:val="1C1C1C"/>
                <w:sz w:val="20"/>
                <w:szCs w:val="20"/>
              </w:rPr>
              <w:t xml:space="preserve">Week 4–5</w:t>
            </w:r>
          </w:p>
        </w:tc>
        <w:tc>
          <w:tcPr>
            <w:tcW w:type="dxa" w:w="200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r>
              <w:rPr>
                <w:rFonts w:ascii="Arial" w:cs="Arial" w:eastAsia="Arial" w:hAnsi="Arial"/>
                <w:b w:val="false"/>
                <w:bCs w:val="false"/>
                <w:color w:val="1C1C1C"/>
                <w:sz w:val="20"/>
                <w:szCs w:val="20"/>
              </w:rPr>
              <w:t xml:space="preserve">Rental Track</w:t>
            </w:r>
          </w:p>
        </w:tc>
        <w:tc>
          <w:tcPr>
            <w:tcW w:type="dxa" w:w="58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r>
              <w:rPr>
                <w:rFonts w:ascii="Arial" w:cs="Arial" w:eastAsia="Arial" w:hAnsi="Arial"/>
                <w:b w:val="false"/>
                <w:bCs w:val="false"/>
                <w:color w:val="1C1C1C"/>
                <w:sz w:val="20"/>
                <w:szCs w:val="20"/>
              </w:rPr>
              <w:t xml:space="preserve">Rental agreement template live, sub-registrar guidance added, 7 priority languages</w:t>
            </w:r>
          </w:p>
        </w:tc>
      </w:tr>
      <w:tr>
        <w:tc>
          <w:tcPr>
            <w:tcW w:type="dxa" w:w="1500"/>
            <w:tcBorders>
              <w:top w:val="single" w:color="DDDDDD" w:sz="1"/>
              <w:left w:val="single" w:color="DDDDDD" w:sz="1"/>
              <w:bottom w:val="single" w:color="DDDDDD" w:sz="1"/>
              <w:right w:val="single" w:color="DDDDDD" w:sz="1"/>
            </w:tcBorders>
            <w:shd w:fill="F5F5F5" w:val="clear"/>
            <w:tcMar>
              <w:top w:type="dxa" w:w="90"/>
              <w:left w:type="dxa" w:w="120"/>
              <w:bottom w:type="dxa" w:w="90"/>
              <w:right w:type="dxa" w:w="120"/>
            </w:tcMar>
          </w:tcPr>
          <w:p>
            <w:r>
              <w:rPr>
                <w:rFonts w:ascii="Arial" w:cs="Arial" w:eastAsia="Arial" w:hAnsi="Arial"/>
                <w:b w:val="false"/>
                <w:bCs w:val="false"/>
                <w:color w:val="1C1C1C"/>
                <w:sz w:val="20"/>
                <w:szCs w:val="20"/>
              </w:rPr>
              <w:t xml:space="preserve">Week 5–6</w:t>
            </w:r>
          </w:p>
        </w:tc>
        <w:tc>
          <w:tcPr>
            <w:tcW w:type="dxa" w:w="2000"/>
            <w:tcBorders>
              <w:top w:val="single" w:color="DDDDDD" w:sz="1"/>
              <w:left w:val="single" w:color="DDDDDD" w:sz="1"/>
              <w:bottom w:val="single" w:color="DDDDDD" w:sz="1"/>
              <w:right w:val="single" w:color="DDDDDD" w:sz="1"/>
            </w:tcBorders>
            <w:shd w:fill="F5F5F5" w:val="clear"/>
            <w:tcMar>
              <w:top w:type="dxa" w:w="90"/>
              <w:left w:type="dxa" w:w="120"/>
              <w:bottom w:type="dxa" w:w="90"/>
              <w:right w:type="dxa" w:w="120"/>
            </w:tcMar>
          </w:tcPr>
          <w:p>
            <w:r>
              <w:rPr>
                <w:rFonts w:ascii="Arial" w:cs="Arial" w:eastAsia="Arial" w:hAnsi="Arial"/>
                <w:b w:val="false"/>
                <w:bCs w:val="false"/>
                <w:color w:val="1C1C1C"/>
                <w:sz w:val="20"/>
                <w:szCs w:val="20"/>
              </w:rPr>
              <w:t xml:space="preserve">E-Sign</w:t>
            </w:r>
          </w:p>
        </w:tc>
        <w:tc>
          <w:tcPr>
            <w:tcW w:type="dxa" w:w="5860"/>
            <w:tcBorders>
              <w:top w:val="single" w:color="DDDDDD" w:sz="1"/>
              <w:left w:val="single" w:color="DDDDDD" w:sz="1"/>
              <w:bottom w:val="single" w:color="DDDDDD" w:sz="1"/>
              <w:right w:val="single" w:color="DDDDDD" w:sz="1"/>
            </w:tcBorders>
            <w:shd w:fill="F5F5F5" w:val="clear"/>
            <w:tcMar>
              <w:top w:type="dxa" w:w="90"/>
              <w:left w:type="dxa" w:w="120"/>
              <w:bottom w:type="dxa" w:w="90"/>
              <w:right w:type="dxa" w:w="120"/>
            </w:tcMar>
          </w:tcPr>
          <w:p>
            <w:r>
              <w:rPr>
                <w:rFonts w:ascii="Arial" w:cs="Arial" w:eastAsia="Arial" w:hAnsi="Arial"/>
                <w:b w:val="false"/>
                <w:bCs w:val="false"/>
                <w:color w:val="1C1C1C"/>
                <w:sz w:val="20"/>
                <w:szCs w:val="20"/>
              </w:rPr>
              <w:t xml:space="preserve">DigiLocker/third-party e-sign integrated, signing link flow working</w:t>
            </w:r>
          </w:p>
        </w:tc>
      </w:tr>
      <w:tr>
        <w:tc>
          <w:tcPr>
            <w:tcW w:type="dxa" w:w="150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r>
              <w:rPr>
                <w:rFonts w:ascii="Arial" w:cs="Arial" w:eastAsia="Arial" w:hAnsi="Arial"/>
                <w:b w:val="false"/>
                <w:bCs w:val="false"/>
                <w:color w:val="1C1C1C"/>
                <w:sz w:val="20"/>
                <w:szCs w:val="20"/>
              </w:rPr>
              <w:t xml:space="preserve">Week 6–7</w:t>
            </w:r>
          </w:p>
        </w:tc>
        <w:tc>
          <w:tcPr>
            <w:tcW w:type="dxa" w:w="200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r>
              <w:rPr>
                <w:rFonts w:ascii="Arial" w:cs="Arial" w:eastAsia="Arial" w:hAnsi="Arial"/>
                <w:b w:val="false"/>
                <w:bCs w:val="false"/>
                <w:color w:val="1C1C1C"/>
                <w:sz w:val="20"/>
                <w:szCs w:val="20"/>
              </w:rPr>
              <w:t xml:space="preserve">Lawyer Discovery</w:t>
            </w:r>
          </w:p>
        </w:tc>
        <w:tc>
          <w:tcPr>
            <w:tcW w:type="dxa" w:w="58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r>
              <w:rPr>
                <w:rFonts w:ascii="Arial" w:cs="Arial" w:eastAsia="Arial" w:hAnsi="Arial"/>
                <w:b w:val="false"/>
                <w:bCs w:val="false"/>
                <w:color w:val="1C1C1C"/>
                <w:sz w:val="20"/>
                <w:szCs w:val="20"/>
              </w:rPr>
              <w:t xml:space="preserve">Lawyer profile MVP designed, Bar Council compliance reviewed</w:t>
            </w:r>
          </w:p>
        </w:tc>
      </w:tr>
      <w:tr>
        <w:tc>
          <w:tcPr>
            <w:tcW w:type="dxa" w:w="1500"/>
            <w:tcBorders>
              <w:top w:val="single" w:color="DDDDDD" w:sz="1"/>
              <w:left w:val="single" w:color="DDDDDD" w:sz="1"/>
              <w:bottom w:val="single" w:color="DDDDDD" w:sz="1"/>
              <w:right w:val="single" w:color="DDDDDD" w:sz="1"/>
            </w:tcBorders>
            <w:shd w:fill="F5F5F5" w:val="clear"/>
            <w:tcMar>
              <w:top w:type="dxa" w:w="90"/>
              <w:left w:type="dxa" w:w="120"/>
              <w:bottom w:type="dxa" w:w="90"/>
              <w:right w:type="dxa" w:w="120"/>
            </w:tcMar>
          </w:tcPr>
          <w:p>
            <w:r>
              <w:rPr>
                <w:rFonts w:ascii="Arial" w:cs="Arial" w:eastAsia="Arial" w:hAnsi="Arial"/>
                <w:b w:val="false"/>
                <w:bCs w:val="false"/>
                <w:color w:val="1C1C1C"/>
                <w:sz w:val="20"/>
                <w:szCs w:val="20"/>
              </w:rPr>
              <w:t xml:space="preserve">Week 7–8</w:t>
            </w:r>
          </w:p>
        </w:tc>
        <w:tc>
          <w:tcPr>
            <w:tcW w:type="dxa" w:w="2000"/>
            <w:tcBorders>
              <w:top w:val="single" w:color="DDDDDD" w:sz="1"/>
              <w:left w:val="single" w:color="DDDDDD" w:sz="1"/>
              <w:bottom w:val="single" w:color="DDDDDD" w:sz="1"/>
              <w:right w:val="single" w:color="DDDDDD" w:sz="1"/>
            </w:tcBorders>
            <w:shd w:fill="F5F5F5" w:val="clear"/>
            <w:tcMar>
              <w:top w:type="dxa" w:w="90"/>
              <w:left w:type="dxa" w:w="120"/>
              <w:bottom w:type="dxa" w:w="90"/>
              <w:right w:type="dxa" w:w="120"/>
            </w:tcMar>
          </w:tcPr>
          <w:p>
            <w:r>
              <w:rPr>
                <w:rFonts w:ascii="Arial" w:cs="Arial" w:eastAsia="Arial" w:hAnsi="Arial"/>
                <w:b w:val="false"/>
                <w:bCs w:val="false"/>
                <w:color w:val="1C1C1C"/>
                <w:sz w:val="20"/>
                <w:szCs w:val="20"/>
              </w:rPr>
              <w:t xml:space="preserve">Stamp Paper</w:t>
            </w:r>
          </w:p>
        </w:tc>
        <w:tc>
          <w:tcPr>
            <w:tcW w:type="dxa" w:w="5860"/>
            <w:tcBorders>
              <w:top w:val="single" w:color="DDDDDD" w:sz="1"/>
              <w:left w:val="single" w:color="DDDDDD" w:sz="1"/>
              <w:bottom w:val="single" w:color="DDDDDD" w:sz="1"/>
              <w:right w:val="single" w:color="DDDDDD" w:sz="1"/>
            </w:tcBorders>
            <w:shd w:fill="F5F5F5" w:val="clear"/>
            <w:tcMar>
              <w:top w:type="dxa" w:w="90"/>
              <w:left w:type="dxa" w:w="120"/>
              <w:bottom w:type="dxa" w:w="90"/>
              <w:right w:type="dxa" w:w="120"/>
            </w:tcMar>
          </w:tcPr>
          <w:p>
            <w:r>
              <w:rPr>
                <w:rFonts w:ascii="Arial" w:cs="Arial" w:eastAsia="Arial" w:hAnsi="Arial"/>
                <w:b w:val="false"/>
                <w:bCs w:val="false"/>
                <w:color w:val="1C1C1C"/>
                <w:sz w:val="20"/>
                <w:szCs w:val="20"/>
              </w:rPr>
              <w:t xml:space="preserve">SHCIL research complete, stamp paper flow prototyped for MH + KA</w:t>
            </w:r>
          </w:p>
        </w:tc>
      </w:tr>
    </w:tbl>
    <w:p>
      <w:pPr>
        <w:spacing w:after="80" w:before="80"/>
      </w:pPr>
      <w:r>
        <w:t xml:space="preserve"/>
      </w:r>
    </w:p>
    <w:p>
      <w:pPr>
        <w:pStyle w:val="Heading1"/>
        <w:pBdr>
          <w:bottom w:val="single" w:color="0F7B6C" w:sz="4" w:space="4"/>
        </w:pBdr>
        <w:spacing w:after="200" w:before="400"/>
      </w:pPr>
      <w:r>
        <w:rPr>
          <w:rFonts w:ascii="Arial" w:cs="Arial" w:eastAsia="Arial" w:hAnsi="Arial"/>
          <w:b/>
          <w:bCs/>
          <w:color w:val="1A1A2E"/>
          <w:sz w:val="32"/>
          <w:szCs w:val="32"/>
        </w:rPr>
        <w:t xml:space="preserve">7. Out of Scope for V2.0</w:t>
      </w:r>
    </w:p>
    <w:p>
      <w:pPr>
        <w:spacing w:after="60" w:before="60"/>
      </w:pPr>
      <w:r>
        <w:rPr>
          <w:rFonts w:ascii="Arial" w:cs="Arial" w:eastAsia="Arial" w:hAnsi="Arial"/>
          <w:color w:val="1C1C1C"/>
          <w:sz w:val="22"/>
          <w:szCs w:val="22"/>
        </w:rPr>
        <w:t xml:space="preserve">The following will NOT be built in this 8-week window:</w:t>
      </w:r>
    </w:p>
    <w:p>
      <w:pPr>
        <w:pStyle w:val="ListParagraph"/>
        <w:numPr>
          <w:ilvl w:val="0"/>
          <w:numId w:val="2"/>
        </w:numPr>
        <w:spacing w:after="40" w:before="40"/>
      </w:pPr>
      <w:r>
        <w:rPr>
          <w:rFonts w:ascii="Arial" w:cs="Arial" w:eastAsia="Arial" w:hAnsi="Arial"/>
          <w:color w:val="1C1C1C"/>
          <w:sz w:val="22"/>
          <w:szCs w:val="22"/>
        </w:rPr>
        <w:t xml:space="preserve">Paid plans / monetization layer — beta remains free throughout</w:t>
      </w:r>
    </w:p>
    <w:p>
      <w:pPr>
        <w:pStyle w:val="ListParagraph"/>
        <w:numPr>
          <w:ilvl w:val="0"/>
          <w:numId w:val="2"/>
        </w:numPr>
        <w:spacing w:after="40" w:before="40"/>
      </w:pPr>
      <w:r>
        <w:rPr>
          <w:rFonts w:ascii="Arial" w:cs="Arial" w:eastAsia="Arial" w:hAnsi="Arial"/>
          <w:color w:val="1C1C1C"/>
          <w:sz w:val="22"/>
          <w:szCs w:val="22"/>
        </w:rPr>
        <w:t xml:space="preserve">Mobile app — web-first approach maintained</w:t>
      </w:r>
    </w:p>
    <w:p>
      <w:pPr>
        <w:pStyle w:val="ListParagraph"/>
        <w:numPr>
          <w:ilvl w:val="0"/>
          <w:numId w:val="2"/>
        </w:numPr>
        <w:spacing w:after="40" w:before="40"/>
      </w:pPr>
      <w:r>
        <w:rPr>
          <w:rFonts w:ascii="Arial" w:cs="Arial" w:eastAsia="Arial" w:hAnsi="Arial"/>
          <w:color w:val="1C1C1C"/>
          <w:sz w:val="22"/>
          <w:szCs w:val="22"/>
        </w:rPr>
        <w:t xml:space="preserve">Full lawyer marketplace with transactions or fees</w:t>
      </w:r>
    </w:p>
    <w:p>
      <w:pPr>
        <w:pStyle w:val="ListParagraph"/>
        <w:numPr>
          <w:ilvl w:val="0"/>
          <w:numId w:val="2"/>
        </w:numPr>
        <w:spacing w:after="40" w:before="40"/>
      </w:pPr>
      <w:r>
        <w:rPr>
          <w:rFonts w:ascii="Arial" w:cs="Arial" w:eastAsia="Arial" w:hAnsi="Arial"/>
          <w:color w:val="1C1C1C"/>
          <w:sz w:val="22"/>
          <w:szCs w:val="22"/>
        </w:rPr>
        <w:t xml:space="preserve">Templates outside Indian jurisdiction</w:t>
      </w:r>
    </w:p>
    <w:p>
      <w:pPr>
        <w:pStyle w:val="ListParagraph"/>
        <w:numPr>
          <w:ilvl w:val="0"/>
          <w:numId w:val="2"/>
        </w:numPr>
        <w:spacing w:after="40" w:before="40"/>
      </w:pPr>
      <w:r>
        <w:rPr>
          <w:rFonts w:ascii="Arial" w:cs="Arial" w:eastAsia="Arial" w:hAnsi="Arial"/>
          <w:color w:val="1C1C1C"/>
          <w:sz w:val="22"/>
          <w:szCs w:val="22"/>
        </w:rPr>
        <w:t xml:space="preserve">AI model switch from Groq (performance first, model flexibility later)</w:t>
      </w:r>
    </w:p>
    <w:p>
      <w:pPr>
        <w:spacing w:after="80" w:before="80"/>
      </w:pPr>
      <w:r>
        <w:t xml:space="preserve"/>
      </w:r>
    </w:p>
    <w:p>
      <w:pPr>
        <w:pStyle w:val="Heading1"/>
        <w:pBdr>
          <w:bottom w:val="single" w:color="0F7B6C" w:sz="4" w:space="4"/>
        </w:pBdr>
        <w:spacing w:after="200" w:before="400"/>
      </w:pPr>
      <w:r>
        <w:rPr>
          <w:rFonts w:ascii="Arial" w:cs="Arial" w:eastAsia="Arial" w:hAnsi="Arial"/>
          <w:b/>
          <w:bCs/>
          <w:color w:val="1A1A2E"/>
          <w:sz w:val="32"/>
          <w:szCs w:val="32"/>
        </w:rPr>
        <w:t xml:space="preserve">8. Risks &amp; Mitigations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2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43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C1C1C"/>
                <w:sz w:val="20"/>
                <w:szCs w:val="20"/>
              </w:rPr>
              <w:t xml:space="preserve">Bhashini API quality for legal text</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C1C1C"/>
                <w:sz w:val="20"/>
                <w:szCs w:val="20"/>
              </w:rPr>
              <w:t xml:space="preserve">Medium</w:t>
            </w:r>
          </w:p>
        </w:tc>
        <w:tc>
          <w:tcPr>
            <w:tcW w:type="dxa" w:w="4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C1C1C"/>
                <w:sz w:val="20"/>
                <w:szCs w:val="20"/>
              </w:rPr>
              <w:t xml:space="preserve">Manual review of translated output; start with Hindi only, expand after validation</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C1C1C"/>
                <w:sz w:val="20"/>
                <w:szCs w:val="20"/>
              </w:rPr>
              <w:t xml:space="preserve">DigiLocker API access timeline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C1C1C"/>
                <w:sz w:val="20"/>
                <w:szCs w:val="20"/>
              </w:rPr>
              <w:t xml:space="preserve">High</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C1C1C"/>
                <w:sz w:val="20"/>
                <w:szCs w:val="20"/>
              </w:rPr>
              <w:t xml:space="preserve">Parallel track with third-party e-sign (Leegality/SignDesk) as fallback</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C1C1C"/>
                <w:sz w:val="20"/>
                <w:szCs w:val="20"/>
              </w:rPr>
              <w:t xml:space="preserve">Bar Council compliance for lawyer discovery</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C1C1C"/>
                <w:sz w:val="20"/>
                <w:szCs w:val="20"/>
              </w:rPr>
              <w:t xml:space="preserve">High</w:t>
            </w:r>
          </w:p>
        </w:tc>
        <w:tc>
          <w:tcPr>
            <w:tcW w:type="dxa" w:w="4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C1C1C"/>
                <w:sz w:val="20"/>
                <w:szCs w:val="20"/>
              </w:rPr>
              <w:t xml:space="preserve">Legal review with Yogesh Pai before any feature is built</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C1C1C"/>
                <w:sz w:val="20"/>
                <w:szCs w:val="20"/>
              </w:rPr>
              <w:t xml:space="preserve">Groq API rate limits at scale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C1C1C"/>
                <w:sz w:val="20"/>
                <w:szCs w:val="20"/>
              </w:rPr>
              <w:t xml:space="preserve">Medium</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C1C1C"/>
                <w:sz w:val="20"/>
                <w:szCs w:val="20"/>
              </w:rPr>
              <w:t xml:space="preserve">Implement queue + retry logic; add usage tracking per user</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C1C1C"/>
                <w:sz w:val="20"/>
                <w:szCs w:val="20"/>
              </w:rPr>
              <w:t xml:space="preserve">Stamp paper API availability</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C1C1C"/>
                <w:sz w:val="20"/>
                <w:szCs w:val="20"/>
              </w:rPr>
              <w:t xml:space="preserve">Low</w:t>
            </w:r>
          </w:p>
        </w:tc>
        <w:tc>
          <w:tcPr>
            <w:tcW w:type="dxa" w:w="4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C1C1C"/>
                <w:sz w:val="20"/>
                <w:szCs w:val="20"/>
              </w:rPr>
              <w:t xml:space="preserve">Keep as exploratory; no hard deadline, research-only in Week 7–8</w:t>
            </w:r>
          </w:p>
        </w:tc>
      </w:tr>
    </w:tbl>
    <w:p>
      <w:pPr>
        <w:spacing w:after="80" w:before="80"/>
      </w:pPr>
      <w:r>
        <w:t xml:space="preserve"/>
      </w:r>
    </w:p>
    <w:p>
      <w:pPr>
        <w:pStyle w:val="Heading1"/>
        <w:pBdr>
          <w:bottom w:val="single" w:color="0F7B6C" w:sz="4" w:space="4"/>
        </w:pBdr>
        <w:spacing w:after="200" w:before="400"/>
      </w:pPr>
      <w:r>
        <w:rPr>
          <w:rFonts w:ascii="Arial" w:cs="Arial" w:eastAsia="Arial" w:hAnsi="Arial"/>
          <w:b/>
          <w:bCs/>
          <w:color w:val="1A1A2E"/>
          <w:sz w:val="32"/>
          <w:szCs w:val="32"/>
        </w:rPr>
        <w:t xml:space="preserve">9. Success Metrics</w:t>
      </w:r>
    </w:p>
    <w:p>
      <w:pPr>
        <w:spacing w:after="60" w:before="60"/>
      </w:pPr>
      <w:r>
        <w:rPr>
          <w:rFonts w:ascii="Arial" w:cs="Arial" w:eastAsia="Arial" w:hAnsi="Arial"/>
          <w:color w:val="1C1C1C"/>
          <w:sz w:val="22"/>
          <w:szCs w:val="22"/>
        </w:rPr>
        <w:t xml:space="preserve">By May 20, 2026, ClauseWala V2.0 should demonstrate:</w:t>
      </w:r>
    </w:p>
    <w:p>
      <w:pPr>
        <w:spacing w:after="80" w:before="80"/>
      </w:pPr>
      <w:r>
        <w:t xml:space="preserve"/>
      </w:r>
    </w:p>
    <w:p>
      <w:pPr>
        <w:pStyle w:val="ListParagraph"/>
        <w:numPr>
          <w:ilvl w:val="0"/>
          <w:numId w:val="2"/>
        </w:numPr>
        <w:spacing w:after="40" w:before="40"/>
      </w:pPr>
      <w:r>
        <w:rPr>
          <w:rFonts w:ascii="Arial" w:cs="Arial" w:eastAsia="Arial" w:hAnsi="Arial"/>
          <w:color w:val="1C1C1C"/>
          <w:sz w:val="22"/>
          <w:szCs w:val="22"/>
        </w:rPr>
        <w:t xml:space="preserve">Zero broken flows in the core generation-to-export pipeline</w:t>
      </w:r>
    </w:p>
    <w:p>
      <w:pPr>
        <w:pStyle w:val="ListParagraph"/>
        <w:numPr>
          <w:ilvl w:val="0"/>
          <w:numId w:val="2"/>
        </w:numPr>
        <w:spacing w:after="40" w:before="40"/>
      </w:pPr>
      <w:r>
        <w:rPr>
          <w:rFonts w:ascii="Arial" w:cs="Arial" w:eastAsia="Arial" w:hAnsi="Arial"/>
          <w:color w:val="1C1C1C"/>
          <w:sz w:val="22"/>
          <w:szCs w:val="22"/>
        </w:rPr>
        <w:t xml:space="preserve">100% of documents include disclaimer + consent logging</w:t>
      </w:r>
    </w:p>
    <w:p>
      <w:pPr>
        <w:pStyle w:val="ListParagraph"/>
        <w:numPr>
          <w:ilvl w:val="0"/>
          <w:numId w:val="2"/>
        </w:numPr>
        <w:spacing w:after="40" w:before="40"/>
      </w:pPr>
      <w:r>
        <w:rPr>
          <w:rFonts w:ascii="Arial" w:cs="Arial" w:eastAsia="Arial" w:hAnsi="Arial"/>
          <w:color w:val="1C1C1C"/>
          <w:sz w:val="22"/>
          <w:szCs w:val="22"/>
        </w:rPr>
        <w:t xml:space="preserve">Hindi language output live and tested on at least 5 templates</w:t>
      </w:r>
    </w:p>
    <w:p>
      <w:pPr>
        <w:pStyle w:val="ListParagraph"/>
        <w:numPr>
          <w:ilvl w:val="0"/>
          <w:numId w:val="2"/>
        </w:numPr>
        <w:spacing w:after="40" w:before="40"/>
      </w:pPr>
      <w:r>
        <w:rPr>
          <w:rFonts w:ascii="Arial" w:cs="Arial" w:eastAsia="Arial" w:hAnsi="Arial"/>
          <w:color w:val="1C1C1C"/>
          <w:sz w:val="22"/>
          <w:szCs w:val="22"/>
        </w:rPr>
        <w:t xml:space="preserve">E-sign integration live with at least one provider</w:t>
      </w:r>
    </w:p>
    <w:p>
      <w:pPr>
        <w:pStyle w:val="ListParagraph"/>
        <w:numPr>
          <w:ilvl w:val="0"/>
          <w:numId w:val="2"/>
        </w:numPr>
        <w:spacing w:after="40" w:before="40"/>
      </w:pPr>
      <w:r>
        <w:rPr>
          <w:rFonts w:ascii="Arial" w:cs="Arial" w:eastAsia="Arial" w:hAnsi="Arial"/>
          <w:color w:val="1C1C1C"/>
          <w:sz w:val="22"/>
          <w:szCs w:val="22"/>
        </w:rPr>
        <w:t xml:space="preserve">Rental agreement template with 50+ documents generated in first 2 weeks of launch</w:t>
      </w:r>
    </w:p>
    <w:p>
      <w:pPr>
        <w:pStyle w:val="ListParagraph"/>
        <w:numPr>
          <w:ilvl w:val="0"/>
          <w:numId w:val="2"/>
        </w:numPr>
        <w:spacing w:after="40" w:before="40"/>
      </w:pPr>
      <w:r>
        <w:rPr>
          <w:rFonts w:ascii="Arial" w:cs="Arial" w:eastAsia="Arial" w:hAnsi="Arial"/>
          <w:color w:val="1C1C1C"/>
          <w:sz w:val="22"/>
          <w:szCs w:val="22"/>
        </w:rPr>
        <w:t xml:space="preserve">Lawyer discovery MVP design reviewed and Bar Council compliance confirmed</w:t>
      </w:r>
    </w:p>
    <w:p>
      <w:pPr>
        <w:spacing w:after="80" w:before="80"/>
      </w:pPr>
      <w:r>
        <w:t xml:space="preserve"/>
      </w:r>
    </w:p>
    <w:p>
      <w:pPr>
        <w:pStyle w:val="Heading1"/>
        <w:pBdr>
          <w:bottom w:val="single" w:color="0F7B6C" w:sz="4" w:space="4"/>
        </w:pBdr>
        <w:spacing w:after="200" w:before="400"/>
      </w:pPr>
      <w:r>
        <w:rPr>
          <w:rFonts w:ascii="Arial" w:cs="Arial" w:eastAsia="Arial" w:hAnsi="Arial"/>
          <w:b/>
          <w:bCs/>
          <w:color w:val="1A1A2E"/>
          <w:sz w:val="32"/>
          <w:szCs w:val="32"/>
        </w:rPr>
        <w:t xml:space="preserve">10. Acknowledgements</w:t>
      </w:r>
    </w:p>
    <w:p>
      <w:pPr>
        <w:spacing w:after="60" w:before="60"/>
      </w:pPr>
      <w:r>
        <w:rPr>
          <w:rFonts w:ascii="Arial" w:cs="Arial" w:eastAsia="Arial" w:hAnsi="Arial"/>
          <w:color w:val="1C1C1C"/>
          <w:sz w:val="22"/>
          <w:szCs w:val="22"/>
        </w:rPr>
        <w:t xml:space="preserve">This roadmap was shaped by inputs from:</w:t>
      </w:r>
    </w:p>
    <w:p>
      <w:pPr>
        <w:spacing w:after="80" w:before="80"/>
      </w:pPr>
      <w:r>
        <w:t xml:space="preserve"/>
      </w:r>
    </w:p>
    <w:p>
      <w:pPr>
        <w:pStyle w:val="ListParagraph"/>
        <w:numPr>
          <w:ilvl w:val="0"/>
          <w:numId w:val="2"/>
        </w:numPr>
        <w:spacing w:after="40" w:before="40"/>
      </w:pPr>
      <w:r>
        <w:rPr>
          <w:rFonts w:ascii="Arial" w:cs="Arial" w:eastAsia="Arial" w:hAnsi="Arial"/>
          <w:color w:val="1C1C1C"/>
          <w:sz w:val="22"/>
          <w:szCs w:val="22"/>
        </w:rPr>
        <w:t xml:space="preserve">Yogesh Pai — NLU Jaipur faculty (legal framework review, attorney-client privilege, language integration rationale, Bar Council guidance)</w:t>
      </w:r>
    </w:p>
    <w:p>
      <w:pPr>
        <w:pStyle w:val="ListParagraph"/>
        <w:numPr>
          <w:ilvl w:val="0"/>
          <w:numId w:val="2"/>
        </w:numPr>
        <w:spacing w:after="40" w:before="40"/>
      </w:pPr>
      <w:r>
        <w:rPr>
          <w:rFonts w:ascii="Arial" w:cs="Arial" w:eastAsia="Arial" w:hAnsi="Arial"/>
          <w:color w:val="1C1C1C"/>
          <w:sz w:val="22"/>
          <w:szCs w:val="22"/>
        </w:rPr>
        <w:t xml:space="preserve">Rudra — e-signature validation approach and DigiLocker integration suggestion</w:t>
      </w:r>
    </w:p>
    <w:p>
      <w:pPr>
        <w:pStyle w:val="ListParagraph"/>
        <w:numPr>
          <w:ilvl w:val="0"/>
          <w:numId w:val="2"/>
        </w:numPr>
        <w:spacing w:after="40" w:before="40"/>
      </w:pPr>
      <w:r>
        <w:rPr>
          <w:rFonts w:ascii="Arial" w:cs="Arial" w:eastAsia="Arial" w:hAnsi="Arial"/>
          <w:color w:val="1C1C1C"/>
          <w:sz w:val="22"/>
          <w:szCs w:val="22"/>
        </w:rPr>
        <w:t xml:space="preserve">ClauseWala Public Beta users — early founders using the platform during the beta period</w:t>
      </w:r>
    </w:p>
    <w:p>
      <w:pPr>
        <w:spacing w:after="80" w:before="80"/>
      </w:pPr>
      <w:r>
        <w:t xml:space="preserve"/>
      </w:r>
    </w:p>
    <w:p>
      <w:pPr>
        <w:spacing w:after="80" w:before="80"/>
      </w:pPr>
      <w:r>
        <w:t xml:space="preserve"/>
      </w:r>
    </w:p>
    <w:p>
      <w:pPr>
        <w:pBdr>
          <w:top w:val="single" w:color="E0E0E0" w:sz="2" w:space="8"/>
        </w:pBdr>
        <w:spacing w:after="80" w:before="200"/>
      </w:pPr>
      <w:r>
        <w:rPr>
          <w:rFonts w:ascii="Arial" w:cs="Arial" w:eastAsia="Arial" w:hAnsi="Arial"/>
          <w:i/>
          <w:iCs/>
          <w:color w:val="6B7280"/>
          <w:sz w:val="18"/>
          <w:szCs w:val="18"/>
        </w:rPr>
        <w:t xml:space="preserve">ClauseWala · clausewala.in · clausewala@vishwadev.tech</w:t>
      </w:r>
    </w:p>
    <w:p>
      <w:r>
        <w:rPr>
          <w:rFonts w:ascii="Arial" w:cs="Arial" w:eastAsia="Arial" w:hAnsi="Arial"/>
          <w:b/>
          <w:bCs/>
          <w:color w:val="0F7B6C"/>
          <w:sz w:val="20"/>
          <w:szCs w:val="20"/>
        </w:rPr>
        <w:t xml:space="preserve">Built for Bharat. Legal should feel like infrastructure.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2" w:space="4"/>
      </w:pBdr>
    </w:pPr>
    <w:r>
      <w:rPr>
        <w:rFonts w:ascii="Arial" w:cs="Arial" w:eastAsia="Arial" w:hAnsi="Arial"/>
        <w:color w:val="6B7280"/>
        <w:sz w:val="18"/>
        <w:szCs w:val="18"/>
      </w:rPr>
      <w:t xml:space="preserve">clausewala.in   ·   clausewala@vishwadev.tech   ·   Confidential</w:t>
    </w:r>
    <w:r>
      <w:rPr>
        <w:rFonts w:ascii="Arial" w:cs="Arial" w:eastAsia="Arial" w:hAnsi="Arial"/>
        <w:color w:val="6B7280"/>
        <w:sz w:val="18"/>
        <w:szCs w:val="18"/>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7B6C" w:sz="4" w:space="4"/>
      </w:pBdr>
    </w:pPr>
    <w:r>
      <w:rPr>
        <w:rFonts w:ascii="Arial" w:cs="Arial" w:eastAsia="Arial" w:hAnsi="Arial"/>
        <w:b/>
        <w:bCs/>
        <w:color w:val="0F7B6C"/>
        <w:sz w:val="20"/>
        <w:szCs w:val="20"/>
      </w:rPr>
      <w:t xml:space="preserve">ClauseWala</w:t>
    </w:r>
    <w:r>
      <w:rPr>
        <w:rFonts w:ascii="Arial" w:cs="Arial" w:eastAsia="Arial" w:hAnsi="Arial"/>
        <w:color w:val="6B7280"/>
        <w:sz w:val="20"/>
        <w:szCs w:val="20"/>
      </w:rPr>
      <w:t xml:space="preserve">   ·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2E"/>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0F7B6C"/>
      <w:sz w:val="24"/>
      <w:szCs w:val="24"/>
    </w:rPr>
  </w:style>
  <w:style w:type="paragraph" w:styleId="Heading3">
    <w:name w:val="Heading 3"/>
    <w:basedOn w:val="Normal"/>
    <w:next w:val="Normal"/>
    <w:qFormat/>
    <w:pPr>
      <w:spacing w:after="80" w:before="200"/>
      <w:outlineLvl w:val="2"/>
    </w:pPr>
    <w:rPr>
      <w:rFonts w:ascii="Arial" w:cs="Arial" w:eastAsia="Arial" w:hAnsi="Arial"/>
      <w:b/>
      <w:bCs/>
      <w:color w:val="16213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2026-03-20T08:33:51.498Z</dcterms:created>
  <dcterms:modified xsi:type="dcterms:W3CDTF">2026-03-20T08:33:51.499Z</dcterms:modified>
</cp:coreProperties>
</file>

<file path=docProps/custom.xml><?xml version="1.0" encoding="utf-8"?>
<Properties xmlns="http://schemas.openxmlformats.org/officeDocument/2006/custom-properties" xmlns:vt="http://schemas.openxmlformats.org/officeDocument/2006/docPropsVTypes"/>
</file>