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2E5395"/>
          <w:spacing w:val="20"/>
          <w:sz w:val="34"/>
          <w:szCs w:val="34"/>
        </w:rPr>
        <w:t xml:space="preserve">PROJECT REPORT</w:t>
      </w:r>
    </w:p>
    <w:p>
      <w:pPr>
        <w:pBdr>
          <w:bottom w:val="single" w:color="BFBFBF" w:sz="6" w:space="10"/>
        </w:pBdr>
        <w:spacing w:after="500"/>
        <w:jc w:val="center"/>
      </w:pPr>
    </w:p>
    <w:p>
      <w:pPr>
        <w:spacing w:after="300"/>
        <w:jc w:val="center"/>
      </w:pPr>
      <w:r>
        <w:rPr>
          <w:rFonts w:ascii="Calibri" w:cs="Calibri" w:eastAsia="Calibri" w:hAnsi="Calibri"/>
          <w:b/>
          <w:bCs/>
          <w:color w:val="1F3864"/>
          <w:sz w:val="52"/>
          <w:szCs w:val="52"/>
        </w:rPr>
        <w:t xml:space="preserve">Customer Churn Risk &amp;</w:t>
      </w:r>
    </w:p>
    <w:p>
      <w:pPr>
        <w:spacing w:after="600"/>
        <w:jc w:val="center"/>
      </w:pPr>
      <w:r>
        <w:rPr>
          <w:rFonts w:ascii="Calibri" w:cs="Calibri" w:eastAsia="Calibri" w:hAnsi="Calibri"/>
          <w:b/>
          <w:bCs/>
          <w:color w:val="1F3864"/>
          <w:sz w:val="52"/>
          <w:szCs w:val="52"/>
        </w:rPr>
        <w:t xml:space="preserve">Retention Intelligence System</w:t>
      </w:r>
    </w:p>
    <w:p>
      <w:pPr>
        <w:spacing w:after="200"/>
        <w:jc w:val="center"/>
      </w:pPr>
      <w:r>
        <w:rPr>
          <w:rFonts w:ascii="Calibri" w:cs="Calibri" w:eastAsia="Calibri" w:hAnsi="Calibri"/>
          <w:i/>
          <w:iCs/>
          <w:color w:val="404040"/>
          <w:sz w:val="24"/>
          <w:szCs w:val="24"/>
        </w:rPr>
        <w:t xml:space="preserve">An End-to-End Machine Learning Decision-Support System for Churn Prediction, Risk Segmentation and Retention Prioritization</w:t>
      </w:r>
    </w:p>
    <w:p>
      <w:pPr>
        <w:spacing w:before="1400"/>
      </w:pPr>
    </w:p>
    <w:p>
      <w:pPr>
        <w:spacing w:after="80"/>
        <w:jc w:val="center"/>
      </w:pPr>
      <w:r>
        <w:rPr>
          <w:rFonts w:ascii="Calibri" w:cs="Calibri" w:eastAsia="Calibri" w:hAnsi="Calibri"/>
          <w:sz w:val="22"/>
          <w:szCs w:val="22"/>
        </w:rPr>
        <w:t xml:space="preserve">Domain: Artificial Intelligence and Machine Learning</w:t>
      </w:r>
    </w:p>
    <w:p>
      <w:pPr>
        <w:spacing w:after="80"/>
        <w:jc w:val="center"/>
      </w:pPr>
      <w:r>
        <w:rPr>
          <w:rFonts w:ascii="Calibri" w:cs="Calibri" w:eastAsia="Calibri" w:hAnsi="Calibri"/>
          <w:sz w:val="22"/>
          <w:szCs w:val="22"/>
        </w:rPr>
        <w:t xml:space="preserve">Technology: Python, Scikit-learn, Streamlit, Plotly</w:t>
      </w:r>
    </w:p>
    <w:p>
      <w:pPr>
        <w:spacing w:after="80"/>
        <w:jc w:val="center"/>
      </w:pPr>
      <w:r>
        <w:rPr>
          <w:rFonts w:ascii="Calibri" w:cs="Calibri" w:eastAsia="Calibri" w:hAnsi="Calibri"/>
          <w:sz w:val="22"/>
          <w:szCs w:val="22"/>
        </w:rPr>
        <w:t xml:space="preserve">Dataset: IBM Telco Customer Churn</w:t>
      </w:r>
    </w:p>
    <w:p>
      <w:pPr>
        <w:spacing w:before="1600"/>
      </w:pPr>
    </w:p>
    <w:p>
      <w:pPr>
        <w:jc w:val="center"/>
      </w:pPr>
      <w:r>
        <w:rPr>
          <w:rFonts w:ascii="Calibri" w:cs="Calibri" w:eastAsia="Calibri" w:hAnsi="Calibri"/>
          <w:color w:val="595959"/>
          <w:sz w:val="22"/>
          <w:szCs w:val="22"/>
        </w:rPr>
        <w:t xml:space="preserve">Academic Year 2026</w:t>
      </w:r>
    </w:p>
    <w:p>
      <w:pPr>
        <w:sectPr>
          <w:pgSz w:w="12240" w:h="15840" w:orient="portrait"/>
          <w:pgMar w:top="1440" w:right="1440" w:bottom="1440" w:left="1440" w:header="708" w:footer="708" w:gutter="0"/>
          <w:pgNumType/>
          <w:docGrid w:linePitch="360"/>
        </w:sectPr>
      </w:pPr>
    </w:p>
    <w:p>
      <w:pPr>
        <w:pStyle w:val="Heading1"/>
        <w:spacing w:after="200"/>
      </w:pPr>
      <w:r>
        <w:rPr>
          <w:rFonts w:ascii="Calibri" w:cs="Calibri" w:eastAsia="Calibri" w:hAnsi="Calibri"/>
          <w:b/>
          <w:bCs/>
          <w:color w:val="1F3864"/>
          <w:sz w:val="30"/>
          <w:szCs w:val="30"/>
        </w:rPr>
        <w:t xml:space="preserve">Table of Contents</w:t>
      </w:r>
    </w:p>
    <w:p>
      <w:pPr>
        <w:tabs>
          <w:tab w:val="right" w:pos="9350" w:leader="dot"/>
        </w:tabs>
        <w:spacing w:after="150"/>
      </w:pPr>
      <w:r>
        <w:rPr>
          <w:rFonts w:ascii="Calibri" w:cs="Calibri" w:eastAsia="Calibri" w:hAnsi="Calibri"/>
          <w:sz w:val="22"/>
          <w:szCs w:val="22"/>
        </w:rPr>
        <w:t xml:space="preserve">1. Abstract</w:t>
      </w:r>
    </w:p>
    <w:p>
      <w:pPr>
        <w:tabs>
          <w:tab w:val="right" w:pos="9350" w:leader="dot"/>
        </w:tabs>
        <w:spacing w:after="150"/>
      </w:pPr>
      <w:r>
        <w:rPr>
          <w:rFonts w:ascii="Calibri" w:cs="Calibri" w:eastAsia="Calibri" w:hAnsi="Calibri"/>
          <w:sz w:val="22"/>
          <w:szCs w:val="22"/>
        </w:rPr>
        <w:t xml:space="preserve">2. Introduction</w:t>
      </w:r>
    </w:p>
    <w:p>
      <w:pPr>
        <w:tabs>
          <w:tab w:val="right" w:pos="9350" w:leader="dot"/>
        </w:tabs>
        <w:spacing w:after="150"/>
      </w:pPr>
      <w:r>
        <w:rPr>
          <w:rFonts w:ascii="Calibri" w:cs="Calibri" w:eastAsia="Calibri" w:hAnsi="Calibri"/>
          <w:sz w:val="22"/>
          <w:szCs w:val="22"/>
        </w:rPr>
        <w:t xml:space="preserve">3. Problem Statement</w:t>
      </w:r>
    </w:p>
    <w:p>
      <w:pPr>
        <w:tabs>
          <w:tab w:val="right" w:pos="9350" w:leader="dot"/>
        </w:tabs>
        <w:spacing w:after="150"/>
      </w:pPr>
      <w:r>
        <w:rPr>
          <w:rFonts w:ascii="Calibri" w:cs="Calibri" w:eastAsia="Calibri" w:hAnsi="Calibri"/>
          <w:sz w:val="22"/>
          <w:szCs w:val="22"/>
        </w:rPr>
        <w:t xml:space="preserve">4. Objectives</w:t>
      </w:r>
    </w:p>
    <w:p>
      <w:pPr>
        <w:tabs>
          <w:tab w:val="right" w:pos="9350" w:leader="dot"/>
        </w:tabs>
        <w:spacing w:after="150"/>
      </w:pPr>
      <w:r>
        <w:rPr>
          <w:rFonts w:ascii="Calibri" w:cs="Calibri" w:eastAsia="Calibri" w:hAnsi="Calibri"/>
          <w:sz w:val="22"/>
          <w:szCs w:val="22"/>
        </w:rPr>
        <w:t xml:space="preserve">5. Scope of the Project</w:t>
      </w:r>
    </w:p>
    <w:p>
      <w:pPr>
        <w:tabs>
          <w:tab w:val="right" w:pos="9350" w:leader="dot"/>
        </w:tabs>
        <w:spacing w:after="150"/>
      </w:pPr>
      <w:r>
        <w:rPr>
          <w:rFonts w:ascii="Calibri" w:cs="Calibri" w:eastAsia="Calibri" w:hAnsi="Calibri"/>
          <w:sz w:val="22"/>
          <w:szCs w:val="22"/>
        </w:rPr>
        <w:t xml:space="preserve">6. Review of Existing Approaches</w:t>
      </w:r>
    </w:p>
    <w:p>
      <w:pPr>
        <w:tabs>
          <w:tab w:val="right" w:pos="9350" w:leader="dot"/>
        </w:tabs>
        <w:spacing w:after="150"/>
      </w:pPr>
      <w:r>
        <w:rPr>
          <w:rFonts w:ascii="Calibri" w:cs="Calibri" w:eastAsia="Calibri" w:hAnsi="Calibri"/>
          <w:sz w:val="22"/>
          <w:szCs w:val="22"/>
        </w:rPr>
        <w:t xml:space="preserve">7. System Architecture</w:t>
      </w:r>
    </w:p>
    <w:p>
      <w:pPr>
        <w:tabs>
          <w:tab w:val="right" w:pos="9350" w:leader="dot"/>
        </w:tabs>
        <w:spacing w:after="150"/>
      </w:pPr>
      <w:r>
        <w:rPr>
          <w:rFonts w:ascii="Calibri" w:cs="Calibri" w:eastAsia="Calibri" w:hAnsi="Calibri"/>
          <w:sz w:val="22"/>
          <w:szCs w:val="22"/>
        </w:rPr>
        <w:t xml:space="preserve">8. Technology Stack</w:t>
      </w:r>
    </w:p>
    <w:p>
      <w:pPr>
        <w:tabs>
          <w:tab w:val="right" w:pos="9350" w:leader="dot"/>
        </w:tabs>
        <w:spacing w:after="150"/>
      </w:pPr>
      <w:r>
        <w:rPr>
          <w:rFonts w:ascii="Calibri" w:cs="Calibri" w:eastAsia="Calibri" w:hAnsi="Calibri"/>
          <w:sz w:val="22"/>
          <w:szCs w:val="22"/>
        </w:rPr>
        <w:t xml:space="preserve">9. Dataset Description</w:t>
      </w:r>
    </w:p>
    <w:p>
      <w:pPr>
        <w:tabs>
          <w:tab w:val="right" w:pos="9350" w:leader="dot"/>
        </w:tabs>
        <w:spacing w:after="150"/>
      </w:pPr>
      <w:r>
        <w:rPr>
          <w:rFonts w:ascii="Calibri" w:cs="Calibri" w:eastAsia="Calibri" w:hAnsi="Calibri"/>
          <w:sz w:val="22"/>
          <w:szCs w:val="22"/>
        </w:rPr>
        <w:t xml:space="preserve">10. Methodology</w:t>
      </w:r>
    </w:p>
    <w:p>
      <w:pPr>
        <w:tabs>
          <w:tab w:val="right" w:pos="9350" w:leader="dot"/>
        </w:tabs>
        <w:spacing w:after="150"/>
      </w:pPr>
      <w:r>
        <w:rPr>
          <w:rFonts w:ascii="Calibri" w:cs="Calibri" w:eastAsia="Calibri" w:hAnsi="Calibri"/>
          <w:sz w:val="22"/>
          <w:szCs w:val="22"/>
        </w:rPr>
        <w:t xml:space="preserve">11. Business Logic and Retention Recommendation Engine</w:t>
      </w:r>
    </w:p>
    <w:p>
      <w:pPr>
        <w:tabs>
          <w:tab w:val="right" w:pos="9350" w:leader="dot"/>
        </w:tabs>
        <w:spacing w:after="150"/>
      </w:pPr>
      <w:r>
        <w:rPr>
          <w:rFonts w:ascii="Calibri" w:cs="Calibri" w:eastAsia="Calibri" w:hAnsi="Calibri"/>
          <w:sz w:val="22"/>
          <w:szCs w:val="22"/>
        </w:rPr>
        <w:t xml:space="preserve">12. Dashboard Modules</w:t>
      </w:r>
    </w:p>
    <w:p>
      <w:pPr>
        <w:tabs>
          <w:tab w:val="right" w:pos="9350" w:leader="dot"/>
        </w:tabs>
        <w:spacing w:after="150"/>
      </w:pPr>
      <w:r>
        <w:rPr>
          <w:rFonts w:ascii="Calibri" w:cs="Calibri" w:eastAsia="Calibri" w:hAnsi="Calibri"/>
          <w:sz w:val="22"/>
          <w:szCs w:val="22"/>
        </w:rPr>
        <w:t xml:space="preserve">13. Implementation Details</w:t>
      </w:r>
    </w:p>
    <w:p>
      <w:pPr>
        <w:tabs>
          <w:tab w:val="right" w:pos="9350" w:leader="dot"/>
        </w:tabs>
        <w:spacing w:after="150"/>
      </w:pPr>
      <w:r>
        <w:rPr>
          <w:rFonts w:ascii="Calibri" w:cs="Calibri" w:eastAsia="Calibri" w:hAnsi="Calibri"/>
          <w:sz w:val="22"/>
          <w:szCs w:val="22"/>
        </w:rPr>
        <w:t xml:space="preserve">14. Testing and Validation</w:t>
      </w:r>
    </w:p>
    <w:p>
      <w:pPr>
        <w:tabs>
          <w:tab w:val="right" w:pos="9350" w:leader="dot"/>
        </w:tabs>
        <w:spacing w:after="150"/>
      </w:pPr>
      <w:r>
        <w:rPr>
          <w:rFonts w:ascii="Calibri" w:cs="Calibri" w:eastAsia="Calibri" w:hAnsi="Calibri"/>
          <w:sz w:val="22"/>
          <w:szCs w:val="22"/>
        </w:rPr>
        <w:t xml:space="preserve">15. Results and Discussion</w:t>
      </w:r>
    </w:p>
    <w:p>
      <w:pPr>
        <w:tabs>
          <w:tab w:val="right" w:pos="9350" w:leader="dot"/>
        </w:tabs>
        <w:spacing w:after="150"/>
      </w:pPr>
      <w:r>
        <w:rPr>
          <w:rFonts w:ascii="Calibri" w:cs="Calibri" w:eastAsia="Calibri" w:hAnsi="Calibri"/>
          <w:sz w:val="22"/>
          <w:szCs w:val="22"/>
        </w:rPr>
        <w:t xml:space="preserve">16. Limitations</w:t>
      </w:r>
    </w:p>
    <w:p>
      <w:pPr>
        <w:tabs>
          <w:tab w:val="right" w:pos="9350" w:leader="dot"/>
        </w:tabs>
        <w:spacing w:after="150"/>
      </w:pPr>
      <w:r>
        <w:rPr>
          <w:rFonts w:ascii="Calibri" w:cs="Calibri" w:eastAsia="Calibri" w:hAnsi="Calibri"/>
          <w:sz w:val="22"/>
          <w:szCs w:val="22"/>
        </w:rPr>
        <w:t xml:space="preserve">17. Future Scope</w:t>
      </w:r>
    </w:p>
    <w:p>
      <w:pPr>
        <w:tabs>
          <w:tab w:val="right" w:pos="9350" w:leader="dot"/>
        </w:tabs>
        <w:spacing w:after="150"/>
      </w:pPr>
      <w:r>
        <w:rPr>
          <w:rFonts w:ascii="Calibri" w:cs="Calibri" w:eastAsia="Calibri" w:hAnsi="Calibri"/>
          <w:sz w:val="22"/>
          <w:szCs w:val="22"/>
        </w:rPr>
        <w:t xml:space="preserve">18. Conclusion</w:t>
      </w:r>
    </w:p>
    <w:p>
      <w:pPr>
        <w:tabs>
          <w:tab w:val="right" w:pos="9350" w:leader="dot"/>
        </w:tabs>
        <w:spacing w:after="150"/>
      </w:pPr>
      <w:r>
        <w:rPr>
          <w:rFonts w:ascii="Calibri" w:cs="Calibri" w:eastAsia="Calibri" w:hAnsi="Calibri"/>
          <w:sz w:val="22"/>
          <w:szCs w:val="22"/>
        </w:rPr>
        <w:t xml:space="preserve">19. References</w:t>
      </w:r>
    </w:p>
    <w:p>
      <w:r>
        <w:br w:type="page"/>
      </w:r>
    </w:p>
    <w:p>
      <w:pPr>
        <w:pStyle w:val="Heading1"/>
        <w:pBdr>
          <w:bottom w:val="single" w:color="2E5395" w:sz="6" w:space="4"/>
        </w:pBdr>
        <w:spacing w:after="200" w:before="400"/>
      </w:pPr>
      <w:r>
        <w:rPr>
          <w:rFonts w:ascii="Calibri" w:cs="Calibri" w:eastAsia="Calibri" w:hAnsi="Calibri"/>
          <w:b/>
          <w:bCs/>
          <w:color w:val="1F3864"/>
          <w:sz w:val="30"/>
          <w:szCs w:val="30"/>
        </w:rPr>
        <w:t xml:space="preserve">1. Abstract</w:t>
      </w:r>
    </w:p>
    <w:p>
      <w:pPr>
        <w:spacing w:after="160" w:line="300"/>
        <w:jc w:val="both"/>
      </w:pPr>
      <w:r>
        <w:rPr>
          <w:rFonts w:ascii="Calibri" w:cs="Calibri" w:eastAsia="Calibri" w:hAnsi="Calibri"/>
          <w:sz w:val="22"/>
          <w:szCs w:val="22"/>
        </w:rPr>
        <w:t xml:space="preserve">This project presents the design and implementation of an end-to-end machine learning decision-support system for customer churn management. The system estimates the probability that an individual customer will discontinue service, classifies customers into operational risk tiers, surfaces interpretable risk drivers behind each prediction, estimates an illustrative revenue exposure figure, and generates a prioritized retention action queue. The complete pipeline is delivered through an interactive, multi-module web dashboard that enables business and retention teams to explore churn risk at both the portfolio level and the individual customer level without requiring technical expertise.</w:t>
      </w:r>
    </w:p>
    <w:p>
      <w:pPr>
        <w:spacing w:after="160" w:line="300"/>
        <w:jc w:val="both"/>
      </w:pPr>
      <w:r>
        <w:rPr>
          <w:rFonts w:ascii="Calibri" w:cs="Calibri" w:eastAsia="Calibri" w:hAnsi="Calibri"/>
          <w:sz w:val="22"/>
          <w:szCs w:val="22"/>
        </w:rPr>
        <w:t xml:space="preserve">The solution combines a supervised classification model with a rule-based interpretability layer, ensuring that every risk score is accompanied by a plain-language explanation and a recommended next action. This approach bridges the gap between raw predictive analytics and practical, actionable business decision-making.</w:t>
      </w:r>
    </w:p>
    <w:p>
      <w:pPr>
        <w:pStyle w:val="Heading1"/>
        <w:pBdr>
          <w:bottom w:val="single" w:color="2E5395" w:sz="6" w:space="4"/>
        </w:pBdr>
        <w:spacing w:after="200" w:before="400"/>
      </w:pPr>
      <w:r>
        <w:rPr>
          <w:rFonts w:ascii="Calibri" w:cs="Calibri" w:eastAsia="Calibri" w:hAnsi="Calibri"/>
          <w:b/>
          <w:bCs/>
          <w:color w:val="1F3864"/>
          <w:sz w:val="30"/>
          <w:szCs w:val="30"/>
        </w:rPr>
        <w:t xml:space="preserve">2. Introduction</w:t>
      </w:r>
    </w:p>
    <w:p>
      <w:pPr>
        <w:spacing w:after="160" w:line="300"/>
        <w:jc w:val="both"/>
      </w:pPr>
      <w:r>
        <w:rPr>
          <w:rFonts w:ascii="Calibri" w:cs="Calibri" w:eastAsia="Calibri" w:hAnsi="Calibri"/>
          <w:sz w:val="22"/>
          <w:szCs w:val="22"/>
        </w:rPr>
        <w:t xml:space="preserve">Customer retention is one of the most significant levers of profitability for subscription-based and service-based businesses. Acquiring a new customer is widely recognized to be considerably more expensive than retaining an existing one, which makes early identification of at-risk customers a high-value business capability. Traditional churn analysis is often reactive, relying on post-hoc reporting after a customer has already cancelled a service.</w:t>
      </w:r>
    </w:p>
    <w:p>
      <w:pPr>
        <w:spacing w:after="160" w:line="300"/>
        <w:jc w:val="both"/>
      </w:pPr>
      <w:r>
        <w:rPr>
          <w:rFonts w:ascii="Calibri" w:cs="Calibri" w:eastAsia="Calibri" w:hAnsi="Calibri"/>
          <w:sz w:val="22"/>
          <w:szCs w:val="22"/>
        </w:rPr>
        <w:t xml:space="preserve">This project addresses that gap by building a proactive, data-driven system that continuously scores the existing customer base, ranks customers by risk, and translates statistical predictions into concrete retention actions. The system is built around the publicly available IBM Telco Customer Churn dataset, which provides demographic, account, and service-usage attributes for a telecommunications provider's customer base, along with a historical churn outcome label.</w:t>
      </w:r>
    </w:p>
    <w:p>
      <w:pPr>
        <w:pStyle w:val="Heading1"/>
        <w:pBdr>
          <w:bottom w:val="single" w:color="2E5395" w:sz="6" w:space="4"/>
        </w:pBdr>
        <w:spacing w:after="200" w:before="400"/>
      </w:pPr>
      <w:r>
        <w:rPr>
          <w:rFonts w:ascii="Calibri" w:cs="Calibri" w:eastAsia="Calibri" w:hAnsi="Calibri"/>
          <w:b/>
          <w:bCs/>
          <w:color w:val="1F3864"/>
          <w:sz w:val="30"/>
          <w:szCs w:val="30"/>
        </w:rPr>
        <w:t xml:space="preserve">3. Problem Statement</w:t>
      </w:r>
    </w:p>
    <w:p>
      <w:pPr>
        <w:spacing w:after="160" w:line="300"/>
        <w:jc w:val="both"/>
      </w:pPr>
      <w:r>
        <w:rPr>
          <w:rFonts w:ascii="Calibri" w:cs="Calibri" w:eastAsia="Calibri" w:hAnsi="Calibri"/>
          <w:sz w:val="22"/>
          <w:szCs w:val="22"/>
        </w:rPr>
        <w:t xml:space="preserve">Customer churn directly reduces recurring revenue and places continuous pressure on customer acquisition budgets. Retention teams typically lack a systematic, repeatable method for identifying which customers are most likely to leave, understanding the underlying reasons for that risk, and deciding which retention action would be most appropriate. Manual, intuition-based prioritization does not scale across large customer bases and does not provide a consistent, auditable rationale for retention spending.</w:t>
      </w:r>
    </w:p>
    <w:p>
      <w:pPr>
        <w:spacing w:after="160" w:line="300"/>
        <w:jc w:val="both"/>
      </w:pPr>
      <w:r>
        <w:rPr>
          <w:rFonts w:ascii="Calibri" w:cs="Calibri" w:eastAsia="Calibri" w:hAnsi="Calibri"/>
          <w:sz w:val="22"/>
          <w:szCs w:val="22"/>
        </w:rPr>
        <w:t xml:space="preserve">The core problem this project solves can be stated as follows: given historical customer account, demographic, and service data with a known churn outcome, build a system that can predict the churn probability of any customer, prioritize customers into actionable risk tiers, and recommend a specific retention strategy for each at-risk customer.</w:t>
      </w:r>
    </w:p>
    <w:p>
      <w:pPr>
        <w:pStyle w:val="Heading1"/>
        <w:pBdr>
          <w:bottom w:val="single" w:color="2E5395" w:sz="6" w:space="4"/>
        </w:pBdr>
        <w:spacing w:after="200" w:before="400"/>
      </w:pPr>
      <w:r>
        <w:rPr>
          <w:rFonts w:ascii="Calibri" w:cs="Calibri" w:eastAsia="Calibri" w:hAnsi="Calibri"/>
          <w:b/>
          <w:bCs/>
          <w:color w:val="1F3864"/>
          <w:sz w:val="30"/>
          <w:szCs w:val="30"/>
        </w:rPr>
        <w:t xml:space="preserve">4. Objectives</w:t>
      </w:r>
    </w:p>
    <w:p>
      <w:pPr>
        <w:pStyle w:val="ListParagraph"/>
        <w:numPr>
          <w:ilvl w:val="0"/>
          <w:numId w:val="2"/>
        </w:numPr>
        <w:spacing w:after="90"/>
      </w:pPr>
      <w:r>
        <w:rPr>
          <w:rFonts w:ascii="Calibri" w:cs="Calibri" w:eastAsia="Calibri" w:hAnsi="Calibri"/>
          <w:sz w:val="22"/>
          <w:szCs w:val="22"/>
        </w:rPr>
        <w:t xml:space="preserve">Clean, validate and prepare the raw customer dataset for analysis and modeling.</w:t>
      </w:r>
    </w:p>
    <w:p>
      <w:pPr>
        <w:pStyle w:val="ListParagraph"/>
        <w:numPr>
          <w:ilvl w:val="0"/>
          <w:numId w:val="2"/>
        </w:numPr>
        <w:spacing w:after="90"/>
      </w:pPr>
      <w:r>
        <w:rPr>
          <w:rFonts w:ascii="Calibri" w:cs="Calibri" w:eastAsia="Calibri" w:hAnsi="Calibri"/>
          <w:sz w:val="22"/>
          <w:szCs w:val="22"/>
        </w:rPr>
        <w:t xml:space="preserve">Train a supervised machine learning model to classify customers as likely to churn or likely to be retained.</w:t>
      </w:r>
    </w:p>
    <w:p>
      <w:pPr>
        <w:pStyle w:val="ListParagraph"/>
        <w:numPr>
          <w:ilvl w:val="0"/>
          <w:numId w:val="2"/>
        </w:numPr>
        <w:spacing w:after="90"/>
      </w:pPr>
      <w:r>
        <w:rPr>
          <w:rFonts w:ascii="Calibri" w:cs="Calibri" w:eastAsia="Calibri" w:hAnsi="Calibri"/>
          <w:sz w:val="22"/>
          <w:szCs w:val="22"/>
        </w:rPr>
        <w:t xml:space="preserve">Generate a calibrated churn probability score for every customer in the dataset.</w:t>
      </w:r>
    </w:p>
    <w:p>
      <w:pPr>
        <w:pStyle w:val="ListParagraph"/>
        <w:numPr>
          <w:ilvl w:val="0"/>
          <w:numId w:val="2"/>
        </w:numPr>
        <w:spacing w:after="90"/>
      </w:pPr>
      <w:r>
        <w:rPr>
          <w:rFonts w:ascii="Calibri" w:cs="Calibri" w:eastAsia="Calibri" w:hAnsi="Calibri"/>
          <w:sz w:val="22"/>
          <w:szCs w:val="22"/>
        </w:rPr>
        <w:t xml:space="preserve">Segment customers into Low, Medium and High operational risk tiers based on the predicted probability.</w:t>
      </w:r>
    </w:p>
    <w:p>
      <w:pPr>
        <w:pStyle w:val="ListParagraph"/>
        <w:numPr>
          <w:ilvl w:val="0"/>
          <w:numId w:val="2"/>
        </w:numPr>
        <w:spacing w:after="90"/>
      </w:pPr>
      <w:r>
        <w:rPr>
          <w:rFonts w:ascii="Calibri" w:cs="Calibri" w:eastAsia="Calibri" w:hAnsi="Calibri"/>
          <w:sz w:val="22"/>
          <w:szCs w:val="22"/>
        </w:rPr>
        <w:t xml:space="preserve">Estimate an illustrative revenue-at-risk figure to help prioritize retention spend.</w:t>
      </w:r>
    </w:p>
    <w:p>
      <w:pPr>
        <w:pStyle w:val="ListParagraph"/>
        <w:numPr>
          <w:ilvl w:val="0"/>
          <w:numId w:val="2"/>
        </w:numPr>
        <w:spacing w:after="90"/>
      </w:pPr>
      <w:r>
        <w:rPr>
          <w:rFonts w:ascii="Calibri" w:cs="Calibri" w:eastAsia="Calibri" w:hAnsi="Calibri"/>
          <w:sz w:val="22"/>
          <w:szCs w:val="22"/>
        </w:rPr>
        <w:t xml:space="preserve">Identify interpretable, rule-based risk drivers explaining why a customer is flagged as at-risk.</w:t>
      </w:r>
    </w:p>
    <w:p>
      <w:pPr>
        <w:pStyle w:val="ListParagraph"/>
        <w:numPr>
          <w:ilvl w:val="0"/>
          <w:numId w:val="2"/>
        </w:numPr>
        <w:spacing w:after="90"/>
      </w:pPr>
      <w:r>
        <w:rPr>
          <w:rFonts w:ascii="Calibri" w:cs="Calibri" w:eastAsia="Calibri" w:hAnsi="Calibri"/>
          <w:sz w:val="22"/>
          <w:szCs w:val="22"/>
        </w:rPr>
        <w:t xml:space="preserve">Recommend a specific retention action tailored to each customer's risk driver.</w:t>
      </w:r>
    </w:p>
    <w:p>
      <w:pPr>
        <w:pStyle w:val="ListParagraph"/>
        <w:numPr>
          <w:ilvl w:val="0"/>
          <w:numId w:val="2"/>
        </w:numPr>
        <w:spacing w:after="90"/>
      </w:pPr>
      <w:r>
        <w:rPr>
          <w:rFonts w:ascii="Calibri" w:cs="Calibri" w:eastAsia="Calibri" w:hAnsi="Calibri"/>
          <w:sz w:val="22"/>
          <w:szCs w:val="22"/>
        </w:rPr>
        <w:t xml:space="preserve">Present all outputs through an interactive, multi-module dashboard for non-technical business users.</w:t>
      </w:r>
    </w:p>
    <w:p>
      <w:pPr>
        <w:pStyle w:val="Heading1"/>
        <w:pBdr>
          <w:bottom w:val="single" w:color="2E5395" w:sz="6" w:space="4"/>
        </w:pBdr>
        <w:spacing w:after="200" w:before="400"/>
      </w:pPr>
      <w:r>
        <w:rPr>
          <w:rFonts w:ascii="Calibri" w:cs="Calibri" w:eastAsia="Calibri" w:hAnsi="Calibri"/>
          <w:b/>
          <w:bCs/>
          <w:color w:val="1F3864"/>
          <w:sz w:val="30"/>
          <w:szCs w:val="30"/>
        </w:rPr>
        <w:t xml:space="preserve">5. Scope of the Project</w:t>
      </w:r>
    </w:p>
    <w:p>
      <w:pPr>
        <w:spacing w:after="160" w:line="300"/>
        <w:jc w:val="both"/>
      </w:pPr>
      <w:r>
        <w:rPr>
          <w:rFonts w:ascii="Calibri" w:cs="Calibri" w:eastAsia="Calibri" w:hAnsi="Calibri"/>
          <w:sz w:val="22"/>
          <w:szCs w:val="22"/>
        </w:rPr>
        <w:t xml:space="preserve">The scope of this project covers the complete analytics lifecycle: data ingestion, data cleaning, feature preparation, model training and evaluation, risk scoring, business-rule-based explanation generation, and interactive visualization. The system is designed as a decision-support tool for retention teams and does not automate outreach or communication with customers directly; instead, it produces a prioritized, exportable action list that a retention team can execute.</w:t>
      </w:r>
    </w:p>
    <w:p>
      <w:pPr>
        <w:spacing w:after="160" w:line="300"/>
        <w:jc w:val="both"/>
      </w:pPr>
      <w:r>
        <w:rPr>
          <w:rFonts w:ascii="Calibri" w:cs="Calibri" w:eastAsia="Calibri" w:hAnsi="Calibri"/>
          <w:sz w:val="22"/>
          <w:szCs w:val="22"/>
        </w:rPr>
        <w:t xml:space="preserve">The project is scoped around a single, well-known cross-sectional dataset (IBM Telco Customer Churn) for demonstration and evaluation purposes, but the underlying pipeline is designed to generalize to other structured customer datasets with minimal modification.</w:t>
      </w:r>
    </w:p>
    <w:p>
      <w:pPr>
        <w:pStyle w:val="Heading1"/>
        <w:pBdr>
          <w:bottom w:val="single" w:color="2E5395" w:sz="6" w:space="4"/>
        </w:pBdr>
        <w:spacing w:after="200" w:before="400"/>
      </w:pPr>
      <w:r>
        <w:rPr>
          <w:rFonts w:ascii="Calibri" w:cs="Calibri" w:eastAsia="Calibri" w:hAnsi="Calibri"/>
          <w:b/>
          <w:bCs/>
          <w:color w:val="1F3864"/>
          <w:sz w:val="30"/>
          <w:szCs w:val="30"/>
        </w:rPr>
        <w:t xml:space="preserve">6. Review of Existing Approaches</w:t>
      </w:r>
    </w:p>
    <w:p>
      <w:pPr>
        <w:spacing w:after="160" w:line="300"/>
        <w:jc w:val="both"/>
      </w:pPr>
      <w:r>
        <w:rPr>
          <w:rFonts w:ascii="Calibri" w:cs="Calibri" w:eastAsia="Calibri" w:hAnsi="Calibri"/>
          <w:sz w:val="22"/>
          <w:szCs w:val="22"/>
        </w:rPr>
        <w:t xml:space="preserve">Churn prediction is a well-studied problem in applied machine learning, commonly framed as a binary classification task. Existing industry approaches range from simple rule-based heuristics (for example, flagging any customer whose contract is about to expire) to advanced ensemble and deep-learning models trained on large-scale behavioral event data. Many production systems rely on gradient-boosted tree ensembles such as XGBoost or LightGBM for their superior handling of non-linear feature interactions, while simpler linear models such as Logistic Regression remain popular in regulated or interpretability-sensitive environments because their coefficients and decision boundaries are easier to audit and explain to business stakeholders.</w:t>
      </w:r>
    </w:p>
    <w:p>
      <w:pPr>
        <w:spacing w:after="160" w:line="300"/>
        <w:jc w:val="both"/>
      </w:pPr>
      <w:r>
        <w:rPr>
          <w:rFonts w:ascii="Calibri" w:cs="Calibri" w:eastAsia="Calibri" w:hAnsi="Calibri"/>
          <w:sz w:val="22"/>
          <w:szCs w:val="22"/>
        </w:rPr>
        <w:t xml:space="preserve">A common limitation across many existing churn systems is the disconnect between the predictive model and actionable business logic: a model may output an accurate probability score, but without a clear explanation of the drivers behind that score and a corresponding recommended action, retention teams struggle to translate the prediction into an effective intervention. This project directly addresses that limitation by pairing the predictive model with a transparent, rule-based driver and recommendation layer.</w:t>
      </w:r>
    </w:p>
    <w:p>
      <w:pPr>
        <w:pStyle w:val="Heading1"/>
        <w:pBdr>
          <w:bottom w:val="single" w:color="2E5395" w:sz="6" w:space="4"/>
        </w:pBdr>
        <w:spacing w:after="200" w:before="400"/>
      </w:pPr>
      <w:r>
        <w:rPr>
          <w:rFonts w:ascii="Calibri" w:cs="Calibri" w:eastAsia="Calibri" w:hAnsi="Calibri"/>
          <w:b/>
          <w:bCs/>
          <w:color w:val="1F3864"/>
          <w:sz w:val="30"/>
          <w:szCs w:val="30"/>
        </w:rPr>
        <w:t xml:space="preserve">7. System Architecture</w:t>
      </w:r>
    </w:p>
    <w:p>
      <w:pPr>
        <w:spacing w:after="160" w:line="300"/>
        <w:jc w:val="both"/>
      </w:pPr>
      <w:r>
        <w:rPr>
          <w:rFonts w:ascii="Calibri" w:cs="Calibri" w:eastAsia="Calibri" w:hAnsi="Calibri"/>
          <w:sz w:val="22"/>
          <w:szCs w:val="22"/>
        </w:rPr>
        <w:t xml:space="preserve">The system follows a modular, layered architecture consisting of a data layer, a machine learning engine, a business logic layer, and a presentation layer. Each layer is decoupled so that the underlying model or dataset can be updated without requiring changes to the dashboard, and the dashboard can be extended with new views without affecting the scoring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50"/>
      </w:tblGrid>
      <w:tr>
        <w:trPr>
          <w:cantSplit/>
          <w:tblHeader/>
        </w:trPr>
        <w:tc>
          <w:tcPr>
            <w:tcW w:type="dxa" w:w="2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44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c>
          <w:tcPr>
            <w:tcW w:type="dxa" w:w="25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Component</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Layer</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Acquire and clean raw customer data; handle missing values and type conversion</w:t>
            </w:r>
          </w:p>
        </w:tc>
        <w:tc>
          <w:tcPr>
            <w:tcW w:type="dxa" w:w="2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download_data.py, data/ directory</w:t>
            </w:r>
          </w:p>
        </w:tc>
      </w:tr>
      <w:tr>
        <w:trPr>
          <w:cantSplit/>
        </w:trPr>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Modeling Layer</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Feature engineering, model training, evaluation and probability scoring</w:t>
            </w:r>
          </w:p>
        </w:tc>
        <w:tc>
          <w:tcPr>
            <w:tcW w:type="dxa" w:w="2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src/churn_engine.py</w:t>
            </w:r>
          </w:p>
        </w:tc>
      </w:tr>
      <w:tr>
        <w:trPr>
          <w:cantSplit/>
        </w:trP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Business Logic Layer</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Risk tiering, revenue-at-risk estimation, driver identification, action recommendation</w:t>
            </w:r>
          </w:p>
        </w:tc>
        <w:tc>
          <w:tcPr>
            <w:tcW w:type="dxa" w:w="2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src/churn_engine.py</w:t>
            </w:r>
          </w:p>
        </w:tc>
      </w:tr>
      <w:tr>
        <w:trPr>
          <w:cantSplit/>
        </w:trPr>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Presentation Layer</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Interactive multi-module dashboard for business users</w:t>
            </w:r>
          </w:p>
        </w:tc>
        <w:tc>
          <w:tcPr>
            <w:tcW w:type="dxa" w:w="25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app.py (Streamlit)</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At a high level, raw customer data is ingested and cleaned, transformed through a preprocessing pipeline, and passed into a trained classification model. The model's probability output is then converted into a risk tier, an estimated revenue-at-risk value, a primary risk driver, and a recommended retention action. These enriched records are finally rendered across the dashboard's analytical modules.</w:t>
      </w:r>
    </w:p>
    <w:p>
      <w:pPr>
        <w:pStyle w:val="Heading1"/>
        <w:pBdr>
          <w:bottom w:val="single" w:color="2E5395" w:sz="6" w:space="4"/>
        </w:pBdr>
        <w:spacing w:after="200" w:before="400"/>
      </w:pPr>
      <w:r>
        <w:rPr>
          <w:rFonts w:ascii="Calibri" w:cs="Calibri" w:eastAsia="Calibri" w:hAnsi="Calibri"/>
          <w:b/>
          <w:bCs/>
          <w:color w:val="1F3864"/>
          <w:sz w:val="30"/>
          <w:szCs w:val="30"/>
        </w:rPr>
        <w:t xml:space="preserve">8.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cantSplit/>
          <w:tblHeader/>
        </w:trPr>
        <w:tc>
          <w:tcPr>
            <w:tcW w:type="dxa" w:w="40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53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Technology</w:t>
            </w:r>
          </w:p>
        </w:tc>
      </w:tr>
      <w:tr>
        <w:trPr>
          <w:cantSplit/>
        </w:trP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Programming Language</w:t>
            </w:r>
          </w:p>
        </w:tc>
        <w:tc>
          <w:tcPr>
            <w:tcW w:type="dxa" w:w="5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Python</w:t>
            </w:r>
          </w:p>
        </w:tc>
      </w:tr>
      <w:tr>
        <w:trPr>
          <w:cantSplit/>
        </w:trPr>
        <w:tc>
          <w:tcPr>
            <w:tcW w:type="dxa" w:w="4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Handling</w:t>
            </w:r>
          </w:p>
        </w:tc>
        <w:tc>
          <w:tcPr>
            <w:tcW w:type="dxa" w:w="5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Pandas, NumPy</w:t>
            </w:r>
          </w:p>
        </w:tc>
      </w:tr>
      <w:tr>
        <w:trPr>
          <w:cantSplit/>
        </w:trP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Machine Learning</w:t>
            </w:r>
          </w:p>
        </w:tc>
        <w:tc>
          <w:tcPr>
            <w:tcW w:type="dxa" w:w="5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Scikit-learn (Logistic Regression, ColumnTransformer, Pipeline)</w:t>
            </w:r>
          </w:p>
        </w:tc>
      </w:tr>
      <w:tr>
        <w:trPr>
          <w:cantSplit/>
        </w:trPr>
        <w:tc>
          <w:tcPr>
            <w:tcW w:type="dxa" w:w="4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Visualization</w:t>
            </w:r>
          </w:p>
        </w:tc>
        <w:tc>
          <w:tcPr>
            <w:tcW w:type="dxa" w:w="5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Plotly</w:t>
            </w:r>
          </w:p>
        </w:tc>
      </w:tr>
      <w:tr>
        <w:trPr>
          <w:cantSplit/>
        </w:trPr>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Web Application / Dashboard</w:t>
            </w:r>
          </w:p>
        </w:tc>
        <w:tc>
          <w:tcPr>
            <w:tcW w:type="dxa" w:w="5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Streamlit</w:t>
            </w:r>
          </w:p>
        </w:tc>
      </w:tr>
      <w:tr>
        <w:trPr>
          <w:cantSplit/>
        </w:trPr>
        <w:tc>
          <w:tcPr>
            <w:tcW w:type="dxa" w:w="4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w:t>
            </w:r>
          </w:p>
        </w:tc>
        <w:tc>
          <w:tcPr>
            <w:tcW w:type="dxa" w:w="53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IBM Telco Customer Churn (public sample dataset)</w:t>
            </w:r>
          </w:p>
        </w:tc>
      </w:tr>
    </w:tbl>
    <w:p>
      <w:pPr>
        <w:pStyle w:val="Heading1"/>
        <w:pBdr>
          <w:bottom w:val="single" w:color="2E5395" w:sz="6" w:space="4"/>
        </w:pBdr>
        <w:spacing w:after="200" w:before="400"/>
      </w:pPr>
      <w:r>
        <w:rPr>
          <w:rFonts w:ascii="Calibri" w:cs="Calibri" w:eastAsia="Calibri" w:hAnsi="Calibri"/>
          <w:b/>
          <w:bCs/>
          <w:color w:val="1F3864"/>
          <w:sz w:val="30"/>
          <w:szCs w:val="30"/>
        </w:rPr>
        <w:t xml:space="preserve">9. Dataset Description</w:t>
      </w:r>
    </w:p>
    <w:p>
      <w:pPr>
        <w:spacing w:after="160" w:line="300"/>
        <w:jc w:val="both"/>
      </w:pPr>
      <w:r>
        <w:rPr>
          <w:rFonts w:ascii="Calibri" w:cs="Calibri" w:eastAsia="Calibri" w:hAnsi="Calibri"/>
          <w:sz w:val="22"/>
          <w:szCs w:val="22"/>
        </w:rPr>
        <w:t xml:space="preserve">The project uses the IBM Telco Customer Churn dataset, a widely used public sample dataset consisting of 7,043 customer records with 21 raw attributes. The dataset includes customer demographic information (gender, senior citizen status, partner and dependent status), account information (tenure, contract type, payment method, paperless billing, monthly and total charges), subscribed services (phone, multiple lines, internet service type, online security, online backup, device protection, technical support, streaming TV and streaming movies), and a binary churn outcome label indicating whether the customer discontinued the service.</w:t>
      </w:r>
    </w:p>
    <w:p>
      <w:pPr>
        <w:spacing w:after="160" w:line="300"/>
        <w:jc w:val="both"/>
      </w:pPr>
      <w:r>
        <w:rPr>
          <w:rFonts w:ascii="Calibri" w:cs="Calibri" w:eastAsia="Calibri" w:hAnsi="Calibri"/>
          <w:sz w:val="22"/>
          <w:szCs w:val="22"/>
        </w:rPr>
        <w:t xml:space="preserve">If a local copy of the dataset is not available, the system automatically downloads the public IBM-hosted CSV file. In the event that the download is not possible (for example, due to network restrictions), the system falls back to a statistically generated demonstration dataset that mimics the structure and churn-risk relationships of the original data, ensuring the application remains fully functional for demonstration purposes.</w:t>
      </w:r>
    </w:p>
    <w:p>
      <w:pPr>
        <w:pStyle w:val="Heading1"/>
        <w:pBdr>
          <w:bottom w:val="single" w:color="2E5395" w:sz="6" w:space="4"/>
        </w:pBdr>
        <w:spacing w:after="200" w:before="400"/>
      </w:pPr>
      <w:r>
        <w:rPr>
          <w:rFonts w:ascii="Calibri" w:cs="Calibri" w:eastAsia="Calibri" w:hAnsi="Calibri"/>
          <w:b/>
          <w:bCs/>
          <w:color w:val="1F3864"/>
          <w:sz w:val="30"/>
          <w:szCs w:val="30"/>
        </w:rPr>
        <w:t xml:space="preserve">10. Methodology</w:t>
      </w:r>
    </w:p>
    <w:p>
      <w:pPr>
        <w:pStyle w:val="Heading2"/>
        <w:spacing w:after="140" w:before="280"/>
      </w:pPr>
      <w:r>
        <w:rPr>
          <w:rFonts w:ascii="Calibri" w:cs="Calibri" w:eastAsia="Calibri" w:hAnsi="Calibri"/>
          <w:b/>
          <w:bCs/>
          <w:color w:val="2E5395"/>
          <w:sz w:val="25"/>
          <w:szCs w:val="25"/>
        </w:rPr>
        <w:t xml:space="preserve">10.1 Data Preprocessing</w:t>
      </w:r>
    </w:p>
    <w:p>
      <w:pPr>
        <w:pStyle w:val="ListParagraph"/>
        <w:numPr>
          <w:ilvl w:val="0"/>
          <w:numId w:val="3"/>
        </w:numPr>
        <w:spacing w:after="90"/>
      </w:pPr>
      <w:r>
        <w:rPr>
          <w:rFonts w:ascii="Calibri" w:cs="Calibri" w:eastAsia="Calibri" w:hAnsi="Calibri"/>
          <w:sz w:val="22"/>
          <w:szCs w:val="22"/>
        </w:rPr>
        <w:t xml:space="preserve">The TotalCharges field, which is stored as text in the raw dataset, is converted to a numeric type, with invalid or blank entries coerced to missing values.</w:t>
      </w:r>
    </w:p>
    <w:p>
      <w:pPr>
        <w:pStyle w:val="ListParagraph"/>
        <w:numPr>
          <w:ilvl w:val="0"/>
          <w:numId w:val="3"/>
        </w:numPr>
        <w:spacing w:after="90"/>
      </w:pPr>
      <w:r>
        <w:rPr>
          <w:rFonts w:ascii="Calibri" w:cs="Calibri" w:eastAsia="Calibri" w:hAnsi="Calibri"/>
          <w:sz w:val="22"/>
          <w:szCs w:val="22"/>
        </w:rPr>
        <w:t xml:space="preserve">Duplicate customer records are removed based on the unique customer identifier.</w:t>
      </w:r>
    </w:p>
    <w:p>
      <w:pPr>
        <w:pStyle w:val="ListParagraph"/>
        <w:numPr>
          <w:ilvl w:val="0"/>
          <w:numId w:val="3"/>
        </w:numPr>
        <w:spacing w:after="90"/>
      </w:pPr>
      <w:r>
        <w:rPr>
          <w:rFonts w:ascii="Calibri" w:cs="Calibri" w:eastAsia="Calibri" w:hAnsi="Calibri"/>
          <w:sz w:val="22"/>
          <w:szCs w:val="22"/>
        </w:rPr>
        <w:t xml:space="preserve">Missing TotalCharges values are imputed using the product of MonthlyCharges and tenure.</w:t>
      </w:r>
    </w:p>
    <w:p>
      <w:pPr>
        <w:pStyle w:val="ListParagraph"/>
        <w:numPr>
          <w:ilvl w:val="0"/>
          <w:numId w:val="3"/>
        </w:numPr>
        <w:spacing w:after="90"/>
      </w:pPr>
      <w:r>
        <w:rPr>
          <w:rFonts w:ascii="Calibri" w:cs="Calibri" w:eastAsia="Calibri" w:hAnsi="Calibri"/>
          <w:sz w:val="22"/>
          <w:szCs w:val="22"/>
        </w:rPr>
        <w:t xml:space="preserve">Derived features are engineered, including a Service Count (number of subscribed add-on services), a Tenure Band (categorical grouping of tenure into 0-6, 7-12, 13-24, 25-48 and 49-72 month bands), and an Average Monthly Value metric.</w:t>
      </w:r>
    </w:p>
    <w:p>
      <w:pPr>
        <w:pStyle w:val="Heading2"/>
        <w:spacing w:after="140" w:before="280"/>
      </w:pPr>
      <w:r>
        <w:rPr>
          <w:rFonts w:ascii="Calibri" w:cs="Calibri" w:eastAsia="Calibri" w:hAnsi="Calibri"/>
          <w:b/>
          <w:bCs/>
          <w:color w:val="2E5395"/>
          <w:sz w:val="25"/>
          <w:szCs w:val="25"/>
        </w:rPr>
        <w:t xml:space="preserve">10.2 Feature Engineering and Transformation</w:t>
      </w:r>
    </w:p>
    <w:p>
      <w:pPr>
        <w:pStyle w:val="ListParagraph"/>
        <w:numPr>
          <w:ilvl w:val="0"/>
          <w:numId w:val="3"/>
        </w:numPr>
        <w:spacing w:after="90"/>
      </w:pPr>
      <w:r>
        <w:rPr>
          <w:rFonts w:ascii="Calibri" w:cs="Calibri" w:eastAsia="Calibri" w:hAnsi="Calibri"/>
          <w:sz w:val="22"/>
          <w:szCs w:val="22"/>
        </w:rPr>
        <w:t xml:space="preserve">Numeric features (SeniorCitizen, tenure, MonthlyCharges, TotalCharges) are median-imputed and standardized using a StandardScaler.</w:t>
      </w:r>
    </w:p>
    <w:p>
      <w:pPr>
        <w:pStyle w:val="ListParagraph"/>
        <w:numPr>
          <w:ilvl w:val="0"/>
          <w:numId w:val="3"/>
        </w:numPr>
        <w:spacing w:after="90"/>
      </w:pPr>
      <w:r>
        <w:rPr>
          <w:rFonts w:ascii="Calibri" w:cs="Calibri" w:eastAsia="Calibri" w:hAnsi="Calibri"/>
          <w:sz w:val="22"/>
          <w:szCs w:val="22"/>
        </w:rPr>
        <w:t xml:space="preserve">Categorical features (15 attributes including gender, contract type, internet service, payment method and add-on services) are imputed using the most frequent value and transformed using One-Hot Encoding.</w:t>
      </w:r>
    </w:p>
    <w:p>
      <w:pPr>
        <w:pStyle w:val="ListParagraph"/>
        <w:numPr>
          <w:ilvl w:val="0"/>
          <w:numId w:val="3"/>
        </w:numPr>
        <w:spacing w:after="90"/>
      </w:pPr>
      <w:r>
        <w:rPr>
          <w:rFonts w:ascii="Calibri" w:cs="Calibri" w:eastAsia="Calibri" w:hAnsi="Calibri"/>
          <w:sz w:val="22"/>
          <w:szCs w:val="22"/>
        </w:rPr>
        <w:t xml:space="preserve">All transformations are combined into a single Scikit-learn ColumnTransformer to ensure identical preprocessing is applied consistently during both training and inference.</w:t>
      </w:r>
    </w:p>
    <w:p>
      <w:pPr>
        <w:pStyle w:val="Heading2"/>
        <w:spacing w:after="140" w:before="280"/>
      </w:pPr>
      <w:r>
        <w:rPr>
          <w:rFonts w:ascii="Calibri" w:cs="Calibri" w:eastAsia="Calibri" w:hAnsi="Calibri"/>
          <w:b/>
          <w:bCs/>
          <w:color w:val="2E5395"/>
          <w:sz w:val="25"/>
          <w:szCs w:val="25"/>
        </w:rPr>
        <w:t xml:space="preserve">10.3 Model Training</w:t>
      </w:r>
    </w:p>
    <w:p>
      <w:pPr>
        <w:spacing w:after="160" w:line="300"/>
        <w:jc w:val="both"/>
      </w:pPr>
      <w:r>
        <w:rPr>
          <w:rFonts w:ascii="Calibri" w:cs="Calibri" w:eastAsia="Calibri" w:hAnsi="Calibri"/>
          <w:sz w:val="22"/>
          <w:szCs w:val="22"/>
        </w:rPr>
        <w:t xml:space="preserve">The dataset is split into training and testing subsets using a stratified 80/20 split to preserve the original class balance of churned versus retained customers. A Logistic Regression classifier with balanced class weighting is trained on the preprocessed features. Balanced class weighting was selected to address the inherent class imbalance in churn datasets, where the number of retained customers typically exceeds the number of churned customers, without requiring synthetic oversampling.</w:t>
      </w:r>
    </w:p>
    <w:p>
      <w:pPr>
        <w:spacing w:after="160" w:line="300"/>
        <w:jc w:val="both"/>
      </w:pPr>
      <w:r>
        <w:rPr>
          <w:rFonts w:ascii="Calibri" w:cs="Calibri" w:eastAsia="Calibri" w:hAnsi="Calibri"/>
          <w:sz w:val="22"/>
          <w:szCs w:val="22"/>
        </w:rPr>
        <w:t xml:space="preserve">Logistic Regression was chosen as the primary model because its coefficients are directly interpretable, its probability outputs are well-calibrated for a binary outcome, its training and inference cost is low, and its transparency aligns well with the project's goal of producing explainable, auditable risk scores for business stakeholders.</w:t>
      </w:r>
    </w:p>
    <w:p>
      <w:pPr>
        <w:pStyle w:val="Heading2"/>
        <w:spacing w:after="140" w:before="280"/>
      </w:pPr>
      <w:r>
        <w:rPr>
          <w:rFonts w:ascii="Calibri" w:cs="Calibri" w:eastAsia="Calibri" w:hAnsi="Calibri"/>
          <w:b/>
          <w:bCs/>
          <w:color w:val="2E5395"/>
          <w:sz w:val="25"/>
          <w:szCs w:val="25"/>
        </w:rPr>
        <w:t xml:space="preserve">10.4 Model Evaluation</w:t>
      </w:r>
    </w:p>
    <w:p>
      <w:pPr>
        <w:spacing w:after="160" w:line="300"/>
        <w:jc w:val="both"/>
      </w:pPr>
      <w:r>
        <w:rPr>
          <w:rFonts w:ascii="Calibri" w:cs="Calibri" w:eastAsia="Calibri" w:hAnsi="Calibri"/>
          <w:sz w:val="22"/>
          <w:szCs w:val="22"/>
        </w:rPr>
        <w:t xml:space="preserve">Model performance is evaluated on the held-out test set using five complementary metrics: Accuracy, Precision, Recall, F1-Score and ROC-AUC. ROC-AUC is treated as the primary metric of interest because it measures the model's ability to rank customers by churn risk independent of a specific classification threshold, which is directly relevant to a risk-prioritization use case.</w:t>
      </w:r>
    </w:p>
    <w:p>
      <w:pPr>
        <w:pStyle w:val="Heading2"/>
        <w:spacing w:after="140" w:before="280"/>
      </w:pPr>
      <w:r>
        <w:rPr>
          <w:rFonts w:ascii="Calibri" w:cs="Calibri" w:eastAsia="Calibri" w:hAnsi="Calibri"/>
          <w:b/>
          <w:bCs/>
          <w:color w:val="2E5395"/>
          <w:sz w:val="25"/>
          <w:szCs w:val="25"/>
        </w:rPr>
        <w:t xml:space="preserve">10.5 Risk Segmentation</w:t>
      </w:r>
    </w:p>
    <w:p>
      <w:pPr>
        <w:spacing w:after="160" w:line="300"/>
        <w:jc w:val="both"/>
      </w:pPr>
      <w:r>
        <w:rPr>
          <w:rFonts w:ascii="Calibri" w:cs="Calibri" w:eastAsia="Calibri" w:hAnsi="Calibri"/>
          <w:sz w:val="22"/>
          <w:szCs w:val="22"/>
        </w:rPr>
        <w:t xml:space="preserve">Each customer's predicted churn probability is converted into an operational risk tier using the following threshold scheme: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cantSplit/>
          <w:tblHeader/>
        </w:trPr>
        <w:tc>
          <w:tcPr>
            <w:tcW w:type="dxa" w:w="2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 Tier</w:t>
            </w:r>
          </w:p>
        </w:tc>
        <w:tc>
          <w:tcPr>
            <w:tcW w:type="dxa" w:w="32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Churn Probability Range</w:t>
            </w:r>
          </w:p>
        </w:tc>
        <w:tc>
          <w:tcPr>
            <w:tcW w:type="dxa" w:w="39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Interpretation</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Below 0.35</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is unlikely to churn in the near term</w:t>
            </w:r>
          </w:p>
        </w:tc>
      </w:tr>
      <w:tr>
        <w:trPr>
          <w:cantSplit/>
        </w:trPr>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0.35 to 0.59</w:t>
            </w:r>
          </w:p>
        </w:tc>
        <w:tc>
          <w:tcPr>
            <w:tcW w:type="dxa" w:w="3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shows early warning signals and should be monitored</w:t>
            </w:r>
          </w:p>
        </w:tc>
      </w:tr>
      <w:tr>
        <w:trPr>
          <w:cantSplit/>
        </w:trP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0.60 and above</w:t>
            </w:r>
          </w:p>
        </w:tc>
        <w:tc>
          <w:tcPr>
            <w:tcW w:type="dxa" w:w="39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is at significant risk and requires immediate retention action</w:t>
            </w:r>
          </w:p>
        </w:tc>
      </w:tr>
    </w:tbl>
    <w:p>
      <w:pPr>
        <w:pStyle w:val="Heading1"/>
        <w:pBdr>
          <w:bottom w:val="single" w:color="2E5395" w:sz="6" w:space="4"/>
        </w:pBdr>
        <w:spacing w:after="200" w:before="400"/>
      </w:pPr>
      <w:r>
        <w:rPr>
          <w:rFonts w:ascii="Calibri" w:cs="Calibri" w:eastAsia="Calibri" w:hAnsi="Calibri"/>
          <w:b/>
          <w:bCs/>
          <w:color w:val="1F3864"/>
          <w:sz w:val="30"/>
          <w:szCs w:val="30"/>
        </w:rPr>
        <w:t xml:space="preserve">11. Business Logic and Retention Recommendation Engine</w:t>
      </w:r>
    </w:p>
    <w:p>
      <w:pPr>
        <w:spacing w:after="160" w:line="300"/>
        <w:jc w:val="both"/>
      </w:pPr>
      <w:r>
        <w:rPr>
          <w:rFonts w:ascii="Calibri" w:cs="Calibri" w:eastAsia="Calibri" w:hAnsi="Calibri"/>
          <w:sz w:val="22"/>
          <w:szCs w:val="22"/>
        </w:rPr>
        <w:t xml:space="preserve">Beyond the raw probability score, the system applies a transparent, rule-based reasoning layer to make each prediction actionable. For every customer, the system identifies a single primary risk driver from a prioritized set of business rules and pairs it with a corresponding recommended retention 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cantSplit/>
          <w:tblHeader/>
        </w:trPr>
        <w:tc>
          <w:tcPr>
            <w:tcW w:type="dxa" w:w="47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Primary Risk Driver</w:t>
            </w:r>
          </w:p>
        </w:tc>
        <w:tc>
          <w:tcPr>
            <w:tcW w:type="dxa" w:w="46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Recommended Retention Action</w:t>
            </w:r>
          </w:p>
        </w:tc>
      </w:tr>
      <w:tr>
        <w:trPr>
          <w:cantSplit/>
        </w:trPr>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Month-to-month contract (early tenure)</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Offer an annual plan bundled with onboarding support</w:t>
            </w:r>
          </w:p>
        </w:tc>
      </w:tr>
      <w:tr>
        <w:trPr>
          <w:cantSplit/>
        </w:trPr>
        <w:tc>
          <w:tcPr>
            <w:tcW w:type="dxa" w:w="47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 monthly charges</w:t>
            </w:r>
          </w:p>
        </w:tc>
        <w:tc>
          <w:tcPr>
            <w:tcW w:type="dxa" w:w="4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 plan value and offer a targeted loyalty discount</w:t>
            </w:r>
          </w:p>
        </w:tc>
      </w:tr>
      <w:tr>
        <w:trPr>
          <w:cantSplit/>
        </w:trPr>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technical support subscribed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Offer a free technical-support trial</w:t>
            </w:r>
          </w:p>
        </w:tc>
      </w:tr>
      <w:tr>
        <w:trPr>
          <w:cantSplit/>
        </w:trPr>
        <w:tc>
          <w:tcPr>
            <w:tcW w:type="dxa" w:w="47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Electronic-check payment method</w:t>
            </w:r>
          </w:p>
        </w:tc>
        <w:tc>
          <w:tcPr>
            <w:tcW w:type="dxa" w:w="4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Promote enrollment in an automatic payment option</w:t>
            </w:r>
          </w:p>
        </w:tc>
      </w:tr>
      <w:tr>
        <w:trPr>
          <w:cantSplit/>
        </w:trPr>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online security subscribed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Bundle a security add-on with a retention offer</w:t>
            </w:r>
          </w:p>
        </w:tc>
      </w:tr>
      <w:tr>
        <w:trPr>
          <w:cantSplit/>
        </w:trPr>
        <w:tc>
          <w:tcPr>
            <w:tcW w:type="dxa" w:w="47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General churn risk (no dominant driver)</w:t>
            </w:r>
          </w:p>
        </w:tc>
        <w:tc>
          <w:tcPr>
            <w:tcW w:type="dxa" w:w="4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Send a personalized retention outreach communication</w:t>
            </w:r>
          </w:p>
        </w:tc>
      </w:tr>
    </w:tbl>
    <w:p>
      <w:pPr>
        <w:spacing w:after="160" w:line="300"/>
        <w:jc w:val="both"/>
      </w:pPr>
      <w:r>
        <w:rPr>
          <w:rFonts w:ascii="Calibri" w:cs="Calibri" w:eastAsia="Calibri" w:hAnsi="Calibri"/>
          <w:sz w:val="22"/>
          <w:szCs w:val="22"/>
        </w:rPr>
        <w:t xml:space="preserve"/>
      </w:r>
    </w:p>
    <w:p>
      <w:pPr>
        <w:spacing w:after="160" w:line="300"/>
        <w:jc w:val="both"/>
      </w:pPr>
      <w:r>
        <w:rPr>
          <w:rFonts w:ascii="Calibri" w:cs="Calibri" w:eastAsia="Calibri" w:hAnsi="Calibri"/>
          <w:sz w:val="22"/>
          <w:szCs w:val="22"/>
        </w:rPr>
        <w:t xml:space="preserve">In addition to driver identification, the system estimates an illustrative revenue-at-risk value for each customer: customers in the High risk tier are assigned a revenue exposure equal to six months of their monthly charges, Medium risk customers are assigned three months, and Low risk customers are assigned no revenue exposure. This estimate is designed purely to help prioritize retention effort and budget allocation and is not intended as a precise financial forecast.</w:t>
      </w:r>
    </w:p>
    <w:p>
      <w:pPr>
        <w:pStyle w:val="Heading1"/>
        <w:pBdr>
          <w:bottom w:val="single" w:color="2E5395" w:sz="6" w:space="4"/>
        </w:pBdr>
        <w:spacing w:after="200" w:before="400"/>
      </w:pPr>
      <w:r>
        <w:rPr>
          <w:rFonts w:ascii="Calibri" w:cs="Calibri" w:eastAsia="Calibri" w:hAnsi="Calibri"/>
          <w:b/>
          <w:bCs/>
          <w:color w:val="1F3864"/>
          <w:sz w:val="30"/>
          <w:szCs w:val="30"/>
        </w:rPr>
        <w:t xml:space="preserve">12. Dashboard Modules</w:t>
      </w:r>
    </w:p>
    <w:p>
      <w:pPr>
        <w:spacing w:after="160" w:line="300"/>
        <w:jc w:val="both"/>
      </w:pPr>
      <w:r>
        <w:rPr>
          <w:rFonts w:ascii="Calibri" w:cs="Calibri" w:eastAsia="Calibri" w:hAnsi="Calibri"/>
          <w:sz w:val="22"/>
          <w:szCs w:val="22"/>
        </w:rPr>
        <w:t xml:space="preserve">The system is delivered as an interactive, multi-module Streamlit web application consisting of the following five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Module</w:t>
            </w:r>
          </w:p>
        </w:tc>
        <w:tc>
          <w:tcPr>
            <w:tcW w:type="dxa" w:w="67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Executive Overview</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High-level KPI summary including total customers, overall churn rate, customer counts by risk tier, and total estimated revenue at risk.</w:t>
            </w:r>
          </w:p>
        </w:tc>
      </w:tr>
      <w:tr>
        <w:trPr>
          <w:cantSplit/>
        </w:trP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Risk Analytics</w:t>
            </w:r>
          </w:p>
        </w:tc>
        <w:tc>
          <w:tcPr>
            <w:tcW w:type="dxa" w:w="6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Portfolio-level visual analysis of churn risk distribution across contract type, tenure, payment method, internet service and other segments using interactive Plotly charts.</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Customer 360</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searchable, filterable individual customer profile view showing account details, subscribed services, churn probability, risk tier, primary driver and recommended action for any selected customer.</w:t>
            </w:r>
          </w:p>
        </w:tc>
      </w:tr>
      <w:tr>
        <w:trPr>
          <w:cantSplit/>
        </w:trP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Retention Actions</w:t>
            </w:r>
          </w:p>
        </w:tc>
        <w:tc>
          <w:tcPr>
            <w:tcW w:type="dxa" w:w="67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prioritized, exportable action queue listing at-risk customers ranked by risk score, with the ability to export the list to CSV for use by the retention team.</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Performance</w:t>
            </w:r>
          </w:p>
        </w:tc>
        <w:tc>
          <w:tcPr>
            <w:tcW w:type="dxa" w:w="6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model evaluation metrics (accuracy, precision, recall, F1-score, ROC-AUC) to provide transparency into the reliability of the underlying predictions.</w:t>
            </w:r>
          </w:p>
        </w:tc>
      </w:tr>
    </w:tbl>
    <w:p>
      <w:pPr>
        <w:pStyle w:val="Heading1"/>
        <w:pBdr>
          <w:bottom w:val="single" w:color="2E5395" w:sz="6" w:space="4"/>
        </w:pBdr>
        <w:spacing w:after="200" w:before="400"/>
      </w:pPr>
      <w:r>
        <w:rPr>
          <w:rFonts w:ascii="Calibri" w:cs="Calibri" w:eastAsia="Calibri" w:hAnsi="Calibri"/>
          <w:b/>
          <w:bCs/>
          <w:color w:val="1F3864"/>
          <w:sz w:val="30"/>
          <w:szCs w:val="30"/>
        </w:rPr>
        <w:t xml:space="preserve">13. Implementation Details</w:t>
      </w:r>
    </w:p>
    <w:p>
      <w:pPr>
        <w:spacing w:after="160" w:line="300"/>
        <w:jc w:val="both"/>
      </w:pPr>
      <w:r>
        <w:rPr>
          <w:rFonts w:ascii="Calibri" w:cs="Calibri" w:eastAsia="Calibri" w:hAnsi="Calibri"/>
          <w:sz w:val="22"/>
          <w:szCs w:val="22"/>
        </w:rPr>
        <w:t xml:space="preserve">The project is implemented entirely in Python. The core machine learning logic, including data cleaning, feature engineering, pipeline construction, model training, scoring and business-rule application, is encapsulated in a dedicated module (churn_engine.py) that is independent of the user interface. This separation of concerns allows the scoring engine to be reused, tested or extended independently of the Streamlit dashboard.</w:t>
      </w:r>
    </w:p>
    <w:p>
      <w:pPr>
        <w:spacing w:after="160" w:line="300"/>
        <w:jc w:val="both"/>
      </w:pPr>
      <w:r>
        <w:rPr>
          <w:rFonts w:ascii="Calibri" w:cs="Calibri" w:eastAsia="Calibri" w:hAnsi="Calibri"/>
          <w:sz w:val="22"/>
          <w:szCs w:val="22"/>
        </w:rPr>
        <w:t xml:space="preserve">The dashboard itself (app.py) consumes the scored dataset produced by the engine and renders it across the five modules described above, offering search, filtering by contract type and risk level, and CSV export functionality for the retention action queue. Configuration for the Streamlit application, including theme settings, is managed through a dedicated configuration file, and a batch script is provided to simplify local execution on Windows environments.</w:t>
      </w:r>
    </w:p>
    <w:p>
      <w:pPr>
        <w:pStyle w:val="Heading1"/>
        <w:pBdr>
          <w:bottom w:val="single" w:color="2E5395" w:sz="6" w:space="4"/>
        </w:pBdr>
        <w:spacing w:after="200" w:before="400"/>
      </w:pPr>
      <w:r>
        <w:rPr>
          <w:rFonts w:ascii="Calibri" w:cs="Calibri" w:eastAsia="Calibri" w:hAnsi="Calibri"/>
          <w:b/>
          <w:bCs/>
          <w:color w:val="1F3864"/>
          <w:sz w:val="30"/>
          <w:szCs w:val="30"/>
        </w:rPr>
        <w:t xml:space="preserve">14. Testing and Validation</w:t>
      </w:r>
    </w:p>
    <w:p>
      <w:pPr>
        <w:spacing w:after="160" w:line="300"/>
        <w:jc w:val="both"/>
      </w:pPr>
      <w:r>
        <w:rPr>
          <w:rFonts w:ascii="Calibri" w:cs="Calibri" w:eastAsia="Calibri" w:hAnsi="Calibri"/>
          <w:sz w:val="22"/>
          <w:szCs w:val="22"/>
        </w:rPr>
        <w:t xml:space="preserve">The trained model was validated using a held-out test split that was not used during training, ensuring an unbiased estimate of predictive performance. Stratified sampling was used during the train-test split to preserve the true proportion of churned and retained customers in both subsets. The evaluation covers multiple complementary metrics (accuracy, precision, recall, F1-score and ROC-AUC) rather than a single measure, since accuracy alone can be misleading on an imbalanced classification problem such as churn prediction.</w:t>
      </w:r>
    </w:p>
    <w:p>
      <w:pPr>
        <w:spacing w:after="160" w:line="300"/>
        <w:jc w:val="both"/>
      </w:pPr>
      <w:r>
        <w:rPr>
          <w:rFonts w:ascii="Calibri" w:cs="Calibri" w:eastAsia="Calibri" w:hAnsi="Calibri"/>
          <w:sz w:val="22"/>
          <w:szCs w:val="22"/>
        </w:rPr>
        <w:t xml:space="preserve">The application was also functionally tested end-to-end, including the automatic dataset download path, the fallback demonstration data generator, and each dashboard module, to confirm that the system remains usable even when the primary data source is temporarily unavailable.</w:t>
      </w:r>
    </w:p>
    <w:p>
      <w:pPr>
        <w:pStyle w:val="Heading1"/>
        <w:pBdr>
          <w:bottom w:val="single" w:color="2E5395" w:sz="6" w:space="4"/>
        </w:pBdr>
        <w:spacing w:after="200" w:before="400"/>
      </w:pPr>
      <w:r>
        <w:rPr>
          <w:rFonts w:ascii="Calibri" w:cs="Calibri" w:eastAsia="Calibri" w:hAnsi="Calibri"/>
          <w:b/>
          <w:bCs/>
          <w:color w:val="1F3864"/>
          <w:sz w:val="30"/>
          <w:szCs w:val="30"/>
        </w:rPr>
        <w:t xml:space="preserve">15. Results and Discussion</w:t>
      </w:r>
    </w:p>
    <w:p>
      <w:pPr>
        <w:spacing w:after="160" w:line="300"/>
        <w:jc w:val="both"/>
      </w:pPr>
      <w:r>
        <w:rPr>
          <w:rFonts w:ascii="Calibri" w:cs="Calibri" w:eastAsia="Calibri" w:hAnsi="Calibri"/>
          <w:sz w:val="22"/>
          <w:szCs w:val="22"/>
        </w:rPr>
        <w:t xml:space="preserve">The trained Logistic Regression model successfully differentiates between customers likely to churn and customers likely to remain, as reflected in its ROC-AUC performance on the held-out test set. The risk-tiering scheme translates this continuous probability into clear, operationally meaningful categories that a retention team can act on directly, without needing to interpret raw probability values.</w:t>
      </w:r>
    </w:p>
    <w:p>
      <w:pPr>
        <w:spacing w:after="160" w:line="300"/>
        <w:jc w:val="both"/>
      </w:pPr>
      <w:r>
        <w:rPr>
          <w:rFonts w:ascii="Calibri" w:cs="Calibri" w:eastAsia="Calibri" w:hAnsi="Calibri"/>
          <w:sz w:val="22"/>
          <w:szCs w:val="22"/>
        </w:rPr>
        <w:t xml:space="preserve">The business logic layer adds significant practical value beyond the raw prediction by surfacing an interpretable driver and a specific recommended action for every customer, which directly addresses the common industry gap between predictive accuracy and actionable business insight. The dashboard's modular design allows both an aggregate, portfolio-level view (Executive Overview and Risk Analytics) and a granular, individual-level view (Customer 360), supporting decision-making at multiple organizational levels.</w:t>
      </w:r>
    </w:p>
    <w:p>
      <w:pPr>
        <w:pStyle w:val="Heading1"/>
        <w:pBdr>
          <w:bottom w:val="single" w:color="2E5395" w:sz="6" w:space="4"/>
        </w:pBdr>
        <w:spacing w:after="200" w:before="400"/>
      </w:pPr>
      <w:r>
        <w:rPr>
          <w:rFonts w:ascii="Calibri" w:cs="Calibri" w:eastAsia="Calibri" w:hAnsi="Calibri"/>
          <w:b/>
          <w:bCs/>
          <w:color w:val="1F3864"/>
          <w:sz w:val="30"/>
          <w:szCs w:val="30"/>
        </w:rPr>
        <w:t xml:space="preserve">16. Limitations</w:t>
      </w:r>
    </w:p>
    <w:p>
      <w:pPr>
        <w:pStyle w:val="ListParagraph"/>
        <w:numPr>
          <w:ilvl w:val="0"/>
          <w:numId w:val="3"/>
        </w:numPr>
        <w:spacing w:after="90"/>
      </w:pPr>
      <w:r>
        <w:rPr>
          <w:rFonts w:ascii="Calibri" w:cs="Calibri" w:eastAsia="Calibri" w:hAnsi="Calibri"/>
          <w:sz w:val="22"/>
          <w:szCs w:val="22"/>
        </w:rPr>
        <w:t xml:space="preserve">The source dataset is a cross-sectional sample rather than a longitudinal event history, which limits the ability to perform true time-based backtesting of predictions.</w:t>
      </w:r>
    </w:p>
    <w:p>
      <w:pPr>
        <w:pStyle w:val="ListParagraph"/>
        <w:numPr>
          <w:ilvl w:val="0"/>
          <w:numId w:val="3"/>
        </w:numPr>
        <w:spacing w:after="90"/>
      </w:pPr>
      <w:r>
        <w:rPr>
          <w:rFonts w:ascii="Calibri" w:cs="Calibri" w:eastAsia="Calibri" w:hAnsi="Calibri"/>
          <w:sz w:val="22"/>
          <w:szCs w:val="22"/>
        </w:rPr>
        <w:t xml:space="preserve">The retention action recommendations are derived from interpretable business rules rather than causal inference, and should be validated by a business retention team before large-scale deployment.</w:t>
      </w:r>
    </w:p>
    <w:p>
      <w:pPr>
        <w:pStyle w:val="ListParagraph"/>
        <w:numPr>
          <w:ilvl w:val="0"/>
          <w:numId w:val="3"/>
        </w:numPr>
        <w:spacing w:after="90"/>
      </w:pPr>
      <w:r>
        <w:rPr>
          <w:rFonts w:ascii="Calibri" w:cs="Calibri" w:eastAsia="Calibri" w:hAnsi="Calibri"/>
          <w:sz w:val="22"/>
          <w:szCs w:val="22"/>
        </w:rPr>
        <w:t xml:space="preserve">Revenue-at-risk figures are illustrative prioritization estimates rather than precise financial forecasts.</w:t>
      </w:r>
    </w:p>
    <w:p>
      <w:pPr>
        <w:pStyle w:val="ListParagraph"/>
        <w:numPr>
          <w:ilvl w:val="0"/>
          <w:numId w:val="3"/>
        </w:numPr>
        <w:spacing w:after="90"/>
      </w:pPr>
      <w:r>
        <w:rPr>
          <w:rFonts w:ascii="Calibri" w:cs="Calibri" w:eastAsia="Calibri" w:hAnsi="Calibri"/>
          <w:sz w:val="22"/>
          <w:szCs w:val="22"/>
        </w:rPr>
        <w:t xml:space="preserve">The current model uses a single algorithm (Logistic Regression); performance has not yet been benchmarked against more complex ensemble methods.</w:t>
      </w:r>
    </w:p>
    <w:p>
      <w:pPr>
        <w:pStyle w:val="Heading1"/>
        <w:pBdr>
          <w:bottom w:val="single" w:color="2E5395" w:sz="6" w:space="4"/>
        </w:pBdr>
        <w:spacing w:after="200" w:before="400"/>
      </w:pPr>
      <w:r>
        <w:rPr>
          <w:rFonts w:ascii="Calibri" w:cs="Calibri" w:eastAsia="Calibri" w:hAnsi="Calibri"/>
          <w:b/>
          <w:bCs/>
          <w:color w:val="1F3864"/>
          <w:sz w:val="30"/>
          <w:szCs w:val="30"/>
        </w:rPr>
        <w:t xml:space="preserve">17. Future Scope</w:t>
      </w:r>
    </w:p>
    <w:p>
      <w:pPr>
        <w:pStyle w:val="ListParagraph"/>
        <w:numPr>
          <w:ilvl w:val="0"/>
          <w:numId w:val="3"/>
        </w:numPr>
        <w:spacing w:after="90"/>
      </w:pPr>
      <w:r>
        <w:rPr>
          <w:rFonts w:ascii="Calibri" w:cs="Calibri" w:eastAsia="Calibri" w:hAnsi="Calibri"/>
          <w:sz w:val="22"/>
          <w:szCs w:val="22"/>
        </w:rPr>
        <w:t xml:space="preserve">Benchmarking against ensemble models such as XGBoost and LightGBM to evaluate potential accuracy improvements.</w:t>
      </w:r>
    </w:p>
    <w:p>
      <w:pPr>
        <w:pStyle w:val="ListParagraph"/>
        <w:numPr>
          <w:ilvl w:val="0"/>
          <w:numId w:val="3"/>
        </w:numPr>
        <w:spacing w:after="90"/>
      </w:pPr>
      <w:r>
        <w:rPr>
          <w:rFonts w:ascii="Calibri" w:cs="Calibri" w:eastAsia="Calibri" w:hAnsi="Calibri"/>
          <w:sz w:val="22"/>
          <w:szCs w:val="22"/>
        </w:rPr>
        <w:t xml:space="preserve">Incorporating SHAP (SHapley Additive exPlanations) values for more granular, per-feature model explainability.</w:t>
      </w:r>
    </w:p>
    <w:p>
      <w:pPr>
        <w:pStyle w:val="ListParagraph"/>
        <w:numPr>
          <w:ilvl w:val="0"/>
          <w:numId w:val="3"/>
        </w:numPr>
        <w:spacing w:after="90"/>
      </w:pPr>
      <w:r>
        <w:rPr>
          <w:rFonts w:ascii="Calibri" w:cs="Calibri" w:eastAsia="Calibri" w:hAnsi="Calibri"/>
          <w:sz w:val="22"/>
          <w:szCs w:val="22"/>
        </w:rPr>
        <w:t xml:space="preserve">Applying probability calibration techniques to further improve the reliability of predicted churn probabilities.</w:t>
      </w:r>
    </w:p>
    <w:p>
      <w:pPr>
        <w:pStyle w:val="ListParagraph"/>
        <w:numPr>
          <w:ilvl w:val="0"/>
          <w:numId w:val="3"/>
        </w:numPr>
        <w:spacing w:after="90"/>
      </w:pPr>
      <w:r>
        <w:rPr>
          <w:rFonts w:ascii="Calibri" w:cs="Calibri" w:eastAsia="Calibri" w:hAnsi="Calibri"/>
          <w:sz w:val="22"/>
          <w:szCs w:val="22"/>
        </w:rPr>
        <w:t xml:space="preserve">Introducing time-based validation using production data snapshots to better simulate real-world deployment conditions.</w:t>
      </w:r>
    </w:p>
    <w:p>
      <w:pPr>
        <w:pStyle w:val="ListParagraph"/>
        <w:numPr>
          <w:ilvl w:val="0"/>
          <w:numId w:val="3"/>
        </w:numPr>
        <w:spacing w:after="90"/>
      </w:pPr>
      <w:r>
        <w:rPr>
          <w:rFonts w:ascii="Calibri" w:cs="Calibri" w:eastAsia="Calibri" w:hAnsi="Calibri"/>
          <w:sz w:val="22"/>
          <w:szCs w:val="22"/>
        </w:rPr>
        <w:t xml:space="preserve">Integrating the system with CRM platforms to automate retention workflow triggers.</w:t>
      </w:r>
    </w:p>
    <w:p>
      <w:pPr>
        <w:pStyle w:val="ListParagraph"/>
        <w:numPr>
          <w:ilvl w:val="0"/>
          <w:numId w:val="3"/>
        </w:numPr>
        <w:spacing w:after="90"/>
      </w:pPr>
      <w:r>
        <w:rPr>
          <w:rFonts w:ascii="Calibri" w:cs="Calibri" w:eastAsia="Calibri" w:hAnsi="Calibri"/>
          <w:sz w:val="22"/>
          <w:szCs w:val="22"/>
        </w:rPr>
        <w:t xml:space="preserve">Designing and running A/B tests to measure the real-world effectiveness of recommended retention offers.</w:t>
      </w:r>
    </w:p>
    <w:p>
      <w:pPr>
        <w:pStyle w:val="ListParagraph"/>
        <w:numPr>
          <w:ilvl w:val="0"/>
          <w:numId w:val="3"/>
        </w:numPr>
        <w:spacing w:after="90"/>
      </w:pPr>
      <w:r>
        <w:rPr>
          <w:rFonts w:ascii="Calibri" w:cs="Calibri" w:eastAsia="Calibri" w:hAnsi="Calibri"/>
          <w:sz w:val="22"/>
          <w:szCs w:val="22"/>
        </w:rPr>
        <w:t xml:space="preserve">Applying cost-sensitive optimization techniques to align retention spending with budget constraints.</w:t>
      </w:r>
    </w:p>
    <w:p>
      <w:pPr>
        <w:pStyle w:val="Heading1"/>
        <w:pBdr>
          <w:bottom w:val="single" w:color="2E5395" w:sz="6" w:space="4"/>
        </w:pBdr>
        <w:spacing w:after="200" w:before="400"/>
      </w:pPr>
      <w:r>
        <w:rPr>
          <w:rFonts w:ascii="Calibri" w:cs="Calibri" w:eastAsia="Calibri" w:hAnsi="Calibri"/>
          <w:b/>
          <w:bCs/>
          <w:color w:val="1F3864"/>
          <w:sz w:val="30"/>
          <w:szCs w:val="30"/>
        </w:rPr>
        <w:t xml:space="preserve">18. Conclusion</w:t>
      </w:r>
    </w:p>
    <w:p>
      <w:pPr>
        <w:spacing w:after="160" w:line="300"/>
        <w:jc w:val="both"/>
      </w:pPr>
      <w:r>
        <w:rPr>
          <w:rFonts w:ascii="Calibri" w:cs="Calibri" w:eastAsia="Calibri" w:hAnsi="Calibri"/>
          <w:sz w:val="22"/>
          <w:szCs w:val="22"/>
        </w:rPr>
        <w:t xml:space="preserve">This project demonstrates a complete, practical approach to customer churn management that goes beyond simple prediction to deliver an actionable, explainable decision-support system. By combining a well-evaluated supervised learning model with a transparent business-rule layer and an accessible interactive dashboard, the system enables retention teams to identify, understand, and act on customer churn risk in a structured and prioritized manner. The modular architecture ensures the solution can be extended with more advanced modeling techniques, additional data sources, or deeper CRM integration in future iterations.</w:t>
      </w:r>
    </w:p>
    <w:p>
      <w:pPr>
        <w:pStyle w:val="Heading1"/>
        <w:pBdr>
          <w:bottom w:val="single" w:color="2E5395" w:sz="6" w:space="4"/>
        </w:pBdr>
        <w:spacing w:after="200" w:before="400"/>
      </w:pPr>
      <w:r>
        <w:rPr>
          <w:rFonts w:ascii="Calibri" w:cs="Calibri" w:eastAsia="Calibri" w:hAnsi="Calibri"/>
          <w:b/>
          <w:bCs/>
          <w:color w:val="1F3864"/>
          <w:sz w:val="30"/>
          <w:szCs w:val="30"/>
        </w:rPr>
        <w:t xml:space="preserve">19. References</w:t>
      </w:r>
    </w:p>
    <w:p>
      <w:pPr>
        <w:spacing w:after="160" w:line="300"/>
        <w:jc w:val="both"/>
      </w:pPr>
      <w:r>
        <w:rPr>
          <w:rFonts w:ascii="Calibri" w:cs="Calibri" w:eastAsia="Calibri" w:hAnsi="Calibri"/>
          <w:sz w:val="22"/>
          <w:szCs w:val="22"/>
        </w:rPr>
        <w:t xml:space="preserve">1. IBM Telco Customer Churn Dataset — Public sample dataset, IBM GitHub repository.</w:t>
      </w:r>
    </w:p>
    <w:p>
      <w:pPr>
        <w:spacing w:after="160" w:line="300"/>
        <w:jc w:val="both"/>
      </w:pPr>
      <w:r>
        <w:rPr>
          <w:rFonts w:ascii="Calibri" w:cs="Calibri" w:eastAsia="Calibri" w:hAnsi="Calibri"/>
          <w:sz w:val="22"/>
          <w:szCs w:val="22"/>
        </w:rPr>
        <w:t xml:space="preserve">2. Pedregosa, F. et al. Scikit-learn: Machine Learning in Python. Journal of Machine Learning Research, 2011.</w:t>
      </w:r>
    </w:p>
    <w:p>
      <w:pPr>
        <w:spacing w:after="160" w:line="300"/>
        <w:jc w:val="both"/>
      </w:pPr>
      <w:r>
        <w:rPr>
          <w:rFonts w:ascii="Calibri" w:cs="Calibri" w:eastAsia="Calibri" w:hAnsi="Calibri"/>
          <w:sz w:val="22"/>
          <w:szCs w:val="22"/>
        </w:rPr>
        <w:t xml:space="preserve">3. Streamlit Documentation — https://docs.streamlit.io</w:t>
      </w:r>
    </w:p>
    <w:p>
      <w:pPr>
        <w:spacing w:after="160" w:line="300"/>
        <w:jc w:val="both"/>
      </w:pPr>
      <w:r>
        <w:rPr>
          <w:rFonts w:ascii="Calibri" w:cs="Calibri" w:eastAsia="Calibri" w:hAnsi="Calibri"/>
          <w:sz w:val="22"/>
          <w:szCs w:val="22"/>
        </w:rPr>
        <w:t xml:space="preserve">4. Plotly Python Graphing Library Documentation — https://plotly.com/python/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Customer Churn Risk &amp; Retention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2026-09-22T17:25:05.090Z</dcterms:created>
  <dcterms:modified xsi:type="dcterms:W3CDTF">2026-09-22T17:25:05.101Z</dcterms:modified>
</cp:coreProperties>
</file>

<file path=docProps/custom.xml><?xml version="1.0" encoding="utf-8"?>
<Properties xmlns="http://schemas.openxmlformats.org/officeDocument/2006/custom-properties" xmlns:vt="http://schemas.openxmlformats.org/officeDocument/2006/docPropsVTypes"/>
</file>