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Arial" w:cs="Arial" w:eastAsia="Arial" w:hAnsi="Arial"/>
          <w:b/>
          <w:bCs/>
          <w:color w:val="1B2A4A"/>
          <w:sz w:val="40"/>
          <w:szCs w:val="40"/>
        </w:rPr>
        <w:t xml:space="preserve">Opportunity Intelligence Workflow</w:t>
      </w:r>
    </w:p>
    <w:p>
      <w:pPr>
        <w:spacing w:after="300"/>
      </w:pPr>
      <w:r>
        <w:rPr>
          <w:rFonts w:ascii="Arial" w:cs="Arial" w:eastAsia="Arial" w:hAnsi="Arial"/>
          <w:color w:val="2E6DA4"/>
          <w:sz w:val="32"/>
          <w:szCs w:val="32"/>
        </w:rPr>
        <w:t xml:space="preserve">Automated Pipeline Specification</w:t>
      </w:r>
    </w:p>
    <w:p>
      <w:pPr>
        <w:pBdr>
          <w:bottom w:val="single" w:color="008B8B" w:sz="2" w:space="1"/>
        </w:pBdr>
        <w:spacing w:after="200"/>
      </w:pPr>
    </w:p>
    <w:p>
      <w:pPr>
        <w:spacing w:after="200"/>
      </w:pPr>
      <w:r>
        <w:rPr>
          <w:rFonts w:ascii="Arial" w:cs="Arial" w:eastAsia="Arial" w:hAnsi="Arial"/>
          <w:color w:val="666666"/>
          <w:sz w:val="22"/>
          <w:szCs w:val="22"/>
        </w:rPr>
        <w:t xml:space="preserve">Daily monitoring, RAG-based qualification matching, and consolidated reporting for federal contract opportunities</w:t>
      </w:r>
    </w:p>
    <w:p>
      <w:pPr>
        <w:spacing w:after="400"/>
      </w:pPr>
    </w:p>
    <w:p>
      <w:pPr>
        <w:spacing w:after="80"/>
      </w:pPr>
      <w:r>
        <w:rPr>
          <w:rFonts w:ascii="Arial" w:cs="Arial" w:eastAsia="Arial" w:hAnsi="Arial"/>
          <w:color w:val="888888"/>
          <w:sz w:val="20"/>
          <w:szCs w:val="20"/>
        </w:rPr>
        <w:t xml:space="preserve">Changeis, Inc.  |  March 2026  |  Version 1.0</w:t>
      </w:r>
    </w:p>
    <w:p>
      <w:pPr>
        <w:spacing w:after="80"/>
      </w:pPr>
      <w:r>
        <w:rPr>
          <w:rFonts w:ascii="Arial" w:cs="Arial" w:eastAsia="Arial" w:hAnsi="Arial"/>
          <w:color w:val="888888"/>
          <w:sz w:val="20"/>
          <w:szCs w:val="20"/>
        </w:rPr>
        <w:t xml:space="preserve">Prepared for: Varun Malhotra, President</w:t>
      </w:r>
    </w:p>
    <w:p>
      <w:pPr>
        <w:sectPr>
          <w:pgSz w:w="12240" w:h="15840" w:orient="portrait"/>
          <w:pgMar w:top="1440" w:right="1440" w:bottom="1440" w:left="1440" w:header="708" w:footer="708" w:gutter="0"/>
          <w:pgNumType/>
          <w:docGrid w:linePitch="360"/>
        </w:sectPr>
      </w:pPr>
    </w:p>
    <w:p>
      <w:pPr>
        <w:pStyle w:val="Heading1"/>
        <w:spacing w:after="120" w:before="240"/>
      </w:pPr>
      <w:r>
        <w:rPr>
          <w:rFonts w:ascii="Calibri" w:cs="Calibri" w:eastAsia="Calibri" w:hAnsi="Calibri"/>
          <w:b/>
          <w:bCs/>
          <w:color w:val="002060"/>
          <w:sz w:val="36"/>
          <w:szCs w:val="36"/>
        </w:rPr>
        <w:t xml:space="preserve">1. Executive Summary</w:t>
      </w:r>
    </w:p>
    <w:p>
      <w:pPr>
        <w:spacing w:after="120" w:line="264"/>
      </w:pPr>
      <w:r>
        <w:rPr>
          <w:rFonts w:ascii="Georgia" w:cs="Georgia" w:eastAsia="Georgia" w:hAnsi="Georgia"/>
          <w:color w:val="222222"/>
          <w:sz w:val="22"/>
          <w:szCs w:val="22"/>
        </w:rPr>
        <w:t xml:space="preserve">The Changeis Opportunity Intelligence Workflow is an automated daily pipeline designed to systematically identify, evaluate, and report on federal contract opportunities relevant to Changeis, Inc. capabilities. The system continuously monitors two primary federal procurement data sources — the DHS Acquisition and Program Forecast System (APFS) and SAM.gov — filtering newly posted and updated solicitations through 46 NAICS codes that align with the firm's professional services portfolio. Each qualifying opportunity is then evaluated against the Changeis BD RAG Engine, which performs semantic matching against a corpus of past performance narratives and capability statements to produce a quantitative qualification score.</w:t>
      </w:r>
    </w:p>
    <w:p>
      <w:pPr>
        <w:spacing w:after="120" w:line="264"/>
      </w:pPr>
      <w:r>
        <w:rPr>
          <w:rFonts w:ascii="Georgia" w:cs="Georgia" w:eastAsia="Georgia" w:hAnsi="Georgia"/>
          <w:color w:val="222222"/>
          <w:sz w:val="22"/>
          <w:szCs w:val="22"/>
        </w:rPr>
        <w:t xml:space="preserve">The workflow operates as three coordinated scheduled tasks that execute sequentially each morning. Stage 1 fetches and processes DHS APFS forecast data at 8:00 AM AST. Stage 2 collects active SAM.gov opportunities at 9:00 AM AST. Stage 3, running at 10:00 AM AST, merges the results from both sources and delivers a consolidated intelligence email to leadership. Each opportunity is classified into tiered scoring — Strong, Moderate, or Low — based on its RAG composite score, enabling rapid prioritization of the daily pipeline.</w:t>
      </w:r>
    </w:p>
    <w:p>
      <w:pPr>
        <w:spacing w:after="120" w:line="264"/>
      </w:pPr>
      <w:r>
        <w:rPr>
          <w:rFonts w:ascii="Georgia" w:cs="Georgia" w:eastAsia="Georgia" w:hAnsi="Georgia"/>
          <w:color w:val="222222"/>
          <w:sz w:val="22"/>
          <w:szCs w:val="22"/>
        </w:rPr>
        <w:t xml:space="preserve">Beyond individual opportunity scoring, the system tracks NAICS code performance over time, providing a data-driven basis for refining the firm's targeting strategy. By aggregating RAG scores at the NAICS level, leadership gains visibility into which professional service categories consistently produce high-alignment opportunities and which may warrant removal from the filter set. This dual-purpose design — qualifying individual opportunities while validating overall targeting — ensures that the business development function becomes progressively more precise in its market focus.</w:t>
      </w:r>
    </w:p>
    <w:p>
      <w:r>
        <w:br w:type="page"/>
      </w:r>
    </w:p>
    <w:p>
      <w:pPr>
        <w:pStyle w:val="Heading1"/>
        <w:spacing w:after="120" w:before="240"/>
      </w:pPr>
      <w:r>
        <w:rPr>
          <w:rFonts w:ascii="Calibri" w:cs="Calibri" w:eastAsia="Calibri" w:hAnsi="Calibri"/>
          <w:b/>
          <w:bCs/>
          <w:color w:val="002060"/>
          <w:sz w:val="36"/>
          <w:szCs w:val="36"/>
        </w:rPr>
        <w:t xml:space="preserve">2. System Architecture</w:t>
      </w:r>
    </w:p>
    <w:p>
      <w:pPr>
        <w:pStyle w:val="Heading2"/>
        <w:spacing w:after="80" w:before="200"/>
      </w:pPr>
      <w:r>
        <w:rPr>
          <w:rFonts w:ascii="Calibri" w:cs="Calibri" w:eastAsia="Calibri" w:hAnsi="Calibri"/>
          <w:b/>
          <w:bCs/>
          <w:color w:val="333333"/>
          <w:sz w:val="28"/>
          <w:szCs w:val="28"/>
        </w:rPr>
        <w:t xml:space="preserve">2.1 Pipeline Overview</w:t>
      </w:r>
    </w:p>
    <w:p>
      <w:pPr>
        <w:spacing w:after="120" w:line="264"/>
      </w:pPr>
      <w:r>
        <w:rPr>
          <w:rFonts w:ascii="Georgia" w:cs="Georgia" w:eastAsia="Georgia" w:hAnsi="Georgia"/>
          <w:color w:val="222222"/>
          <w:sz w:val="22"/>
          <w:szCs w:val="22"/>
        </w:rPr>
        <w:t xml:space="preserve">The Opportunity Intelligence Workflow consists of three stages executed in sequence. Each stage is implemented as an independent scheduled task with its own cron identifier, allowing for individual monitoring and error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200"/>
        <w:gridCol w:w="1100"/>
        <w:gridCol w:w="3060"/>
      </w:tblGrid>
      <w:tr>
        <w:tc>
          <w:tcPr>
            <w:tcW w:type="dxa" w:w="6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Stage</w:t>
            </w:r>
          </w:p>
        </w:tc>
        <w:tc>
          <w:tcPr>
            <w:tcW w:type="dxa" w:w="2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Task Name</w:t>
            </w:r>
          </w:p>
        </w:tc>
        <w:tc>
          <w:tcPr>
            <w:tcW w:type="dxa" w:w="1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Schedule (AST)</w:t>
            </w:r>
          </w:p>
        </w:tc>
        <w:tc>
          <w:tcPr>
            <w:tcW w:type="dxa" w:w="1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Schedule (UTC)</w:t>
            </w:r>
          </w:p>
        </w:tc>
        <w:tc>
          <w:tcPr>
            <w:tcW w:type="dxa" w:w="11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Cron ID</w:t>
            </w:r>
          </w:p>
        </w:tc>
        <w:tc>
          <w:tcPr>
            <w:tcW w:type="dxa" w:w="30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Description</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w:t>
            </w:r>
          </w:p>
        </w:tc>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DHS APFS Daily Monitor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8:00 AM</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12:00 UTC</w:t>
            </w:r>
          </w:p>
        </w:tc>
        <w:tc>
          <w:tcPr>
            <w:tcW w:type="dxa" w:w="11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f7adf3cd</w:t>
            </w:r>
          </w:p>
        </w:tc>
        <w:tc>
          <w:tcPr>
            <w:tcW w:type="dxa" w:w="3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Fetches DHS forecast API, filters NAICS, diffs changes, runs RAG</w:t>
            </w:r>
          </w:p>
        </w:tc>
      </w:tr>
      <w:tr>
        <w:tc>
          <w:tcPr>
            <w:tcW w:type="dxa" w:w="6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2</w:t>
            </w:r>
          </w:p>
        </w:tc>
        <w:tc>
          <w:tcPr>
            <w:tcW w:type="dxa" w:w="2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SAM.gov Daily Opportunity Monitor</w:t>
            </w:r>
          </w:p>
        </w:tc>
        <w:tc>
          <w:tcPr>
            <w:tcW w:type="dxa" w:w="1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9:00 AM</w:t>
            </w:r>
          </w:p>
        </w:tc>
        <w:tc>
          <w:tcPr>
            <w:tcW w:type="dxa" w:w="1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13:00 UTC</w:t>
            </w:r>
          </w:p>
        </w:tc>
        <w:tc>
          <w:tcPr>
            <w:tcW w:type="dxa" w:w="11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30af1ae5</w:t>
            </w:r>
          </w:p>
        </w:tc>
        <w:tc>
          <w:tcPr>
            <w:tcW w:type="dxa" w:w="3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Browses SAM.gov by NAICS, diffs changes, runs RAG</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Daily Opportunity Intelligence Email</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10:00 AM</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14:00 UTC</w:t>
            </w:r>
          </w:p>
        </w:tc>
        <w:tc>
          <w:tcPr>
            <w:tcW w:type="dxa" w:w="11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b7a2f309</w:t>
            </w:r>
          </w:p>
        </w:tc>
        <w:tc>
          <w:tcPr>
            <w:tcW w:type="dxa" w:w="3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Merges results, builds HTML, emails to varun@changeis.com</w:t>
            </w:r>
          </w:p>
        </w:tc>
      </w:tr>
    </w:tbl>
    <w:p>
      <w:pPr>
        <w:spacing w:after="120"/>
      </w:pPr>
    </w:p>
    <w:p>
      <w:pPr>
        <w:pStyle w:val="Heading2"/>
        <w:spacing w:after="80" w:before="200"/>
      </w:pPr>
      <w:r>
        <w:rPr>
          <w:rFonts w:ascii="Calibri" w:cs="Calibri" w:eastAsia="Calibri" w:hAnsi="Calibri"/>
          <w:b/>
          <w:bCs/>
          <w:color w:val="333333"/>
          <w:sz w:val="28"/>
          <w:szCs w:val="28"/>
        </w:rPr>
        <w:t xml:space="preserve">2.2 Data Flow Diagram</w:t>
      </w:r>
    </w:p>
    <w:p>
      <w:pPr>
        <w:spacing w:after="120" w:line="264"/>
      </w:pPr>
      <w:r>
        <w:rPr>
          <w:rFonts w:ascii="Georgia" w:cs="Georgia" w:eastAsia="Georgia" w:hAnsi="Georgia"/>
          <w:color w:val="222222"/>
          <w:sz w:val="22"/>
          <w:szCs w:val="22"/>
        </w:rPr>
        <w:t xml:space="preserve">The following describes the data flow across the three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b/>
                <w:bCs/>
                <w:color w:val="002060"/>
                <w:sz w:val="22"/>
                <w:szCs w:val="22"/>
              </w:rPr>
              <w:t xml:space="preserve">Stage 1 Outputs (DHS APFS)</w:t>
            </w:r>
          </w:p>
          <w:p>
            <w:pPr>
              <w:spacing w:after="40"/>
            </w:pPr>
            <w:r>
              <w:rPr>
                <w:rFonts w:ascii="Calibri" w:cs="Calibri" w:eastAsia="Calibri" w:hAnsi="Calibri"/>
                <w:color w:val="333333"/>
                <w:sz w:val="22"/>
                <w:szCs w:val="22"/>
              </w:rPr>
              <w:t xml:space="preserve">apfs_rag_results.json — All new/updated opportunities with RAG scores and top matches</w:t>
            </w:r>
          </w:p>
          <w:p>
            <w:pPr>
              <w:spacing w:after="40"/>
            </w:pPr>
            <w:r>
              <w:rPr>
                <w:rFonts w:ascii="Calibri" w:cs="Calibri" w:eastAsia="Calibri" w:hAnsi="Calibri"/>
                <w:color w:val="333333"/>
                <w:sz w:val="22"/>
                <w:szCs w:val="22"/>
              </w:rPr>
              <w:t xml:space="preserve">apfs_naics_validation.json — Score aggregates by NAICS code for targeting validation</w:t>
            </w:r>
          </w:p>
          <w:p>
            <w:pPr>
              <w:spacing w:after="40"/>
            </w:pPr>
            <w:r>
              <w:rPr>
                <w:rFonts w:ascii="Calibri" w:cs="Calibri" w:eastAsia="Calibri" w:hAnsi="Calibri"/>
                <w:color w:val="333333"/>
                <w:sz w:val="22"/>
                <w:szCs w:val="22"/>
              </w:rPr>
              <w:t xml:space="preserve">apfs_previous.json — Current filtered data snapshot (becomes tomorrow's comparison baseline)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b/>
                <w:bCs/>
                <w:color w:val="002060"/>
                <w:sz w:val="22"/>
                <w:szCs w:val="22"/>
              </w:rPr>
              <w:t xml:space="preserve">Stage 2 Outputs (SAM.gov)</w:t>
            </w:r>
          </w:p>
          <w:p>
            <w:pPr>
              <w:spacing w:after="40"/>
            </w:pPr>
            <w:r>
              <w:rPr>
                <w:rFonts w:ascii="Calibri" w:cs="Calibri" w:eastAsia="Calibri" w:hAnsi="Calibri"/>
                <w:color w:val="333333"/>
                <w:sz w:val="22"/>
                <w:szCs w:val="22"/>
              </w:rPr>
              <w:t xml:space="preserve">sam_rag_results.json — All new/updated opportunities with RAG scores and top matches</w:t>
            </w:r>
          </w:p>
          <w:p>
            <w:pPr>
              <w:spacing w:after="40"/>
            </w:pPr>
            <w:r>
              <w:rPr>
                <w:rFonts w:ascii="Calibri" w:cs="Calibri" w:eastAsia="Calibri" w:hAnsi="Calibri"/>
                <w:color w:val="333333"/>
                <w:sz w:val="22"/>
                <w:szCs w:val="22"/>
              </w:rPr>
              <w:t xml:space="preserve">sam_naics_validation.json — Score aggregates by NAICS code for targeting validation</w:t>
            </w:r>
          </w:p>
          <w:p>
            <w:pPr>
              <w:spacing w:after="40"/>
            </w:pPr>
            <w:r>
              <w:rPr>
                <w:rFonts w:ascii="Calibri" w:cs="Calibri" w:eastAsia="Calibri" w:hAnsi="Calibri"/>
                <w:color w:val="333333"/>
                <w:sz w:val="22"/>
                <w:szCs w:val="22"/>
              </w:rPr>
              <w:t xml:space="preserve">sam_previous.json — Current data snapshot (becomes tomorrow's comparison baseline)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b/>
                <w:bCs/>
                <w:color w:val="002060"/>
                <w:sz w:val="22"/>
                <w:szCs w:val="22"/>
              </w:rPr>
              <w:t xml:space="preserve">Stage 3 Processing (Email Assembly)</w:t>
            </w:r>
          </w:p>
          <w:p>
            <w:pPr>
              <w:spacing w:after="40"/>
            </w:pPr>
            <w:r>
              <w:rPr>
                <w:rFonts w:ascii="Calibri" w:cs="Calibri" w:eastAsia="Calibri" w:hAnsi="Calibri"/>
                <w:color w:val="333333"/>
                <w:sz w:val="22"/>
                <w:szCs w:val="22"/>
              </w:rPr>
              <w:t xml:space="preserve">Reads both apfs_rag_results.json and sam_rag_results.json</w:t>
            </w:r>
          </w:p>
          <w:p>
            <w:pPr>
              <w:spacing w:after="40"/>
            </w:pPr>
            <w:r>
              <w:rPr>
                <w:rFonts w:ascii="Calibri" w:cs="Calibri" w:eastAsia="Calibri" w:hAnsi="Calibri"/>
                <w:color w:val="333333"/>
                <w:sz w:val="22"/>
                <w:szCs w:val="22"/>
              </w:rPr>
              <w:t xml:space="preserve">Merges, deduplicates, and sorts by RAG composite score</w:t>
            </w:r>
          </w:p>
          <w:p>
            <w:pPr>
              <w:spacing w:after="40"/>
            </w:pPr>
            <w:r>
              <w:rPr>
                <w:rFonts w:ascii="Calibri" w:cs="Calibri" w:eastAsia="Calibri" w:hAnsi="Calibri"/>
                <w:color w:val="333333"/>
                <w:sz w:val="22"/>
                <w:szCs w:val="22"/>
              </w:rPr>
              <w:t xml:space="preserve">Builds branded HTML email report (daily_email.html)</w:t>
            </w:r>
          </w:p>
          <w:p>
            <w:pPr>
              <w:spacing w:after="40"/>
            </w:pPr>
            <w:r>
              <w:rPr>
                <w:rFonts w:ascii="Calibri" w:cs="Calibri" w:eastAsia="Calibri" w:hAnsi="Calibri"/>
                <w:color w:val="333333"/>
                <w:sz w:val="22"/>
                <w:szCs w:val="22"/>
              </w:rPr>
              <w:t xml:space="preserve">Sends via Microsoft Outlook integration to varun@changeis.com</w:t>
            </w:r>
          </w:p>
          <w:p>
            <w:pPr>
              <w:spacing w:after="40"/>
            </w:pPr>
            <w:r>
              <w:rPr>
                <w:rFonts w:ascii="Calibri" w:cs="Calibri" w:eastAsia="Calibri" w:hAnsi="Calibri"/>
                <w:color w:val="333333"/>
                <w:sz w:val="22"/>
                <w:szCs w:val="22"/>
              </w:rPr>
              <w:t xml:space="preserve">Logs delivery status to email_log.json</w:t>
            </w:r>
          </w:p>
        </w:tc>
      </w:tr>
    </w:tbl>
    <w:p>
      <w:pPr>
        <w:spacing w:after="120"/>
      </w:pPr>
    </w:p>
    <w:p>
      <w:pPr>
        <w:pStyle w:val="Heading2"/>
        <w:spacing w:after="80" w:before="200"/>
      </w:pPr>
      <w:r>
        <w:rPr>
          <w:rFonts w:ascii="Calibri" w:cs="Calibri" w:eastAsia="Calibri" w:hAnsi="Calibri"/>
          <w:b/>
          <w:bCs/>
          <w:color w:val="333333"/>
          <w:sz w:val="28"/>
          <w:szCs w:val="28"/>
        </w:rPr>
        <w:t xml:space="preserve">2.3 External Dependencies</w:t>
      </w:r>
    </w:p>
    <w:p>
      <w:pPr>
        <w:spacing w:after="120" w:line="264"/>
      </w:pPr>
      <w:r>
        <w:rPr>
          <w:rFonts w:ascii="Georgia" w:cs="Georgia" w:eastAsia="Georgia" w:hAnsi="Georgia"/>
          <w:color w:val="222222"/>
          <w:sz w:val="22"/>
          <w:szCs w:val="22"/>
        </w:rPr>
        <w:t xml:space="preserve">The workflow relies on four external services, each with distinct access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000"/>
        <w:gridCol w:w="2060"/>
      </w:tblGrid>
      <w:tr>
        <w:tc>
          <w:tcPr>
            <w:tcW w:type="dxa" w:w="18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Service</w:t>
            </w:r>
          </w:p>
        </w:tc>
        <w:tc>
          <w:tcPr>
            <w:tcW w:type="dxa" w:w="3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Endpoint</w:t>
            </w:r>
          </w:p>
        </w:tc>
        <w:tc>
          <w:tcPr>
            <w:tcW w:type="dxa" w:w="2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Method</w:t>
            </w:r>
          </w:p>
        </w:tc>
        <w:tc>
          <w:tcPr>
            <w:tcW w:type="dxa" w:w="20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Authentication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DHS APFS API</w:t>
            </w:r>
          </w:p>
        </w:tc>
        <w:tc>
          <w:tcPr>
            <w:tcW w:type="dxa" w:w="3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https://apfs-cloud.dhs.gov/api/forecast/</w:t>
            </w:r>
          </w:p>
        </w:tc>
        <w:tc>
          <w:tcPr>
            <w:tcW w:type="dxa" w:w="2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REST (curl)</w:t>
            </w:r>
          </w:p>
        </w:tc>
        <w:tc>
          <w:tcPr>
            <w:tcW w:type="dxa" w:w="2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None (public)</w:t>
            </w:r>
          </w:p>
        </w:tc>
      </w:tr>
      <w:tr>
        <w:tc>
          <w:tcPr>
            <w:tcW w:type="dxa" w:w="18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SAM.gov</w:t>
            </w:r>
          </w:p>
        </w:tc>
        <w:tc>
          <w:tcPr>
            <w:tcW w:type="dxa" w:w="3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https://sam.gov</w:t>
            </w:r>
          </w:p>
        </w:tc>
        <w:tc>
          <w:tcPr>
            <w:tcW w:type="dxa" w:w="2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Browser automation</w:t>
            </w:r>
          </w:p>
        </w:tc>
        <w:tc>
          <w:tcPr>
            <w:tcW w:type="dxa" w:w="2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None (public, but robots.txt blocks direct fetch)</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Changeis BD RAG Engine</w:t>
            </w:r>
          </w:p>
        </w:tc>
        <w:tc>
          <w:tcPr>
            <w:tcW w:type="dxa" w:w="3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https://changeis-bd-rag-production.up.railway.app/match</w:t>
            </w:r>
          </w:p>
        </w:tc>
        <w:tc>
          <w:tcPr>
            <w:tcW w:type="dxa" w:w="2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REST (POST)</w:t>
            </w:r>
          </w:p>
        </w:tc>
        <w:tc>
          <w:tcPr>
            <w:tcW w:type="dxa" w:w="2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X-API-Key header</w:t>
            </w:r>
          </w:p>
        </w:tc>
      </w:tr>
      <w:tr>
        <w:tc>
          <w:tcPr>
            <w:tcW w:type="dxa" w:w="18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Microsoft Outlook</w:t>
            </w:r>
          </w:p>
        </w:tc>
        <w:tc>
          <w:tcPr>
            <w:tcW w:type="dxa" w:w="3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Connected integration</w:t>
            </w:r>
          </w:p>
        </w:tc>
        <w:tc>
          <w:tcPr>
            <w:tcW w:type="dxa" w:w="2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Outlook connector (send_email)</w:t>
            </w:r>
          </w:p>
        </w:tc>
        <w:tc>
          <w:tcPr>
            <w:tcW w:type="dxa" w:w="2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OAuth (pre-configured)</w:t>
            </w:r>
          </w:p>
        </w:tc>
      </w:tr>
    </w:tbl>
    <w:p>
      <w:r>
        <w:br w:type="page"/>
      </w:r>
    </w:p>
    <w:p>
      <w:pPr>
        <w:pStyle w:val="Heading1"/>
        <w:spacing w:after="120" w:before="240"/>
      </w:pPr>
      <w:r>
        <w:rPr>
          <w:rFonts w:ascii="Calibri" w:cs="Calibri" w:eastAsia="Calibri" w:hAnsi="Calibri"/>
          <w:b/>
          <w:bCs/>
          <w:color w:val="002060"/>
          <w:sz w:val="36"/>
          <w:szCs w:val="36"/>
        </w:rPr>
        <w:t xml:space="preserve">3. Stage 1: DHS APFS Monitor</w:t>
      </w:r>
    </w:p>
    <w:p>
      <w:pPr>
        <w:pStyle w:val="Heading2"/>
        <w:spacing w:after="80" w:before="200"/>
      </w:pPr>
      <w:r>
        <w:rPr>
          <w:rFonts w:ascii="Calibri" w:cs="Calibri" w:eastAsia="Calibri" w:hAnsi="Calibri"/>
          <w:b/>
          <w:bCs/>
          <w:color w:val="333333"/>
          <w:sz w:val="28"/>
          <w:szCs w:val="28"/>
        </w:rPr>
        <w:t xml:space="preserve">3.1 Data Acquisition</w:t>
      </w:r>
    </w:p>
    <w:p>
      <w:pPr>
        <w:spacing w:after="120" w:line="264"/>
      </w:pPr>
      <w:r>
        <w:rPr>
          <w:rFonts w:ascii="Georgia" w:cs="Georgia" w:eastAsia="Georgia" w:hAnsi="Georgia"/>
          <w:color w:val="222222"/>
          <w:sz w:val="22"/>
          <w:szCs w:val="22"/>
        </w:rPr>
        <w:t xml:space="preserve">Stage 1 acquires data from the DHS Acquisition and Program Forecast System (APFS) via its public REST API. The system fetches the full forecast dataset, which contains upcoming DHS procurement actions with associated NAICS codes, dollar ranges, and timeline information.</w:t>
      </w:r>
    </w:p>
    <w:p>
      <w:pPr>
        <w:pStyle w:val="ListParagraph"/>
        <w:numPr>
          <w:ilvl w:val="0"/>
          <w:numId w:val="2"/>
        </w:numPr>
        <w:spacing w:after="60" w:line="264"/>
      </w:pPr>
      <w:r>
        <w:rPr>
          <w:rFonts w:ascii="Georgia" w:cs="Georgia" w:eastAsia="Georgia" w:hAnsi="Georgia"/>
          <w:b/>
          <w:bCs/>
          <w:color w:val="222222"/>
          <w:sz w:val="22"/>
          <w:szCs w:val="22"/>
        </w:rPr>
        <w:t xml:space="preserve">Endpoint: </w:t>
      </w:r>
      <w:r>
        <w:rPr>
          <w:rFonts w:ascii="Georgia" w:cs="Georgia" w:eastAsia="Georgia" w:hAnsi="Georgia"/>
          <w:color w:val="222222"/>
          <w:sz w:val="22"/>
          <w:szCs w:val="22"/>
        </w:rPr>
        <w:t xml:space="preserve">https://apfs-cloud.dhs.gov/api/forecast/</w:t>
      </w:r>
    </w:p>
    <w:p>
      <w:pPr>
        <w:pStyle w:val="ListParagraph"/>
        <w:numPr>
          <w:ilvl w:val="0"/>
          <w:numId w:val="2"/>
        </w:numPr>
        <w:spacing w:after="60" w:line="264"/>
      </w:pPr>
      <w:r>
        <w:rPr>
          <w:rFonts w:ascii="Georgia" w:cs="Georgia" w:eastAsia="Georgia" w:hAnsi="Georgia"/>
          <w:b/>
          <w:bCs/>
          <w:color w:val="222222"/>
          <w:sz w:val="22"/>
          <w:szCs w:val="22"/>
        </w:rPr>
        <w:t xml:space="preserve">Method: </w:t>
      </w:r>
      <w:r>
        <w:rPr>
          <w:rFonts w:ascii="Georgia" w:cs="Georgia" w:eastAsia="Georgia" w:hAnsi="Georgia"/>
          <w:color w:val="222222"/>
          <w:sz w:val="22"/>
          <w:szCs w:val="22"/>
        </w:rPr>
        <w:t xml:space="preserve">HTTP GET via curl with 120-second timeout</w:t>
      </w:r>
    </w:p>
    <w:p>
      <w:pPr>
        <w:pStyle w:val="ListParagraph"/>
        <w:numPr>
          <w:ilvl w:val="0"/>
          <w:numId w:val="2"/>
        </w:numPr>
        <w:spacing w:after="60" w:line="264"/>
      </w:pPr>
      <w:r>
        <w:rPr>
          <w:rFonts w:ascii="Georgia" w:cs="Georgia" w:eastAsia="Georgia" w:hAnsi="Georgia"/>
          <w:b/>
          <w:bCs/>
          <w:color w:val="222222"/>
          <w:sz w:val="22"/>
          <w:szCs w:val="22"/>
        </w:rPr>
        <w:t xml:space="preserve">Retry Logic: </w:t>
      </w:r>
      <w:r>
        <w:rPr>
          <w:rFonts w:ascii="Georgia" w:cs="Georgia" w:eastAsia="Georgia" w:hAnsi="Georgia"/>
          <w:color w:val="222222"/>
          <w:sz w:val="22"/>
          <w:szCs w:val="22"/>
        </w:rPr>
        <w:t xml:space="preserve">3 attempts with 10-second delay between failures</w:t>
      </w:r>
    </w:p>
    <w:p>
      <w:pPr>
        <w:pStyle w:val="ListParagraph"/>
        <w:numPr>
          <w:ilvl w:val="0"/>
          <w:numId w:val="2"/>
        </w:numPr>
        <w:spacing w:after="60" w:line="264"/>
      </w:pPr>
      <w:r>
        <w:rPr>
          <w:rFonts w:ascii="Georgia" w:cs="Georgia" w:eastAsia="Georgia" w:hAnsi="Georgia"/>
          <w:b/>
          <w:bCs/>
          <w:color w:val="222222"/>
          <w:sz w:val="22"/>
          <w:szCs w:val="22"/>
        </w:rPr>
        <w:t xml:space="preserve">Output: </w:t>
      </w:r>
      <w:r>
        <w:rPr>
          <w:rFonts w:ascii="Georgia" w:cs="Georgia" w:eastAsia="Georgia" w:hAnsi="Georgia"/>
          <w:color w:val="222222"/>
          <w:sz w:val="22"/>
          <w:szCs w:val="22"/>
        </w:rPr>
        <w:t xml:space="preserve">Raw JSON saved to cron_tracking/f7adf3cd/apfs_current_raw.json</w:t>
      </w:r>
    </w:p>
    <w:p>
      <w:pPr>
        <w:spacing w:after="120"/>
      </w:pPr>
    </w:p>
    <w:p>
      <w:pPr>
        <w:pStyle w:val="Heading2"/>
        <w:spacing w:after="80" w:before="200"/>
      </w:pPr>
      <w:r>
        <w:rPr>
          <w:rFonts w:ascii="Calibri" w:cs="Calibri" w:eastAsia="Calibri" w:hAnsi="Calibri"/>
          <w:b/>
          <w:bCs/>
          <w:color w:val="333333"/>
          <w:sz w:val="28"/>
          <w:szCs w:val="28"/>
        </w:rPr>
        <w:t xml:space="preserve">3.2 NAICS Filtering</w:t>
      </w:r>
    </w:p>
    <w:p>
      <w:pPr>
        <w:spacing w:after="120" w:line="264"/>
      </w:pPr>
      <w:r>
        <w:rPr>
          <w:rFonts w:ascii="Georgia" w:cs="Georgia" w:eastAsia="Georgia" w:hAnsi="Georgia"/>
          <w:color w:val="222222"/>
          <w:sz w:val="22"/>
          <w:szCs w:val="22"/>
        </w:rPr>
        <w:t xml:space="preserve">The raw APFS data is filtered against 46 NAICS codes spanning nine professional service categories. Of these, 11 codes are designated as priority targets based on direct alignment with Changeis core capabilities in IT services and management consulting. Priority codes are highlighted in green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300"/>
        <w:gridCol w:w="1060"/>
      </w:tblGrid>
      <w:tr>
        <w:tc>
          <w:tcPr>
            <w:tcW w:type="dxa" w:w="1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NAICS</w:t>
            </w:r>
          </w:p>
        </w:tc>
        <w:tc>
          <w:tcPr>
            <w:tcW w:type="dxa" w:w="5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Description</w:t>
            </w:r>
          </w:p>
        </w:tc>
        <w:tc>
          <w:tcPr>
            <w:tcW w:type="dxa" w:w="23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Category</w:t>
            </w:r>
          </w:p>
        </w:tc>
        <w:tc>
          <w:tcPr>
            <w:tcW w:type="dxa" w:w="10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Priority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541110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Offices of Lawyers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Legal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541120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Offices of Notaries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Legal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541191</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Title Abstract and Settlement Offices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Legal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541199</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All Other Legal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Legal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541211</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Offices of Certified Public Accountants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Accounting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541213</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Tax Preparation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Accounting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541214</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Payroll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Accounting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541219</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Accounting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Accounting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541310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Architectural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541320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Landscape Architectural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541330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Engineering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541340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Drafting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541350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Building Inspection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541360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Geophysical Surveying and Mapping</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541370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Surveying and Mapping (except Geophysical)</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541380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Testing Laboratories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Architecture &amp; Engineering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541410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Interior Design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Specialized Design</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541420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Industrial Design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Specialized Design</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541430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Graphic Design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Specialized Design</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541490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Specialized Design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Specialized Design</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541511</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Custom Computer Programming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IT / Computer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541512</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Computer Systems Design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IT / Computer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541513</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Computer Facilities Management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IT / Computer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541519</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Computer Related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IT / Computer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541611</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Administrative Management and General Management Consulting</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541612</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Human Resources Consulting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541613</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Marketing Consulting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541614</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Process, Physical Distribution, and Logistics Consulting</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541618</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Management Consulting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541620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Environmental Consulting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541690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Scientific and Technical Consulting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Management Consulting</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541710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R&amp;D in Physical, Engineering, and Life Sciences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Research &amp; Development</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541720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R&amp;D in Social Sciences and Humanities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Research &amp; Development</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541810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Agencies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541820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Public Relations Agencies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541830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Media Buying Agencies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541840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Media Representatives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541850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Outdoor Advertising</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541860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Direct Mail Advertising</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541890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Services Related to Advertising</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Advertising &amp; PR</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541910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Marketing Research and Public Opinion Polling</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541921</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Photography Studios, Portrait</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541922</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Commercial Photography</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22222"/>
                <w:sz w:val="20"/>
                <w:szCs w:val="20"/>
              </w:rPr>
              <w:t xml:space="preserve">541930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Translation and Interpretation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YES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541940</w:t>
            </w:r>
          </w:p>
        </w:tc>
        <w:tc>
          <w:tcPr>
            <w:tcW w:type="dxa" w:w="5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Veterinary Services</w:t>
            </w:r>
          </w:p>
        </w:tc>
        <w:tc>
          <w:tcPr>
            <w:tcW w:type="dxa" w:w="23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r>
        <w:tc>
          <w:tcPr>
            <w:tcW w:type="dxa" w:w="1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541990</w:t>
            </w:r>
          </w:p>
        </w:tc>
        <w:tc>
          <w:tcPr>
            <w:tcW w:type="dxa" w:w="5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All Other Professional, Scientific, and Technical Services</w:t>
            </w:r>
          </w:p>
        </w:tc>
        <w:tc>
          <w:tcPr>
            <w:tcW w:type="dxa" w:w="23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Other Professional Services</w:t>
            </w:r>
          </w:p>
        </w:tc>
        <w:tc>
          <w:tcPr>
            <w:tcW w:type="dxa" w:w="1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
            </w:r>
          </w:p>
        </w:tc>
      </w:tr>
    </w:tbl>
    <w:p>
      <w:pPr>
        <w:spacing w:after="120"/>
      </w:pPr>
    </w:p>
    <w:p>
      <w:pPr>
        <w:pStyle w:val="Heading2"/>
        <w:spacing w:after="80" w:before="200"/>
      </w:pPr>
      <w:r>
        <w:rPr>
          <w:rFonts w:ascii="Calibri" w:cs="Calibri" w:eastAsia="Calibri" w:hAnsi="Calibri"/>
          <w:b/>
          <w:bCs/>
          <w:color w:val="333333"/>
          <w:sz w:val="28"/>
          <w:szCs w:val="28"/>
        </w:rPr>
        <w:t xml:space="preserve">3.3 Change Detection</w:t>
      </w:r>
    </w:p>
    <w:p>
      <w:pPr>
        <w:spacing w:after="120" w:line="264"/>
      </w:pPr>
      <w:r>
        <w:rPr>
          <w:rFonts w:ascii="Georgia" w:cs="Georgia" w:eastAsia="Georgia" w:hAnsi="Georgia"/>
          <w:color w:val="222222"/>
          <w:sz w:val="22"/>
          <w:szCs w:val="22"/>
        </w:rPr>
        <w:t xml:space="preserve">After NAICS filtering, the pipeline compares the current dataset against the previous day's snapshot to identify new and updated records. This diff algorithm ensures that only meaningful changes trigger RAG evaluation, conserving API calls and focusing attention on actionable developments.</w:t>
      </w:r>
    </w:p>
    <w:p>
      <w:pPr>
        <w:pStyle w:val="ListParagraph"/>
        <w:numPr>
          <w:ilvl w:val="0"/>
          <w:numId w:val="2"/>
        </w:numPr>
        <w:spacing w:after="60" w:line="264"/>
      </w:pPr>
      <w:r>
        <w:rPr>
          <w:rFonts w:ascii="Georgia" w:cs="Georgia" w:eastAsia="Georgia" w:hAnsi="Georgia"/>
          <w:b/>
          <w:bCs/>
          <w:color w:val="222222"/>
          <w:sz w:val="22"/>
          <w:szCs w:val="22"/>
        </w:rPr>
        <w:t xml:space="preserve">Match Key: </w:t>
      </w:r>
      <w:r>
        <w:rPr>
          <w:rFonts w:ascii="Georgia" w:cs="Georgia" w:eastAsia="Georgia" w:hAnsi="Georgia"/>
          <w:color w:val="222222"/>
          <w:sz w:val="22"/>
          <w:szCs w:val="22"/>
        </w:rPr>
        <w:t xml:space="preserve">apfs_number field (unique identifier for each APFS forecast entry)</w:t>
      </w:r>
    </w:p>
    <w:p>
      <w:pPr>
        <w:pStyle w:val="ListParagraph"/>
        <w:numPr>
          <w:ilvl w:val="0"/>
          <w:numId w:val="2"/>
        </w:numPr>
        <w:spacing w:after="60" w:line="264"/>
      </w:pPr>
      <w:r>
        <w:rPr>
          <w:rFonts w:ascii="Georgia" w:cs="Georgia" w:eastAsia="Georgia" w:hAnsi="Georgia"/>
          <w:b/>
          <w:bCs/>
          <w:color w:val="222222"/>
          <w:sz w:val="22"/>
          <w:szCs w:val="22"/>
        </w:rPr>
        <w:t xml:space="preserve">NEW: </w:t>
      </w:r>
      <w:r>
        <w:rPr>
          <w:rFonts w:ascii="Georgia" w:cs="Georgia" w:eastAsia="Georgia" w:hAnsi="Georgia"/>
          <w:color w:val="222222"/>
          <w:sz w:val="22"/>
          <w:szCs w:val="22"/>
        </w:rPr>
        <w:t xml:space="preserve">An apfs_number present in today's data but absent from apfs_previous.json</w:t>
      </w:r>
    </w:p>
    <w:p>
      <w:pPr>
        <w:pStyle w:val="ListParagraph"/>
        <w:numPr>
          <w:ilvl w:val="0"/>
          <w:numId w:val="2"/>
        </w:numPr>
        <w:spacing w:after="60" w:line="264"/>
      </w:pPr>
      <w:r>
        <w:rPr>
          <w:rFonts w:ascii="Georgia" w:cs="Georgia" w:eastAsia="Georgia" w:hAnsi="Georgia"/>
          <w:b/>
          <w:bCs/>
          <w:color w:val="222222"/>
          <w:sz w:val="22"/>
          <w:szCs w:val="22"/>
        </w:rPr>
        <w:t xml:space="preserve">UPDATED: </w:t>
      </w:r>
      <w:r>
        <w:rPr>
          <w:rFonts w:ascii="Georgia" w:cs="Georgia" w:eastAsia="Georgia" w:hAnsi="Georgia"/>
          <w:color w:val="222222"/>
          <w:sz w:val="22"/>
          <w:szCs w:val="22"/>
        </w:rPr>
        <w:t xml:space="preserve">An apfs_number present in both datasets but with a different last_updated_date or published_date</w:t>
      </w:r>
    </w:p>
    <w:p>
      <w:pPr>
        <w:pStyle w:val="ListParagraph"/>
        <w:numPr>
          <w:ilvl w:val="0"/>
          <w:numId w:val="2"/>
        </w:numPr>
        <w:spacing w:after="60" w:line="264"/>
      </w:pPr>
      <w:r>
        <w:rPr>
          <w:rFonts w:ascii="Georgia" w:cs="Georgia" w:eastAsia="Georgia" w:hAnsi="Georgia"/>
          <w:b/>
          <w:bCs/>
          <w:color w:val="222222"/>
          <w:sz w:val="22"/>
          <w:szCs w:val="22"/>
        </w:rPr>
        <w:t xml:space="preserve">Output: </w:t>
      </w:r>
      <w:r>
        <w:rPr>
          <w:rFonts w:ascii="Georgia" w:cs="Georgia" w:eastAsia="Georgia" w:hAnsi="Georgia"/>
          <w:color w:val="222222"/>
          <w:sz w:val="22"/>
          <w:szCs w:val="22"/>
        </w:rPr>
        <w:t xml:space="preserve">Change summary saved to apfs_changes.json with full record details</w:t>
      </w:r>
    </w:p>
    <w:p>
      <w:pPr>
        <w:spacing w:after="120"/>
      </w:pPr>
    </w:p>
    <w:p>
      <w:pPr>
        <w:pStyle w:val="Heading2"/>
        <w:spacing w:after="80" w:before="200"/>
      </w:pPr>
      <w:r>
        <w:rPr>
          <w:rFonts w:ascii="Calibri" w:cs="Calibri" w:eastAsia="Calibri" w:hAnsi="Calibri"/>
          <w:b/>
          <w:bCs/>
          <w:color w:val="333333"/>
          <w:sz w:val="28"/>
          <w:szCs w:val="28"/>
        </w:rPr>
        <w:t xml:space="preserve">3.4 RAG Qualification Matching</w:t>
      </w:r>
    </w:p>
    <w:p>
      <w:pPr>
        <w:spacing w:after="120" w:line="264"/>
      </w:pPr>
      <w:r>
        <w:rPr>
          <w:rFonts w:ascii="Georgia" w:cs="Georgia" w:eastAsia="Georgia" w:hAnsi="Georgia"/>
          <w:color w:val="222222"/>
          <w:sz w:val="22"/>
          <w:szCs w:val="22"/>
        </w:rPr>
        <w:t xml:space="preserve">Each new or updated opportunity is submitted to the Changeis BD RAG Engine for semantic matching against the past performance corpus. The engine returns the top three most similar past performance records with composite scores, enabling rapid assessment of qualification alignment.</w:t>
      </w:r>
    </w:p>
    <w:p>
      <w:pPr>
        <w:pStyle w:val="ListParagraph"/>
        <w:numPr>
          <w:ilvl w:val="0"/>
          <w:numId w:val="2"/>
        </w:numPr>
        <w:spacing w:after="60" w:line="264"/>
      </w:pPr>
      <w:r>
        <w:rPr>
          <w:rFonts w:ascii="Georgia" w:cs="Georgia" w:eastAsia="Georgia" w:hAnsi="Georgia"/>
          <w:b/>
          <w:bCs/>
          <w:color w:val="222222"/>
          <w:sz w:val="22"/>
          <w:szCs w:val="22"/>
        </w:rPr>
        <w:t xml:space="preserve">Endpoint: </w:t>
      </w:r>
      <w:r>
        <w:rPr>
          <w:rFonts w:ascii="Georgia" w:cs="Georgia" w:eastAsia="Georgia" w:hAnsi="Georgia"/>
          <w:color w:val="222222"/>
          <w:sz w:val="22"/>
          <w:szCs w:val="22"/>
        </w:rPr>
        <w:t xml:space="preserve">POST https://changeis-bd-rag-production.up.railway.app/match</w:t>
      </w:r>
    </w:p>
    <w:p>
      <w:pPr>
        <w:pStyle w:val="ListParagraph"/>
        <w:numPr>
          <w:ilvl w:val="0"/>
          <w:numId w:val="2"/>
        </w:numPr>
        <w:spacing w:after="60" w:line="264"/>
      </w:pPr>
      <w:r>
        <w:rPr>
          <w:rFonts w:ascii="Georgia" w:cs="Georgia" w:eastAsia="Georgia" w:hAnsi="Georgia"/>
          <w:b/>
          <w:bCs/>
          <w:color w:val="222222"/>
          <w:sz w:val="22"/>
          <w:szCs w:val="22"/>
        </w:rPr>
        <w:t xml:space="preserve">Authentication: </w:t>
      </w:r>
      <w:r>
        <w:rPr>
          <w:rFonts w:ascii="Georgia" w:cs="Georgia" w:eastAsia="Georgia" w:hAnsi="Georgia"/>
          <w:color w:val="222222"/>
          <w:sz w:val="22"/>
          <w:szCs w:val="22"/>
        </w:rPr>
        <w:t xml:space="preserve">X-API-Key header</w:t>
      </w:r>
    </w:p>
    <w:p>
      <w:pPr>
        <w:pStyle w:val="ListParagraph"/>
        <w:numPr>
          <w:ilvl w:val="0"/>
          <w:numId w:val="2"/>
        </w:numPr>
        <w:spacing w:after="60" w:line="264"/>
      </w:pPr>
      <w:r>
        <w:rPr>
          <w:rFonts w:ascii="Georgia" w:cs="Georgia" w:eastAsia="Georgia" w:hAnsi="Georgia"/>
          <w:b/>
          <w:bCs/>
          <w:color w:val="222222"/>
          <w:sz w:val="22"/>
          <w:szCs w:val="22"/>
        </w:rPr>
        <w:t xml:space="preserve">Input: </w:t>
      </w:r>
      <w:r>
        <w:rPr>
          <w:rFonts w:ascii="Georgia" w:cs="Georgia" w:eastAsia="Georgia" w:hAnsi="Georgia"/>
          <w:color w:val="222222"/>
          <w:sz w:val="22"/>
          <w:szCs w:val="22"/>
        </w:rPr>
        <w:t xml:space="preserve">JSON body with "query" (opportunity title + requirement description) and "top_n": 3</w:t>
      </w:r>
    </w:p>
    <w:p>
      <w:pPr>
        <w:pStyle w:val="ListParagraph"/>
        <w:numPr>
          <w:ilvl w:val="0"/>
          <w:numId w:val="2"/>
        </w:numPr>
        <w:spacing w:after="60" w:line="264"/>
      </w:pPr>
      <w:r>
        <w:rPr>
          <w:rFonts w:ascii="Georgia" w:cs="Georgia" w:eastAsia="Georgia" w:hAnsi="Georgia"/>
          <w:b/>
          <w:bCs/>
          <w:color w:val="222222"/>
          <w:sz w:val="22"/>
          <w:szCs w:val="22"/>
        </w:rPr>
        <w:t xml:space="preserve">Retry Logic: </w:t>
      </w:r>
      <w:r>
        <w:rPr>
          <w:rFonts w:ascii="Georgia" w:cs="Georgia" w:eastAsia="Georgia" w:hAnsi="Georgia"/>
          <w:color w:val="222222"/>
          <w:sz w:val="22"/>
          <w:szCs w:val="22"/>
        </w:rPr>
        <w:t xml:space="preserve">3 attempts with exponential backoff (5s, 10s, 15s); 30-second timeout per call</w:t>
      </w:r>
    </w:p>
    <w:p>
      <w:pPr>
        <w:pStyle w:val="ListParagraph"/>
        <w:numPr>
          <w:ilvl w:val="0"/>
          <w:numId w:val="2"/>
        </w:numPr>
        <w:spacing w:after="60" w:line="264"/>
      </w:pPr>
      <w:r>
        <w:rPr>
          <w:rFonts w:ascii="Georgia" w:cs="Georgia" w:eastAsia="Georgia" w:hAnsi="Georgia"/>
          <w:b/>
          <w:bCs/>
          <w:color w:val="222222"/>
          <w:sz w:val="22"/>
          <w:szCs w:val="22"/>
        </w:rPr>
        <w:t xml:space="preserve">Output: </w:t>
      </w:r>
      <w:r>
        <w:rPr>
          <w:rFonts w:ascii="Georgia" w:cs="Georgia" w:eastAsia="Georgia" w:hAnsi="Georgia"/>
          <w:color w:val="222222"/>
          <w:sz w:val="22"/>
          <w:szCs w:val="22"/>
        </w:rPr>
        <w:t xml:space="preserve">Array of matches, each with task_order, composite_score, end_client, and text excerpt</w:t>
      </w:r>
    </w:p>
    <w:p>
      <w:pPr>
        <w:spacing w:after="120"/>
      </w:pPr>
    </w:p>
    <w:p>
      <w:pPr>
        <w:spacing w:after="120" w:line="264"/>
      </w:pPr>
      <w:r>
        <w:rPr>
          <w:rFonts w:ascii="Calibri" w:cs="Calibri" w:eastAsia="Calibri" w:hAnsi="Calibri"/>
          <w:b/>
          <w:bCs/>
          <w:color w:val="222222"/>
          <w:sz w:val="22"/>
          <w:szCs w:val="22"/>
        </w:rPr>
        <w:t xml:space="preserve">Scoring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Tier</w:t>
            </w:r>
          </w:p>
        </w:tc>
        <w:tc>
          <w:tcPr>
            <w:tcW w:type="dxa" w:w="2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Score Range</w:t>
            </w:r>
          </w:p>
        </w:tc>
        <w:tc>
          <w:tcPr>
            <w:tcW w:type="dxa" w:w="2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Color Code</w:t>
            </w:r>
          </w:p>
        </w:tc>
        <w:tc>
          <w:tcPr>
            <w:tcW w:type="dxa" w:w="33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Interpretation</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STRONG</w:t>
            </w:r>
          </w:p>
        </w:tc>
        <w:tc>
          <w:tcPr>
            <w:tcW w:type="dxa" w:w="2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0.65 and above</w:t>
            </w:r>
          </w:p>
        </w:tc>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#2D7D4A (Green)</w:t>
            </w:r>
          </w:p>
        </w:tc>
        <w:tc>
          <w:tcPr>
            <w:tcW w:type="dxa" w:w="33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High qualification match — pursue actively</w:t>
            </w:r>
          </w:p>
        </w:tc>
      </w:tr>
      <w:tr>
        <w:tc>
          <w:tcPr>
            <w:tcW w:type="dxa" w:w="1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MODERATE</w:t>
            </w:r>
          </w:p>
        </w:tc>
        <w:tc>
          <w:tcPr>
            <w:tcW w:type="dxa" w:w="2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0.50 – 0.64</w:t>
            </w:r>
          </w:p>
        </w:tc>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#D97D2A (Orange)</w:t>
            </w:r>
          </w:p>
        </w:tc>
        <w:tc>
          <w:tcPr>
            <w:tcW w:type="dxa" w:w="33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Partial match — evaluate for teaming or prime</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LOW</w:t>
            </w:r>
          </w:p>
        </w:tc>
        <w:tc>
          <w:tcPr>
            <w:tcW w:type="dxa" w:w="2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Below 0.50</w:t>
            </w:r>
          </w:p>
        </w:tc>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#888888 (Gray)</w:t>
            </w:r>
          </w:p>
        </w:tc>
        <w:tc>
          <w:tcPr>
            <w:tcW w:type="dxa" w:w="33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Low alignment — awareness only</w:t>
            </w:r>
          </w:p>
        </w:tc>
      </w:tr>
    </w:tbl>
    <w:p>
      <w:pPr>
        <w:spacing w:after="120"/>
      </w:pPr>
    </w:p>
    <w:p>
      <w:pPr>
        <w:pStyle w:val="Heading2"/>
        <w:spacing w:after="80" w:before="200"/>
      </w:pPr>
      <w:r>
        <w:rPr>
          <w:rFonts w:ascii="Calibri" w:cs="Calibri" w:eastAsia="Calibri" w:hAnsi="Calibri"/>
          <w:b/>
          <w:bCs/>
          <w:color w:val="333333"/>
          <w:sz w:val="28"/>
          <w:szCs w:val="28"/>
        </w:rPr>
        <w:t xml:space="preserve">3.5 Output Files</w:t>
      </w:r>
    </w:p>
    <w:p>
      <w:pPr>
        <w:spacing w:after="120" w:line="264"/>
      </w:pPr>
      <w:r>
        <w:rPr>
          <w:rFonts w:ascii="Georgia" w:cs="Georgia" w:eastAsia="Georgia" w:hAnsi="Georgia"/>
          <w:color w:val="222222"/>
          <w:sz w:val="22"/>
          <w:szCs w:val="22"/>
        </w:rPr>
        <w:t xml:space="preserve">Stage 1 writes the following files to its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File</w:t>
            </w:r>
          </w:p>
        </w:tc>
        <w:tc>
          <w:tcPr>
            <w:tcW w:type="dxa" w:w="4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Path</w:t>
            </w:r>
          </w:p>
        </w:tc>
        <w:tc>
          <w:tcPr>
            <w:tcW w:type="dxa" w:w="37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Contents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RAG Results</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cron_tracking/f7adf3cd/apfs_rag_results.json</w:t>
            </w:r>
          </w:p>
        </w:tc>
        <w:tc>
          <w:tcPr>
            <w:tcW w:type="dxa" w:w="37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All new/updated opportunities with RAG scores and matches</w:t>
            </w:r>
          </w:p>
        </w:tc>
      </w:tr>
      <w:tr>
        <w:tc>
          <w:tcPr>
            <w:tcW w:type="dxa" w:w="16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NAICS Validation</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cron_tracking/f7adf3cd/apfs_naics_validation.json</w:t>
            </w:r>
          </w:p>
        </w:tc>
        <w:tc>
          <w:tcPr>
            <w:tcW w:type="dxa" w:w="37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Score aggregates by NAICS code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Change Log</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cron_tracking/f7adf3cd/apfs_changes.json</w:t>
            </w:r>
          </w:p>
        </w:tc>
        <w:tc>
          <w:tcPr>
            <w:tcW w:type="dxa" w:w="37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Full details of new/updated records</w:t>
            </w:r>
          </w:p>
        </w:tc>
      </w:tr>
      <w:tr>
        <w:tc>
          <w:tcPr>
            <w:tcW w:type="dxa" w:w="16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Baseline</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cron_tracking/f7adf3cd/apfs_previous.json</w:t>
            </w:r>
          </w:p>
        </w:tc>
        <w:tc>
          <w:tcPr>
            <w:tcW w:type="dxa" w:w="37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Current filtered data (becomes tomorrow's comparison)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Run Summary</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cron_tracking/f7adf3cd/run_summary.json</w:t>
            </w:r>
          </w:p>
        </w:tc>
        <w:tc>
          <w:tcPr>
            <w:tcW w:type="dxa" w:w="37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Counts and timestamp</w:t>
            </w:r>
          </w:p>
        </w:tc>
      </w:tr>
    </w:tbl>
    <w:p>
      <w:r>
        <w:br w:type="page"/>
      </w:r>
    </w:p>
    <w:p>
      <w:pPr>
        <w:pStyle w:val="Heading1"/>
        <w:spacing w:after="120" w:before="240"/>
      </w:pPr>
      <w:r>
        <w:rPr>
          <w:rFonts w:ascii="Calibri" w:cs="Calibri" w:eastAsia="Calibri" w:hAnsi="Calibri"/>
          <w:b/>
          <w:bCs/>
          <w:color w:val="002060"/>
          <w:sz w:val="36"/>
          <w:szCs w:val="36"/>
        </w:rPr>
        <w:t xml:space="preserve">4. Stage 2: SAM.gov Monitor</w:t>
      </w:r>
    </w:p>
    <w:p>
      <w:pPr>
        <w:pStyle w:val="Heading2"/>
        <w:spacing w:after="80" w:before="200"/>
      </w:pPr>
      <w:r>
        <w:rPr>
          <w:rFonts w:ascii="Calibri" w:cs="Calibri" w:eastAsia="Calibri" w:hAnsi="Calibri"/>
          <w:b/>
          <w:bCs/>
          <w:color w:val="333333"/>
          <w:sz w:val="28"/>
          <w:szCs w:val="28"/>
        </w:rPr>
        <w:t xml:space="preserve">4.1 Data Acquisition</w:t>
      </w:r>
    </w:p>
    <w:p>
      <w:pPr>
        <w:spacing w:after="120" w:line="264"/>
      </w:pPr>
      <w:r>
        <w:rPr>
          <w:rFonts w:ascii="Georgia" w:cs="Georgia" w:eastAsia="Georgia" w:hAnsi="Georgia"/>
          <w:color w:val="222222"/>
          <w:sz w:val="22"/>
          <w:szCs w:val="22"/>
        </w:rPr>
        <w:t xml:space="preserve">Stage 2 collects active opportunities from SAM.gov, the federal government's primary contract opportunity portal. Unlike APFS, SAM.gov does not provide a usable API for this purpose — the public API returns 404 responses for opportunity searches, and the site's robots.txt file blocks direct fetch operations. Consequently, the pipeline uses browser automation to perform structured searches.</w:t>
      </w:r>
    </w:p>
    <w:p>
      <w:pPr>
        <w:pStyle w:val="ListParagraph"/>
        <w:numPr>
          <w:ilvl w:val="0"/>
          <w:numId w:val="2"/>
        </w:numPr>
        <w:spacing w:after="60" w:line="264"/>
      </w:pPr>
      <w:r>
        <w:rPr>
          <w:rFonts w:ascii="Georgia" w:cs="Georgia" w:eastAsia="Georgia" w:hAnsi="Georgia"/>
          <w:b/>
          <w:bCs/>
          <w:color w:val="222222"/>
          <w:sz w:val="22"/>
          <w:szCs w:val="22"/>
        </w:rPr>
        <w:t xml:space="preserve">Method: </w:t>
      </w:r>
      <w:r>
        <w:rPr>
          <w:rFonts w:ascii="Georgia" w:cs="Georgia" w:eastAsia="Georgia" w:hAnsi="Georgia"/>
          <w:color w:val="222222"/>
          <w:sz w:val="22"/>
          <w:szCs w:val="22"/>
        </w:rPr>
        <w:t xml:space="preserve">Browser automation (browser_task) — required due to API and fetch restrictions</w:t>
      </w:r>
    </w:p>
    <w:p>
      <w:pPr>
        <w:pStyle w:val="ListParagraph"/>
        <w:numPr>
          <w:ilvl w:val="0"/>
          <w:numId w:val="2"/>
        </w:numPr>
        <w:spacing w:after="60" w:line="264"/>
      </w:pPr>
      <w:r>
        <w:rPr>
          <w:rFonts w:ascii="Georgia" w:cs="Georgia" w:eastAsia="Georgia" w:hAnsi="Georgia"/>
          <w:b/>
          <w:bCs/>
          <w:color w:val="222222"/>
          <w:sz w:val="22"/>
          <w:szCs w:val="22"/>
        </w:rPr>
        <w:t xml:space="preserve">Search Scope: </w:t>
      </w:r>
      <w:r>
        <w:rPr>
          <w:rFonts w:ascii="Georgia" w:cs="Georgia" w:eastAsia="Georgia" w:hAnsi="Georgia"/>
          <w:color w:val="222222"/>
          <w:sz w:val="22"/>
          <w:szCs w:val="22"/>
        </w:rPr>
        <w:t xml:space="preserve">11 priority NAICS codes, searched individually</w:t>
      </w:r>
    </w:p>
    <w:p>
      <w:pPr>
        <w:pStyle w:val="ListParagraph"/>
        <w:numPr>
          <w:ilvl w:val="0"/>
          <w:numId w:val="2"/>
        </w:numPr>
        <w:spacing w:after="60" w:line="264"/>
      </w:pPr>
      <w:r>
        <w:rPr>
          <w:rFonts w:ascii="Georgia" w:cs="Georgia" w:eastAsia="Georgia" w:hAnsi="Georgia"/>
          <w:b/>
          <w:bCs/>
          <w:color w:val="222222"/>
          <w:sz w:val="22"/>
          <w:szCs w:val="22"/>
        </w:rPr>
        <w:t xml:space="preserve">URL Pattern: </w:t>
      </w:r>
      <w:r>
        <w:rPr>
          <w:rFonts w:ascii="Georgia" w:cs="Georgia" w:eastAsia="Georgia" w:hAnsi="Georgia"/>
          <w:color w:val="222222"/>
          <w:sz w:val="22"/>
          <w:szCs w:val="22"/>
        </w:rPr>
        <w:t xml:space="preserve">https://sam.gov/search/results?index=opp&amp;sort=-modifiedDate&amp;page=1&amp;pageSize=25&amp;sfm[status][is_active]=true&amp;sfm[dates][updatedDate][updatedDateSelect]=pastWeek&amp;sfm[naicsCodes][naicsCode]={NAICS_CODE}</w:t>
      </w:r>
    </w:p>
    <w:p>
      <w:pPr>
        <w:pStyle w:val="ListParagraph"/>
        <w:numPr>
          <w:ilvl w:val="0"/>
          <w:numId w:val="2"/>
        </w:numPr>
        <w:spacing w:after="60" w:line="264"/>
      </w:pPr>
      <w:r>
        <w:rPr>
          <w:rFonts w:ascii="Georgia" w:cs="Georgia" w:eastAsia="Georgia" w:hAnsi="Georgia"/>
          <w:b/>
          <w:bCs/>
          <w:color w:val="222222"/>
          <w:sz w:val="22"/>
          <w:szCs w:val="22"/>
        </w:rPr>
        <w:t xml:space="preserve">Extracted Fields: </w:t>
      </w:r>
      <w:r>
        <w:rPr>
          <w:rFonts w:ascii="Georgia" w:cs="Georgia" w:eastAsia="Georgia" w:hAnsi="Georgia"/>
          <w:color w:val="222222"/>
          <w:sz w:val="22"/>
          <w:szCs w:val="22"/>
        </w:rPr>
        <w:t xml:space="preserve">Title, solicitation number, agency, posted date, response deadline, set-aside type, description, SAM.gov link</w:t>
      </w:r>
    </w:p>
    <w:p>
      <w:pPr>
        <w:pStyle w:val="ListParagraph"/>
        <w:numPr>
          <w:ilvl w:val="0"/>
          <w:numId w:val="2"/>
        </w:numPr>
        <w:spacing w:after="60" w:line="264"/>
      </w:pPr>
      <w:r>
        <w:rPr>
          <w:rFonts w:ascii="Georgia" w:cs="Georgia" w:eastAsia="Georgia" w:hAnsi="Georgia"/>
          <w:b/>
          <w:bCs/>
          <w:color w:val="222222"/>
          <w:sz w:val="22"/>
          <w:szCs w:val="22"/>
        </w:rPr>
        <w:t xml:space="preserve">Deduplication: </w:t>
      </w:r>
      <w:r>
        <w:rPr>
          <w:rFonts w:ascii="Georgia" w:cs="Georgia" w:eastAsia="Georgia" w:hAnsi="Georgia"/>
          <w:color w:val="222222"/>
          <w:sz w:val="22"/>
          <w:szCs w:val="22"/>
        </w:rPr>
        <w:t xml:space="preserve">Results are deduplicated by solicitation number across all NAICS code searches</w:t>
      </w:r>
    </w:p>
    <w:p>
      <w:pPr>
        <w:spacing w:after="120"/>
      </w:pPr>
    </w:p>
    <w:p>
      <w:pPr>
        <w:pStyle w:val="Heading2"/>
        <w:spacing w:after="80" w:before="200"/>
      </w:pPr>
      <w:r>
        <w:rPr>
          <w:rFonts w:ascii="Calibri" w:cs="Calibri" w:eastAsia="Calibri" w:hAnsi="Calibri"/>
          <w:b/>
          <w:bCs/>
          <w:color w:val="333333"/>
          <w:sz w:val="28"/>
          <w:szCs w:val="28"/>
        </w:rPr>
        <w:t xml:space="preserve">4.2 Change Detection</w:t>
      </w:r>
    </w:p>
    <w:p>
      <w:pPr>
        <w:spacing w:after="120" w:line="264"/>
      </w:pPr>
      <w:r>
        <w:rPr>
          <w:rFonts w:ascii="Georgia" w:cs="Georgia" w:eastAsia="Georgia" w:hAnsi="Georgia"/>
          <w:color w:val="222222"/>
          <w:sz w:val="22"/>
          <w:szCs w:val="22"/>
        </w:rPr>
        <w:t xml:space="preserve">The change detection algorithm mirrors Stage 1 but uses solicitation_number as the match key instead of apfs_number. New solicitations not present in sam_previous.json are classified as NEW; existing solicitations with updated modification dates are classified as UPDATED. Only changed records proceed to RAG evaluation.</w:t>
      </w:r>
    </w:p>
    <w:p>
      <w:pPr>
        <w:spacing w:after="120"/>
      </w:pPr>
    </w:p>
    <w:p>
      <w:pPr>
        <w:pStyle w:val="Heading2"/>
        <w:spacing w:after="80" w:before="200"/>
      </w:pPr>
      <w:r>
        <w:rPr>
          <w:rFonts w:ascii="Calibri" w:cs="Calibri" w:eastAsia="Calibri" w:hAnsi="Calibri"/>
          <w:b/>
          <w:bCs/>
          <w:color w:val="333333"/>
          <w:sz w:val="28"/>
          <w:szCs w:val="28"/>
        </w:rPr>
        <w:t xml:space="preserve">4.3 RAG Qualification Matching</w:t>
      </w:r>
    </w:p>
    <w:p>
      <w:pPr>
        <w:spacing w:after="120" w:line="264"/>
      </w:pPr>
      <w:r>
        <w:rPr>
          <w:rFonts w:ascii="Georgia" w:cs="Georgia" w:eastAsia="Georgia" w:hAnsi="Georgia"/>
          <w:color w:val="222222"/>
          <w:sz w:val="22"/>
          <w:szCs w:val="22"/>
        </w:rPr>
        <w:t xml:space="preserve">The RAG matching process is identical to Stage 1. Each new or updated SAM.gov opportunity is submitted to the Changeis BD RAG Engine with a query constructed from the opportunity title and description (or agency context if no description is available). The query format is: "{title}. {description or agency context}".</w:t>
      </w:r>
    </w:p>
    <w:p>
      <w:pPr>
        <w:spacing w:after="120"/>
      </w:pPr>
    </w:p>
    <w:p>
      <w:pPr>
        <w:pStyle w:val="Heading2"/>
        <w:spacing w:after="80" w:before="200"/>
      </w:pPr>
      <w:r>
        <w:rPr>
          <w:rFonts w:ascii="Calibri" w:cs="Calibri" w:eastAsia="Calibri" w:hAnsi="Calibri"/>
          <w:b/>
          <w:bCs/>
          <w:color w:val="333333"/>
          <w:sz w:val="28"/>
          <w:szCs w:val="28"/>
        </w:rPr>
        <w:t xml:space="preserve">4.4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File</w:t>
            </w:r>
          </w:p>
        </w:tc>
        <w:tc>
          <w:tcPr>
            <w:tcW w:type="dxa" w:w="4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Path</w:t>
            </w:r>
          </w:p>
        </w:tc>
        <w:tc>
          <w:tcPr>
            <w:tcW w:type="dxa" w:w="37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Contents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RAG Results</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cron_tracking/30af1ae5/sam_rag_results.json</w:t>
            </w:r>
          </w:p>
        </w:tc>
        <w:tc>
          <w:tcPr>
            <w:tcW w:type="dxa" w:w="37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All new/updated opportunities with RAG scores</w:t>
            </w:r>
          </w:p>
        </w:tc>
      </w:tr>
      <w:tr>
        <w:tc>
          <w:tcPr>
            <w:tcW w:type="dxa" w:w="16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NAICS Validation</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cron_tracking/30af1ae5/sam_naics_validation.json</w:t>
            </w:r>
          </w:p>
        </w:tc>
        <w:tc>
          <w:tcPr>
            <w:tcW w:type="dxa" w:w="37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Score aggregates by NAICS code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Change Log</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cron_tracking/30af1ae5/sam_changes.json</w:t>
            </w:r>
          </w:p>
        </w:tc>
        <w:tc>
          <w:tcPr>
            <w:tcW w:type="dxa" w:w="37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Full change details</w:t>
            </w:r>
          </w:p>
        </w:tc>
      </w:tr>
      <w:tr>
        <w:tc>
          <w:tcPr>
            <w:tcW w:type="dxa" w:w="16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Baseline</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cron_tracking/30af1ae5/sam_previous.json</w:t>
            </w:r>
          </w:p>
        </w:tc>
        <w:tc>
          <w:tcPr>
            <w:tcW w:type="dxa" w:w="37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Current data for tomorrow's comparison</w:t>
            </w:r>
          </w:p>
        </w:tc>
      </w:tr>
    </w:tbl>
    <w:p>
      <w:r>
        <w:br w:type="page"/>
      </w:r>
    </w:p>
    <w:p>
      <w:pPr>
        <w:pStyle w:val="Heading1"/>
        <w:spacing w:after="120" w:before="240"/>
      </w:pPr>
      <w:r>
        <w:rPr>
          <w:rFonts w:ascii="Calibri" w:cs="Calibri" w:eastAsia="Calibri" w:hAnsi="Calibri"/>
          <w:b/>
          <w:bCs/>
          <w:color w:val="002060"/>
          <w:sz w:val="36"/>
          <w:szCs w:val="36"/>
        </w:rPr>
        <w:t xml:space="preserve">5. Stage 3: Combined Daily Email</w:t>
      </w:r>
    </w:p>
    <w:p>
      <w:pPr>
        <w:pStyle w:val="Heading2"/>
        <w:spacing w:after="80" w:before="200"/>
      </w:pPr>
      <w:r>
        <w:rPr>
          <w:rFonts w:ascii="Calibri" w:cs="Calibri" w:eastAsia="Calibri" w:hAnsi="Calibri"/>
          <w:b/>
          <w:bCs/>
          <w:color w:val="333333"/>
          <w:sz w:val="28"/>
          <w:szCs w:val="28"/>
        </w:rPr>
        <w:t xml:space="preserve">5.1 Data Aggregation</w:t>
      </w:r>
    </w:p>
    <w:p>
      <w:pPr>
        <w:spacing w:after="120" w:line="264"/>
      </w:pPr>
      <w:r>
        <w:rPr>
          <w:rFonts w:ascii="Georgia" w:cs="Georgia" w:eastAsia="Georgia" w:hAnsi="Georgia"/>
          <w:color w:val="222222"/>
          <w:sz w:val="22"/>
          <w:szCs w:val="22"/>
        </w:rPr>
        <w:t xml:space="preserve">Stage 3 reads the RAG results files produced by the first two stages and merges them into a unified opportunity set. The system validates that the run_date in each results file matches the current date; stale data is flagged with a warning notice in the output email. If one source is unavailable (e.g., the APFS API was down), the pipeline proceeds gracefully with the available source and notes the gap in the email header.</w:t>
      </w:r>
    </w:p>
    <w:p>
      <w:pPr>
        <w:spacing w:after="120"/>
      </w:pPr>
    </w:p>
    <w:p>
      <w:pPr>
        <w:pStyle w:val="Heading2"/>
        <w:spacing w:after="80" w:before="200"/>
      </w:pPr>
      <w:r>
        <w:rPr>
          <w:rFonts w:ascii="Calibri" w:cs="Calibri" w:eastAsia="Calibri" w:hAnsi="Calibri"/>
          <w:b/>
          <w:bCs/>
          <w:color w:val="333333"/>
          <w:sz w:val="28"/>
          <w:szCs w:val="28"/>
        </w:rPr>
        <w:t xml:space="preserve">5.2 Email Structure</w:t>
      </w:r>
    </w:p>
    <w:p>
      <w:pPr>
        <w:spacing w:after="120" w:line="264"/>
      </w:pPr>
      <w:r>
        <w:rPr>
          <w:rFonts w:ascii="Georgia" w:cs="Georgia" w:eastAsia="Georgia" w:hAnsi="Georgia"/>
          <w:color w:val="222222"/>
          <w:sz w:val="22"/>
          <w:szCs w:val="22"/>
        </w:rPr>
        <w:t xml:space="preserve">The daily intelligence email follows a branded HTML layout designed for rapid executive review. The email is structured in six sections:</w:t>
      </w:r>
    </w:p>
    <w:p>
      <w:pPr>
        <w:spacing w:after="120" w:line="264"/>
      </w:pPr>
      <w:r>
        <w:rPr>
          <w:rFonts w:ascii="Georgia" w:cs="Georgia" w:eastAsia="Georgia" w:hAnsi="Georgia"/>
          <w:b/>
          <w:bCs/>
          <w:color w:val="222222"/>
          <w:sz w:val="22"/>
          <w:szCs w:val="22"/>
        </w:rPr>
        <w:t xml:space="preserve">1. Header Banner — </w:t>
      </w:r>
      <w:r>
        <w:rPr>
          <w:rFonts w:ascii="Georgia" w:cs="Georgia" w:eastAsia="Georgia" w:hAnsi="Georgia"/>
          <w:color w:val="222222"/>
          <w:sz w:val="22"/>
          <w:szCs w:val="22"/>
        </w:rPr>
        <w:t xml:space="preserve">Navy (#1B2A4A) background with white text displaying "Changeis Opportunity Intelligence — Daily Brief" and the current date.</w:t>
      </w:r>
    </w:p>
    <w:p>
      <w:pPr>
        <w:spacing w:after="120" w:line="264"/>
      </w:pPr>
      <w:r>
        <w:rPr>
          <w:rFonts w:ascii="Georgia" w:cs="Georgia" w:eastAsia="Georgia" w:hAnsi="Georgia"/>
          <w:b/>
          <w:bCs/>
          <w:color w:val="222222"/>
          <w:sz w:val="22"/>
          <w:szCs w:val="22"/>
        </w:rPr>
        <w:t xml:space="preserve">2. Executive Summary — </w:t>
      </w:r>
      <w:r>
        <w:rPr>
          <w:rFonts w:ascii="Georgia" w:cs="Georgia" w:eastAsia="Georgia" w:hAnsi="Georgia"/>
          <w:color w:val="222222"/>
          <w:sz w:val="22"/>
          <w:szCs w:val="22"/>
        </w:rPr>
        <w:t xml:space="preserve">Quick-reference statistics including new/updated counts per source and tier distribution across all opportunities.</w:t>
      </w:r>
    </w:p>
    <w:p>
      <w:pPr>
        <w:spacing w:after="120" w:line="264"/>
      </w:pPr>
      <w:r>
        <w:rPr>
          <w:rFonts w:ascii="Georgia" w:cs="Georgia" w:eastAsia="Georgia" w:hAnsi="Georgia"/>
          <w:b/>
          <w:bCs/>
          <w:color w:val="222222"/>
          <w:sz w:val="22"/>
          <w:szCs w:val="22"/>
        </w:rPr>
        <w:t xml:space="preserve">3. STRONG Matches — </w:t>
      </w:r>
      <w:r>
        <w:rPr>
          <w:rFonts w:ascii="Georgia" w:cs="Georgia" w:eastAsia="Georgia" w:hAnsi="Georgia"/>
          <w:color w:val="222222"/>
          <w:sz w:val="22"/>
          <w:szCs w:val="22"/>
        </w:rPr>
        <w:t xml:space="preserve">Green (#2D7D4A) accent. Detailed opportunity cards showing source badge, title, agency, NAICS code, estimated dollar range, RAG composite score, best past performance match, key dates, and a deep-dive prompt.</w:t>
      </w:r>
    </w:p>
    <w:p>
      <w:pPr>
        <w:spacing w:after="120" w:line="264"/>
      </w:pPr>
      <w:r>
        <w:rPr>
          <w:rFonts w:ascii="Georgia" w:cs="Georgia" w:eastAsia="Georgia" w:hAnsi="Georgia"/>
          <w:b/>
          <w:bCs/>
          <w:color w:val="222222"/>
          <w:sz w:val="22"/>
          <w:szCs w:val="22"/>
        </w:rPr>
        <w:t xml:space="preserve">4. MODERATE Matches — </w:t>
      </w:r>
      <w:r>
        <w:rPr>
          <w:rFonts w:ascii="Georgia" w:cs="Georgia" w:eastAsia="Georgia" w:hAnsi="Georgia"/>
          <w:color w:val="222222"/>
          <w:sz w:val="22"/>
          <w:szCs w:val="22"/>
        </w:rPr>
        <w:t xml:space="preserve">Orange (#D97D2A) accent. Same detailed card format as STRONG matches.</w:t>
      </w:r>
    </w:p>
    <w:p>
      <w:pPr>
        <w:spacing w:after="120" w:line="264"/>
      </w:pPr>
      <w:r>
        <w:rPr>
          <w:rFonts w:ascii="Georgia" w:cs="Georgia" w:eastAsia="Georgia" w:hAnsi="Georgia"/>
          <w:b/>
          <w:bCs/>
          <w:color w:val="222222"/>
          <w:sz w:val="22"/>
          <w:szCs w:val="22"/>
        </w:rPr>
        <w:t xml:space="preserve">5. LOW / Awareness — </w:t>
      </w:r>
      <w:r>
        <w:rPr>
          <w:rFonts w:ascii="Georgia" w:cs="Georgia" w:eastAsia="Georgia" w:hAnsi="Georgia"/>
          <w:color w:val="222222"/>
          <w:sz w:val="22"/>
          <w:szCs w:val="22"/>
        </w:rPr>
        <w:t xml:space="preserve">Gray accent. Condensed table format with columns for Source, Title, Agency, NAICS, Score, and Tier.</w:t>
      </w:r>
    </w:p>
    <w:p>
      <w:pPr>
        <w:spacing w:after="120" w:line="264"/>
      </w:pPr>
      <w:r>
        <w:rPr>
          <w:rFonts w:ascii="Georgia" w:cs="Georgia" w:eastAsia="Georgia" w:hAnsi="Georgia"/>
          <w:b/>
          <w:bCs/>
          <w:color w:val="222222"/>
          <w:sz w:val="22"/>
          <w:szCs w:val="22"/>
        </w:rPr>
        <w:t xml:space="preserve">6. NAICS Validation Dashboard — </w:t>
      </w:r>
      <w:r>
        <w:rPr>
          <w:rFonts w:ascii="Georgia" w:cs="Georgia" w:eastAsia="Georgia" w:hAnsi="Georgia"/>
          <w:color w:val="222222"/>
          <w:sz w:val="22"/>
          <w:szCs w:val="22"/>
        </w:rPr>
        <w:t xml:space="preserve">Table by NAICS code showing count, average score, maximum score, and recommendation (RETAIN / MONITOR / REVIEW).</w:t>
      </w:r>
    </w:p>
    <w:p>
      <w:pPr>
        <w:spacing w:after="120" w:line="264"/>
      </w:pPr>
      <w:r>
        <w:rPr>
          <w:rFonts w:ascii="Georgia" w:cs="Georgia" w:eastAsia="Georgia" w:hAnsi="Georgia"/>
          <w:b/>
          <w:bCs/>
          <w:color w:val="222222"/>
          <w:sz w:val="22"/>
          <w:szCs w:val="22"/>
        </w:rPr>
        <w:t xml:space="preserve">7. Footer — </w:t>
      </w:r>
      <w:r>
        <w:rPr>
          <w:rFonts w:ascii="Georgia" w:cs="Georgia" w:eastAsia="Georgia" w:hAnsi="Georgia"/>
          <w:color w:val="222222"/>
          <w:sz w:val="22"/>
          <w:szCs w:val="22"/>
        </w:rPr>
        <w:t xml:space="preserve">Confidentiality notice and instructions for requesting deep-dive analysis on specific opportunities.</w:t>
      </w:r>
    </w:p>
    <w:p>
      <w:pPr>
        <w:spacing w:after="120"/>
      </w:pPr>
    </w:p>
    <w:p>
      <w:pPr>
        <w:pStyle w:val="Heading2"/>
        <w:spacing w:after="80" w:before="200"/>
      </w:pPr>
      <w:r>
        <w:rPr>
          <w:rFonts w:ascii="Calibri" w:cs="Calibri" w:eastAsia="Calibri" w:hAnsi="Calibri"/>
          <w:b/>
          <w:bCs/>
          <w:color w:val="333333"/>
          <w:sz w:val="28"/>
          <w:szCs w:val="28"/>
        </w:rPr>
        <w:t xml:space="preserve">5.3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Parameter</w:t>
            </w:r>
          </w:p>
        </w:tc>
        <w:tc>
          <w:tcPr>
            <w:tcW w:type="dxa" w:w="68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Value</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Recipient</w:t>
            </w:r>
          </w:p>
        </w:tc>
        <w:tc>
          <w:tcPr>
            <w:tcW w:type="dxa" w:w="6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varun@changeis.com</w:t>
            </w:r>
          </w:p>
        </w:tc>
      </w:tr>
      <w:tr>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Method</w:t>
            </w:r>
          </w:p>
        </w:tc>
        <w:tc>
          <w:tcPr>
            <w:tcW w:type="dxa" w:w="6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Outlook connector (send_email action)</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Subject</w:t>
            </w:r>
          </w:p>
        </w:tc>
        <w:tc>
          <w:tcPr>
            <w:tcW w:type="dxa" w:w="6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Changeis Opportunity Intelligence — Daily Brief [Date]</w:t>
            </w:r>
          </w:p>
        </w:tc>
      </w:tr>
      <w:tr>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Body</w:t>
            </w:r>
          </w:p>
        </w:tc>
        <w:tc>
          <w:tcPr>
            <w:tcW w:type="dxa" w:w="6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Plain text summary (Outlook API constraint)</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Attachment</w:t>
            </w:r>
          </w:p>
        </w:tc>
        <w:tc>
          <w:tcPr>
            <w:tcW w:type="dxa" w:w="6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Full branded HTML report (daily_email.html)</w:t>
            </w:r>
          </w:p>
        </w:tc>
      </w:tr>
      <w:tr>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Tracking</w:t>
            </w:r>
          </w:p>
        </w:tc>
        <w:tc>
          <w:tcPr>
            <w:tcW w:type="dxa" w:w="6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email_log.json records send status, counts, and timestamp</w:t>
            </w:r>
          </w:p>
        </w:tc>
      </w:tr>
    </w:tbl>
    <w:p>
      <w:pPr>
        <w:spacing w:after="120"/>
      </w:pPr>
    </w:p>
    <w:p>
      <w:pPr>
        <w:pStyle w:val="Heading2"/>
        <w:spacing w:after="80" w:before="200"/>
      </w:pPr>
      <w:r>
        <w:rPr>
          <w:rFonts w:ascii="Calibri" w:cs="Calibri" w:eastAsia="Calibri" w:hAnsi="Calibri"/>
          <w:b/>
          <w:bCs/>
          <w:color w:val="333333"/>
          <w:sz w:val="28"/>
          <w:szCs w:val="28"/>
        </w:rPr>
        <w:t xml:space="preserve">5.4 Deep-Dive Option</w:t>
      </w:r>
    </w:p>
    <w:p>
      <w:pPr>
        <w:spacing w:after="120" w:line="264"/>
      </w:pPr>
      <w:r>
        <w:rPr>
          <w:rFonts w:ascii="Georgia" w:cs="Georgia" w:eastAsia="Georgia" w:hAnsi="Georgia"/>
          <w:color w:val="222222"/>
          <w:sz w:val="22"/>
          <w:szCs w:val="22"/>
        </w:rPr>
        <w:t xml:space="preserve">Each STRONG and MODERATE opportunity card includes a "[DEEP DIVE]" prompt. The recipient can reply to the daily brief email requesting detailed analysis on any specific opportunity. This triggers a comprehensive research brief that includes full solicitation analysis, competitive landscape assessment, teaming partner recommendations, and a preliminary capture strategy outline.</w:t>
      </w:r>
    </w:p>
    <w:p>
      <w:r>
        <w:br w:type="page"/>
      </w:r>
    </w:p>
    <w:p>
      <w:pPr>
        <w:pStyle w:val="Heading1"/>
        <w:spacing w:after="120" w:before="240"/>
      </w:pPr>
      <w:r>
        <w:rPr>
          <w:rFonts w:ascii="Calibri" w:cs="Calibri" w:eastAsia="Calibri" w:hAnsi="Calibri"/>
          <w:b/>
          <w:bCs/>
          <w:color w:val="002060"/>
          <w:sz w:val="36"/>
          <w:szCs w:val="36"/>
        </w:rPr>
        <w:t xml:space="preserve">6. RAG Engine Specification</w:t>
      </w:r>
    </w:p>
    <w:p>
      <w:pPr>
        <w:pStyle w:val="Heading2"/>
        <w:spacing w:after="80" w:before="200"/>
      </w:pPr>
      <w:r>
        <w:rPr>
          <w:rFonts w:ascii="Calibri" w:cs="Calibri" w:eastAsia="Calibri" w:hAnsi="Calibri"/>
          <w:b/>
          <w:bCs/>
          <w:color w:val="333333"/>
          <w:sz w:val="28"/>
          <w:szCs w:val="28"/>
        </w:rPr>
        <w:t xml:space="preserve">6.1 Corpus</w:t>
      </w:r>
    </w:p>
    <w:p>
      <w:pPr>
        <w:spacing w:after="120" w:line="264"/>
      </w:pPr>
      <w:r>
        <w:rPr>
          <w:rFonts w:ascii="Georgia" w:cs="Georgia" w:eastAsia="Georgia" w:hAnsi="Georgia"/>
          <w:color w:val="222222"/>
          <w:sz w:val="22"/>
          <w:szCs w:val="22"/>
        </w:rPr>
        <w:t xml:space="preserve">The Changeis BD RAG Engine hosts a vectorized knowledge base of the firm's past performance narratives and capability statements. The corpus is indexed across multiple dimensions including task orders, contract vehicles, end clients, NAICS codes, and technical descriptions. This enables semantic matching between incoming opportunity requirements and Changeis's demonstrated experience, providing a quantitative basis for qualification assessment.</w:t>
      </w:r>
    </w:p>
    <w:p>
      <w:pPr>
        <w:spacing w:after="120"/>
      </w:pPr>
    </w:p>
    <w:p>
      <w:pPr>
        <w:pStyle w:val="Heading2"/>
        <w:spacing w:after="80" w:before="200"/>
      </w:pPr>
      <w:r>
        <w:rPr>
          <w:rFonts w:ascii="Calibri" w:cs="Calibri" w:eastAsia="Calibri" w:hAnsi="Calibri"/>
          <w:b/>
          <w:bCs/>
          <w:color w:val="333333"/>
          <w:sz w:val="28"/>
          <w:szCs w:val="28"/>
        </w:rPr>
        <w:t xml:space="preserve">6.2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Endpoint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Method</w:t>
            </w:r>
          </w:p>
        </w:tc>
        <w:tc>
          <w:tcPr>
            <w:tcW w:type="dxa" w:w="56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Purpose</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/match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POST</w:t>
            </w:r>
          </w:p>
        </w:tc>
        <w:tc>
          <w:tcPr>
            <w:tcW w:type="dxa" w:w="56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Returns top-N semantically similar past performance records</w:t>
            </w:r>
          </w:p>
        </w:tc>
      </w:tr>
      <w:tr>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/query</w:t>
            </w:r>
          </w:p>
        </w:tc>
        <w:tc>
          <w:tcPr>
            <w:tcW w:type="dxa" w:w="1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POST</w:t>
            </w:r>
          </w:p>
        </w:tc>
        <w:tc>
          <w:tcPr>
            <w:tcW w:type="dxa" w:w="56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Returns top-K relevant text chunks from the corpus</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/answer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POST</w:t>
            </w:r>
          </w:p>
        </w:tc>
        <w:tc>
          <w:tcPr>
            <w:tcW w:type="dxa" w:w="56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Generates a natural language answer grounded in corpus data</w:t>
            </w:r>
          </w:p>
        </w:tc>
      </w:tr>
    </w:tbl>
    <w:p>
      <w:pPr>
        <w:spacing w:after="120"/>
      </w:pPr>
    </w:p>
    <w:p>
      <w:pPr>
        <w:spacing w:after="120" w:line="264"/>
      </w:pPr>
      <w:r>
        <w:rPr>
          <w:rFonts w:ascii="Calibri" w:cs="Calibri" w:eastAsia="Calibri" w:hAnsi="Calibri"/>
          <w:b/>
          <w:bCs/>
          <w:color w:val="222222"/>
          <w:sz w:val="22"/>
          <w:szCs w:val="22"/>
        </w:rPr>
        <w:t xml:space="preserve">Match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color w:val="333333"/>
                <w:sz w:val="22"/>
                <w:szCs w:val="22"/>
              </w:rPr>
              <w:t xml:space="preserve">{</w:t>
            </w:r>
          </w:p>
          <w:p>
            <w:pPr>
              <w:spacing w:after="40"/>
            </w:pPr>
            <w:r>
              <w:rPr>
                <w:rFonts w:ascii="Calibri" w:cs="Calibri" w:eastAsia="Calibri" w:hAnsi="Calibri"/>
                <w:color w:val="333333"/>
                <w:sz w:val="22"/>
                <w:szCs w:val="22"/>
              </w:rPr>
              <w:t xml:space="preserve">  "query": "Opportunity title and description text",</w:t>
            </w:r>
          </w:p>
          <w:p>
            <w:pPr>
              <w:spacing w:after="40"/>
            </w:pPr>
            <w:r>
              <w:rPr>
                <w:rFonts w:ascii="Calibri" w:cs="Calibri" w:eastAsia="Calibri" w:hAnsi="Calibri"/>
                <w:color w:val="333333"/>
                <w:sz w:val="22"/>
                <w:szCs w:val="22"/>
              </w:rPr>
              <w:t xml:space="preserve">  "top_n": 3</w:t>
            </w:r>
          </w:p>
          <w:p>
            <w:pPr>
              <w:spacing w:after="40"/>
            </w:pPr>
            <w:r>
              <w:rPr>
                <w:rFonts w:ascii="Calibri" w:cs="Calibri" w:eastAsia="Calibri" w:hAnsi="Calibri"/>
                <w:color w:val="333333"/>
                <w:sz w:val="22"/>
                <w:szCs w:val="22"/>
              </w:rPr>
              <w:t xml:space="preserve">}</w:t>
            </w:r>
          </w:p>
        </w:tc>
      </w:tr>
    </w:tbl>
    <w:p>
      <w:pPr>
        <w:spacing w:after="60"/>
      </w:pPr>
    </w:p>
    <w:p>
      <w:pPr>
        <w:spacing w:after="120" w:line="264"/>
      </w:pPr>
      <w:r>
        <w:rPr>
          <w:rFonts w:ascii="Calibri" w:cs="Calibri" w:eastAsia="Calibri" w:hAnsi="Calibri"/>
          <w:b/>
          <w:bCs/>
          <w:color w:val="222222"/>
          <w:sz w:val="22"/>
          <w:szCs w:val="22"/>
        </w:rPr>
        <w:t xml:space="preserve">Match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color w:val="333333"/>
                <w:sz w:val="22"/>
                <w:szCs w:val="22"/>
              </w:rPr>
              <w:t xml:space="preserve">{</w:t>
            </w:r>
          </w:p>
          <w:p>
            <w:pPr>
              <w:spacing w:after="40"/>
            </w:pPr>
            <w:r>
              <w:rPr>
                <w:rFonts w:ascii="Calibri" w:cs="Calibri" w:eastAsia="Calibri" w:hAnsi="Calibri"/>
                <w:color w:val="333333"/>
                <w:sz w:val="22"/>
                <w:szCs w:val="22"/>
              </w:rPr>
              <w:t xml:space="preserve">  "matches": [</w:t>
            </w:r>
          </w:p>
          <w:p>
            <w:pPr>
              <w:spacing w:after="40"/>
            </w:pPr>
            <w:r>
              <w:rPr>
                <w:rFonts w:ascii="Calibri" w:cs="Calibri" w:eastAsia="Calibri" w:hAnsi="Calibri"/>
                <w:color w:val="333333"/>
                <w:sz w:val="22"/>
                <w:szCs w:val="22"/>
              </w:rPr>
              <w:t xml:space="preserve">    {</w:t>
            </w:r>
          </w:p>
          <w:p>
            <w:pPr>
              <w:spacing w:after="40"/>
            </w:pPr>
            <w:r>
              <w:rPr>
                <w:rFonts w:ascii="Calibri" w:cs="Calibri" w:eastAsia="Calibri" w:hAnsi="Calibri"/>
                <w:color w:val="333333"/>
                <w:sz w:val="22"/>
                <w:szCs w:val="22"/>
              </w:rPr>
              <w:t xml:space="preserve">      "task_order": "TO-XXX",</w:t>
            </w:r>
          </w:p>
          <w:p>
            <w:pPr>
              <w:spacing w:after="40"/>
            </w:pPr>
            <w:r>
              <w:rPr>
                <w:rFonts w:ascii="Calibri" w:cs="Calibri" w:eastAsia="Calibri" w:hAnsi="Calibri"/>
                <w:color w:val="333333"/>
                <w:sz w:val="22"/>
                <w:szCs w:val="22"/>
              </w:rPr>
              <w:t xml:space="preserve">      "composite_score": 0.72,</w:t>
            </w:r>
          </w:p>
          <w:p>
            <w:pPr>
              <w:spacing w:after="40"/>
            </w:pPr>
            <w:r>
              <w:rPr>
                <w:rFonts w:ascii="Calibri" w:cs="Calibri" w:eastAsia="Calibri" w:hAnsi="Calibri"/>
                <w:color w:val="333333"/>
                <w:sz w:val="22"/>
                <w:szCs w:val="22"/>
              </w:rPr>
              <w:t xml:space="preserve">      "end_client": "FAA",</w:t>
            </w:r>
          </w:p>
          <w:p>
            <w:pPr>
              <w:spacing w:after="40"/>
            </w:pPr>
            <w:r>
              <w:rPr>
                <w:rFonts w:ascii="Calibri" w:cs="Calibri" w:eastAsia="Calibri" w:hAnsi="Calibri"/>
                <w:color w:val="333333"/>
                <w:sz w:val="22"/>
                <w:szCs w:val="22"/>
              </w:rPr>
              <w:t xml:space="preserve">      "text": "Past performance excerpt..."</w:t>
            </w:r>
          </w:p>
          <w:p>
            <w:pPr>
              <w:spacing w:after="40"/>
            </w:pPr>
            <w:r>
              <w:rPr>
                <w:rFonts w:ascii="Calibri" w:cs="Calibri" w:eastAsia="Calibri" w:hAnsi="Calibri"/>
                <w:color w:val="333333"/>
                <w:sz w:val="22"/>
                <w:szCs w:val="22"/>
              </w:rPr>
              <w:t xml:space="preserve">    }</w:t>
            </w:r>
          </w:p>
          <w:p>
            <w:pPr>
              <w:spacing w:after="40"/>
            </w:pPr>
            <w:r>
              <w:rPr>
                <w:rFonts w:ascii="Calibri" w:cs="Calibri" w:eastAsia="Calibri" w:hAnsi="Calibri"/>
                <w:color w:val="333333"/>
                <w:sz w:val="22"/>
                <w:szCs w:val="22"/>
              </w:rPr>
              <w:t xml:space="preserve">  ]</w:t>
            </w:r>
          </w:p>
          <w:p>
            <w:pPr>
              <w:spacing w:after="40"/>
            </w:pPr>
            <w:r>
              <w:rPr>
                <w:rFonts w:ascii="Calibri" w:cs="Calibri" w:eastAsia="Calibri" w:hAnsi="Calibri"/>
                <w:color w:val="333333"/>
                <w:sz w:val="22"/>
                <w:szCs w:val="22"/>
              </w:rPr>
              <w:t xml:space="preserve">}</w:t>
            </w:r>
          </w:p>
        </w:tc>
      </w:tr>
    </w:tbl>
    <w:p>
      <w:pPr>
        <w:spacing w:after="120"/>
      </w:pPr>
    </w:p>
    <w:p>
      <w:pPr>
        <w:pStyle w:val="Heading2"/>
        <w:spacing w:after="80" w:before="200"/>
      </w:pPr>
      <w:r>
        <w:rPr>
          <w:rFonts w:ascii="Calibri" w:cs="Calibri" w:eastAsia="Calibri" w:hAnsi="Calibri"/>
          <w:b/>
          <w:bCs/>
          <w:color w:val="333333"/>
          <w:sz w:val="28"/>
          <w:szCs w:val="28"/>
        </w:rPr>
        <w:t xml:space="preserve">6.3 Authentication</w:t>
      </w:r>
    </w:p>
    <w:p>
      <w:pPr>
        <w:spacing w:after="120" w:line="264"/>
      </w:pPr>
      <w:r>
        <w:rPr>
          <w:rFonts w:ascii="Georgia" w:cs="Georgia" w:eastAsia="Georgia" w:hAnsi="Georgia"/>
          <w:color w:val="222222"/>
          <w:sz w:val="22"/>
          <w:szCs w:val="22"/>
        </w:rPr>
        <w:t xml:space="preserve">The RAG Engine requires an API key passed via the X-API-Key HTTP header. The current production key is provided below for operational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b/>
                <w:bCs/>
                <w:color w:val="002060"/>
                <w:sz w:val="22"/>
                <w:szCs w:val="22"/>
              </w:rPr>
              <w:t xml:space="preserve">API Key (Production)</w:t>
            </w:r>
          </w:p>
          <w:p>
            <w:pPr>
              <w:spacing w:after="0"/>
            </w:pPr>
            <w:r>
              <w:rPr>
                <w:rFonts w:ascii="Calibri" w:cs="Calibri" w:eastAsia="Calibri" w:hAnsi="Calibri"/>
                <w:color w:val="333333"/>
                <w:sz w:val="22"/>
                <w:szCs w:val="22"/>
              </w:rPr>
              <w:t xml:space="preserve">a3-nFpt4YJHCXpsTHS7ZAikNllzrPtCORKBoSN8tAAE</w:t>
            </w:r>
          </w:p>
        </w:tc>
      </w:tr>
    </w:tbl>
    <w:p>
      <w:r>
        <w:br w:type="page"/>
      </w:r>
    </w:p>
    <w:p>
      <w:pPr>
        <w:pStyle w:val="Heading1"/>
        <w:spacing w:after="120" w:before="240"/>
      </w:pPr>
      <w:r>
        <w:rPr>
          <w:rFonts w:ascii="Calibri" w:cs="Calibri" w:eastAsia="Calibri" w:hAnsi="Calibri"/>
          <w:b/>
          <w:bCs/>
          <w:color w:val="002060"/>
          <w:sz w:val="36"/>
          <w:szCs w:val="36"/>
        </w:rPr>
        <w:t xml:space="preserve">7. NAICS Validation Strategy</w:t>
      </w:r>
    </w:p>
    <w:p>
      <w:pPr>
        <w:pStyle w:val="Heading2"/>
        <w:spacing w:after="80" w:before="200"/>
      </w:pPr>
      <w:r>
        <w:rPr>
          <w:rFonts w:ascii="Calibri" w:cs="Calibri" w:eastAsia="Calibri" w:hAnsi="Calibri"/>
          <w:b/>
          <w:bCs/>
          <w:color w:val="333333"/>
          <w:sz w:val="28"/>
          <w:szCs w:val="28"/>
        </w:rPr>
        <w:t xml:space="preserve">7.1 Purpose</w:t>
      </w:r>
    </w:p>
    <w:p>
      <w:pPr>
        <w:spacing w:after="120" w:line="264"/>
      </w:pPr>
      <w:r>
        <w:rPr>
          <w:rFonts w:ascii="Georgia" w:cs="Georgia" w:eastAsia="Georgia" w:hAnsi="Georgia"/>
          <w:color w:val="222222"/>
          <w:sz w:val="22"/>
          <w:szCs w:val="22"/>
        </w:rPr>
        <w:t xml:space="preserve">The RAG-on-all-new-opportunities approach serves a dual purpose. First, it scores individual opportunities to enable immediate prioritization. Second, it generates aggregate data that validates whether the 46-NAICS code selection and the 11-code priority subset are well-calibrated to Changeis capabilities. Over time, this data reveals which NAICS categories consistently produce high-alignment opportunities and which may be diluting the pipeline with low-relevance results.</w:t>
      </w:r>
    </w:p>
    <w:p>
      <w:pPr>
        <w:spacing w:after="120"/>
      </w:pPr>
    </w:p>
    <w:p>
      <w:pPr>
        <w:pStyle w:val="Heading2"/>
        <w:spacing w:after="80" w:before="200"/>
      </w:pPr>
      <w:r>
        <w:rPr>
          <w:rFonts w:ascii="Calibri" w:cs="Calibri" w:eastAsia="Calibri" w:hAnsi="Calibri"/>
          <w:b/>
          <w:bCs/>
          <w:color w:val="333333"/>
          <w:sz w:val="28"/>
          <w:szCs w:val="28"/>
        </w:rPr>
        <w:t xml:space="preserve">7.2 Methodology</w:t>
      </w:r>
    </w:p>
    <w:p>
      <w:pPr>
        <w:spacing w:after="120" w:line="264"/>
      </w:pPr>
      <w:r>
        <w:rPr>
          <w:rFonts w:ascii="Georgia" w:cs="Georgia" w:eastAsia="Georgia" w:hAnsi="Georgia"/>
          <w:color w:val="222222"/>
          <w:sz w:val="22"/>
          <w:szCs w:val="22"/>
        </w:rPr>
        <w:t xml:space="preserve">Each daily run aggregates RAG scores by NAICS code, building a progressively richer dataset for statistical analysis. The following metrics are tracked per NAICS code:</w:t>
      </w:r>
    </w:p>
    <w:p>
      <w:pPr>
        <w:pStyle w:val="ListParagraph"/>
        <w:numPr>
          <w:ilvl w:val="0"/>
          <w:numId w:val="2"/>
        </w:numPr>
        <w:spacing w:after="60" w:line="264"/>
      </w:pPr>
      <w:r>
        <w:rPr>
          <w:rFonts w:ascii="Georgia" w:cs="Georgia" w:eastAsia="Georgia" w:hAnsi="Georgia"/>
          <w:b/>
          <w:bCs/>
          <w:color w:val="222222"/>
          <w:sz w:val="22"/>
          <w:szCs w:val="22"/>
        </w:rPr>
        <w:t xml:space="preserve">Count: </w:t>
      </w:r>
      <w:r>
        <w:rPr>
          <w:rFonts w:ascii="Georgia" w:cs="Georgia" w:eastAsia="Georgia" w:hAnsi="Georgia"/>
          <w:color w:val="222222"/>
          <w:sz w:val="22"/>
          <w:szCs w:val="22"/>
        </w:rPr>
        <w:t xml:space="preserve">Number of opportunities encountered in that NAICS code</w:t>
      </w:r>
    </w:p>
    <w:p>
      <w:pPr>
        <w:pStyle w:val="ListParagraph"/>
        <w:numPr>
          <w:ilvl w:val="0"/>
          <w:numId w:val="2"/>
        </w:numPr>
        <w:spacing w:after="60" w:line="264"/>
      </w:pPr>
      <w:r>
        <w:rPr>
          <w:rFonts w:ascii="Georgia" w:cs="Georgia" w:eastAsia="Georgia" w:hAnsi="Georgia"/>
          <w:b/>
          <w:bCs/>
          <w:color w:val="222222"/>
          <w:sz w:val="22"/>
          <w:szCs w:val="22"/>
        </w:rPr>
        <w:t xml:space="preserve">Average Score: </w:t>
      </w:r>
      <w:r>
        <w:rPr>
          <w:rFonts w:ascii="Georgia" w:cs="Georgia" w:eastAsia="Georgia" w:hAnsi="Georgia"/>
          <w:color w:val="222222"/>
          <w:sz w:val="22"/>
          <w:szCs w:val="22"/>
        </w:rPr>
        <w:t xml:space="preserve">Mean RAG composite score across all opportunities</w:t>
      </w:r>
    </w:p>
    <w:p>
      <w:pPr>
        <w:pStyle w:val="ListParagraph"/>
        <w:numPr>
          <w:ilvl w:val="0"/>
          <w:numId w:val="2"/>
        </w:numPr>
        <w:spacing w:after="60" w:line="264"/>
      </w:pPr>
      <w:r>
        <w:rPr>
          <w:rFonts w:ascii="Georgia" w:cs="Georgia" w:eastAsia="Georgia" w:hAnsi="Georgia"/>
          <w:b/>
          <w:bCs/>
          <w:color w:val="222222"/>
          <w:sz w:val="22"/>
          <w:szCs w:val="22"/>
        </w:rPr>
        <w:t xml:space="preserve">Max Score: </w:t>
      </w:r>
      <w:r>
        <w:rPr>
          <w:rFonts w:ascii="Georgia" w:cs="Georgia" w:eastAsia="Georgia" w:hAnsi="Georgia"/>
          <w:color w:val="222222"/>
          <w:sz w:val="22"/>
          <w:szCs w:val="22"/>
        </w:rPr>
        <w:t xml:space="preserve">Highest individual RAG score observed</w:t>
      </w:r>
    </w:p>
    <w:p>
      <w:pPr>
        <w:pStyle w:val="ListParagraph"/>
        <w:numPr>
          <w:ilvl w:val="0"/>
          <w:numId w:val="2"/>
        </w:numPr>
        <w:spacing w:after="60" w:line="264"/>
      </w:pPr>
      <w:r>
        <w:rPr>
          <w:rFonts w:ascii="Georgia" w:cs="Georgia" w:eastAsia="Georgia" w:hAnsi="Georgia"/>
          <w:b/>
          <w:bCs/>
          <w:color w:val="222222"/>
          <w:sz w:val="22"/>
          <w:szCs w:val="22"/>
        </w:rPr>
        <w:t xml:space="preserve">Tier Distribution: </w:t>
      </w:r>
      <w:r>
        <w:rPr>
          <w:rFonts w:ascii="Georgia" w:cs="Georgia" w:eastAsia="Georgia" w:hAnsi="Georgia"/>
          <w:color w:val="222222"/>
          <w:sz w:val="22"/>
          <w:szCs w:val="22"/>
        </w:rPr>
        <w:t xml:space="preserve">Percentage breakdown across STRONG, MODERATE, and LOW tiers</w:t>
      </w:r>
    </w:p>
    <w:p>
      <w:pPr>
        <w:spacing w:after="120"/>
      </w:pPr>
    </w:p>
    <w:p>
      <w:pPr>
        <w:spacing w:after="120" w:line="264"/>
      </w:pPr>
      <w:r>
        <w:rPr>
          <w:rFonts w:ascii="Calibri" w:cs="Calibri" w:eastAsia="Calibri" w:hAnsi="Calibri"/>
          <w:b/>
          <w:bCs/>
          <w:color w:val="222222"/>
          <w:sz w:val="22"/>
          <w:szCs w:val="22"/>
        </w:rPr>
        <w:t xml:space="preserve">Recommendation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Recommendation</w:t>
            </w:r>
          </w:p>
        </w:tc>
        <w:tc>
          <w:tcPr>
            <w:tcW w:type="dxa" w:w="3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Criteria</w:t>
            </w:r>
          </w:p>
        </w:tc>
        <w:tc>
          <w:tcPr>
            <w:tcW w:type="dxa" w:w="40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Action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RETAIN</w:t>
            </w:r>
          </w:p>
        </w:tc>
        <w:tc>
          <w:tcPr>
            <w:tcW w:type="dxa" w:w="3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Average score &gt;= 0.50 or max score &gt;= 0.65</w:t>
            </w:r>
          </w:p>
        </w:tc>
        <w:tc>
          <w:tcPr>
            <w:tcW w:type="dxa" w:w="4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NAICS code consistently produces qualified opportunities; keep in filter set</w:t>
            </w:r>
          </w:p>
        </w:tc>
      </w:tr>
      <w:tr>
        <w:tc>
          <w:tcPr>
            <w:tcW w:type="dxa" w:w="18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MONITOR</w:t>
            </w:r>
          </w:p>
        </w:tc>
        <w:tc>
          <w:tcPr>
            <w:tcW w:type="dxa" w:w="3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Average score 0.30 – 0.49</w:t>
            </w:r>
          </w:p>
        </w:tc>
        <w:tc>
          <w:tcPr>
            <w:tcW w:type="dxa" w:w="40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Some alignment but inconsistent results; continue tracking for additional data</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REVIEW</w:t>
            </w:r>
          </w:p>
        </w:tc>
        <w:tc>
          <w:tcPr>
            <w:tcW w:type="dxa" w:w="3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Average score &lt; 0.30</w:t>
            </w:r>
          </w:p>
        </w:tc>
        <w:tc>
          <w:tcPr>
            <w:tcW w:type="dxa" w:w="40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Low alignment with Changeis capabilities; consider removing from filter set</w:t>
            </w:r>
          </w:p>
        </w:tc>
      </w:tr>
    </w:tbl>
    <w:p>
      <w:pPr>
        <w:spacing w:after="120"/>
      </w:pPr>
    </w:p>
    <w:p>
      <w:pPr>
        <w:pStyle w:val="Heading2"/>
        <w:spacing w:after="80" w:before="200"/>
      </w:pPr>
      <w:r>
        <w:rPr>
          <w:rFonts w:ascii="Calibri" w:cs="Calibri" w:eastAsia="Calibri" w:hAnsi="Calibri"/>
          <w:b/>
          <w:bCs/>
          <w:color w:val="333333"/>
          <w:sz w:val="28"/>
          <w:szCs w:val="28"/>
        </w:rPr>
        <w:t xml:space="preserve">7.3 Timeline</w:t>
      </w:r>
    </w:p>
    <w:p>
      <w:pPr>
        <w:spacing w:after="120" w:line="264"/>
      </w:pPr>
      <w:r>
        <w:rPr>
          <w:rFonts w:ascii="Georgia" w:cs="Georgia" w:eastAsia="Georgia" w:hAnsi="Georgia"/>
          <w:color w:val="222222"/>
          <w:sz w:val="22"/>
          <w:szCs w:val="22"/>
        </w:rPr>
        <w:t xml:space="preserve">After 2–4 weeks of daily data collection, the NAICS validation dashboard will provide sufficient statistical confidence to support the following decisions:</w:t>
      </w:r>
    </w:p>
    <w:p>
      <w:pPr>
        <w:pStyle w:val="ListParagraph"/>
        <w:numPr>
          <w:ilvl w:val="0"/>
          <w:numId w:val="2"/>
        </w:numPr>
        <w:spacing w:after="60" w:line="264"/>
      </w:pPr>
      <w:r>
        <w:rPr>
          <w:rFonts w:ascii="Georgia" w:cs="Georgia" w:eastAsia="Georgia" w:hAnsi="Georgia"/>
          <w:color w:val="222222"/>
          <w:sz w:val="22"/>
          <w:szCs w:val="22"/>
        </w:rPr>
        <w:t xml:space="preserve">Confirm or remove NAICS codes from the 46-code filter set</w:t>
      </w:r>
    </w:p>
    <w:p>
      <w:pPr>
        <w:pStyle w:val="ListParagraph"/>
        <w:numPr>
          <w:ilvl w:val="0"/>
          <w:numId w:val="2"/>
        </w:numPr>
        <w:spacing w:after="60" w:line="264"/>
      </w:pPr>
      <w:r>
        <w:rPr>
          <w:rFonts w:ascii="Georgia" w:cs="Georgia" w:eastAsia="Georgia" w:hAnsi="Georgia"/>
          <w:color w:val="222222"/>
          <w:sz w:val="22"/>
          <w:szCs w:val="22"/>
        </w:rPr>
        <w:t xml:space="preserve">Potentially expand the 11-code priority subset based on unexpected high performers</w:t>
      </w:r>
    </w:p>
    <w:p>
      <w:pPr>
        <w:pStyle w:val="ListParagraph"/>
        <w:numPr>
          <w:ilvl w:val="0"/>
          <w:numId w:val="2"/>
        </w:numPr>
        <w:spacing w:after="60" w:line="264"/>
      </w:pPr>
      <w:r>
        <w:rPr>
          <w:rFonts w:ascii="Georgia" w:cs="Georgia" w:eastAsia="Georgia" w:hAnsi="Georgia"/>
          <w:color w:val="222222"/>
          <w:sz w:val="22"/>
          <w:szCs w:val="22"/>
        </w:rPr>
        <w:t xml:space="preserve">Identify surprising NAICS codes that produce high-scoring matches despite not being part of the initial priority set</w:t>
      </w:r>
    </w:p>
    <w:p>
      <w:pPr>
        <w:pStyle w:val="ListParagraph"/>
        <w:numPr>
          <w:ilvl w:val="0"/>
          <w:numId w:val="2"/>
        </w:numPr>
        <w:spacing w:after="60" w:line="264"/>
      </w:pPr>
      <w:r>
        <w:rPr>
          <w:rFonts w:ascii="Georgia" w:cs="Georgia" w:eastAsia="Georgia" w:hAnsi="Georgia"/>
          <w:color w:val="222222"/>
          <w:sz w:val="22"/>
          <w:szCs w:val="22"/>
        </w:rPr>
        <w:t xml:space="preserve">Refine the overall targeting strategy based on empirical qualification data rather than assumptions</w:t>
      </w:r>
    </w:p>
    <w:p>
      <w:r>
        <w:br w:type="page"/>
      </w:r>
    </w:p>
    <w:p>
      <w:pPr>
        <w:pStyle w:val="Heading1"/>
        <w:spacing w:after="120" w:before="240"/>
      </w:pPr>
      <w:r>
        <w:rPr>
          <w:rFonts w:ascii="Calibri" w:cs="Calibri" w:eastAsia="Calibri" w:hAnsi="Calibri"/>
          <w:b/>
          <w:bCs/>
          <w:color w:val="002060"/>
          <w:sz w:val="36"/>
          <w:szCs w:val="36"/>
        </w:rPr>
        <w:t xml:space="preserve">8. File System Reference</w:t>
      </w:r>
    </w:p>
    <w:p>
      <w:pPr>
        <w:spacing w:after="120" w:line="264"/>
      </w:pPr>
      <w:r>
        <w:rPr>
          <w:rFonts w:ascii="Georgia" w:cs="Georgia" w:eastAsia="Georgia" w:hAnsi="Georgia"/>
          <w:color w:val="222222"/>
          <w:sz w:val="22"/>
          <w:szCs w:val="22"/>
        </w:rPr>
        <w:t xml:space="preserve">All workflow files are stored within the workspace file system. The following table documents the key paths and their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Path</w:t>
            </w:r>
          </w:p>
        </w:tc>
        <w:tc>
          <w:tcPr>
            <w:tcW w:type="dxa" w:w="48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Purpose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/home/user/workspace/cron_tracking/f7adf3cd/</w:t>
            </w:r>
          </w:p>
        </w:tc>
        <w:tc>
          <w:tcPr>
            <w:tcW w:type="dxa" w:w="4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APFS monitor working directory — all Stage 1 output files</w:t>
            </w:r>
          </w:p>
        </w:tc>
      </w:tr>
      <w:tr>
        <w:tc>
          <w:tcPr>
            <w:tcW w:type="dxa" w:w="4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/home/user/workspace/cron_tracking/30af1ae5/</w:t>
            </w:r>
          </w:p>
        </w:tc>
        <w:tc>
          <w:tcPr>
            <w:tcW w:type="dxa" w:w="4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SAM.gov monitor working directory — all Stage 2 output files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/home/user/workspace/cron_tracking/daily_email.html</w:t>
            </w:r>
          </w:p>
        </w:tc>
        <w:tc>
          <w:tcPr>
            <w:tcW w:type="dxa" w:w="4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Most recent combined email HTML report</w:t>
            </w:r>
          </w:p>
        </w:tc>
      </w:tr>
      <w:tr>
        <w:tc>
          <w:tcPr>
            <w:tcW w:type="dxa" w:w="4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/home/user/workspace/cron_tracking/email_log.json</w:t>
            </w:r>
          </w:p>
        </w:tc>
        <w:tc>
          <w:tcPr>
            <w:tcW w:type="dxa" w:w="4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Email delivery log with timestamps and status codes</w:t>
            </w:r>
          </w:p>
        </w:tc>
      </w:tr>
    </w:tbl>
    <w:p>
      <w:pPr>
        <w:spacing w:after="120"/>
      </w:pPr>
    </w:p>
    <w:p>
      <w:pPr>
        <w:pStyle w:val="Heading1"/>
        <w:spacing w:after="120" w:before="240"/>
      </w:pPr>
      <w:r>
        <w:rPr>
          <w:rFonts w:ascii="Calibri" w:cs="Calibri" w:eastAsia="Calibri" w:hAnsi="Calibri"/>
          <w:b/>
          <w:bCs/>
          <w:color w:val="002060"/>
          <w:sz w:val="36"/>
          <w:szCs w:val="36"/>
        </w:rPr>
        <w:t xml:space="preserve">9. Error Handling &amp; Resilience</w:t>
      </w:r>
    </w:p>
    <w:p>
      <w:pPr>
        <w:spacing w:after="120" w:line="264"/>
      </w:pPr>
      <w:r>
        <w:rPr>
          <w:rFonts w:ascii="Georgia" w:cs="Georgia" w:eastAsia="Georgia" w:hAnsi="Georgia"/>
          <w:color w:val="222222"/>
          <w:sz w:val="22"/>
          <w:szCs w:val="22"/>
        </w:rPr>
        <w:t xml:space="preserve">The workflow is designed for graceful degradation. Each stage handles failures independently, ensuring that a single-point failure does not prevent delivery of available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Failure Mode</w:t>
            </w:r>
          </w:p>
        </w:tc>
        <w:tc>
          <w:tcPr>
            <w:tcW w:type="dxa" w:w="4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Handling</w:t>
            </w:r>
          </w:p>
        </w:tc>
        <w:tc>
          <w:tcPr>
            <w:tcW w:type="dxa" w:w="31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Impact</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APFS API down</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3 retries with 10-second delay; saves error state to apfs_rag_results.json</w:t>
            </w:r>
          </w:p>
        </w:tc>
        <w:tc>
          <w:tcPr>
            <w:tcW w:type="dxa" w:w="31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Stage 3 proceeds with SAM.gov data only</w:t>
            </w:r>
          </w:p>
        </w:tc>
      </w:tr>
      <w:tr>
        <w:tc>
          <w:tcPr>
            <w:tcW w:type="dxa" w:w="2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SAM.gov unreachable</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Browser timeout after max wait; partial results saved if any pages loaded</w:t>
            </w:r>
          </w:p>
        </w:tc>
        <w:tc>
          <w:tcPr>
            <w:tcW w:type="dxa" w:w="31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Stage 3 proceeds with APFS data only</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RAG Engine down</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3 retries with exponential backoff (5s, 10s, 15s); records "RAG call failed" per opportunity</w:t>
            </w:r>
          </w:p>
        </w:tc>
        <w:tc>
          <w:tcPr>
            <w:tcW w:type="dxa" w:w="31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Opportunity listed in email without score</w:t>
            </w:r>
          </w:p>
        </w:tc>
      </w:tr>
      <w:tr>
        <w:tc>
          <w:tcPr>
            <w:tcW w:type="dxa" w:w="2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Outlook send fails</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Error notification generated in-app; HTML file preserved locally</w:t>
            </w:r>
          </w:p>
        </w:tc>
        <w:tc>
          <w:tcPr>
            <w:tcW w:type="dxa" w:w="31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User alerted to delivery failure; report still accessible</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Both sources fail</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Stage 3 sends brief notification email about data unavailability</w:t>
            </w:r>
          </w:p>
        </w:tc>
        <w:tc>
          <w:tcPr>
            <w:tcW w:type="dxa" w:w="31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No intelligence email that day; notification sent instead</w:t>
            </w:r>
          </w:p>
        </w:tc>
      </w:tr>
    </w:tbl>
    <w:p>
      <w:r>
        <w:br w:type="page"/>
      </w:r>
    </w:p>
    <w:p>
      <w:pPr>
        <w:pStyle w:val="Heading1"/>
        <w:spacing w:after="120" w:before="240"/>
      </w:pPr>
      <w:r>
        <w:rPr>
          <w:rFonts w:ascii="Calibri" w:cs="Calibri" w:eastAsia="Calibri" w:hAnsi="Calibri"/>
          <w:b/>
          <w:bCs/>
          <w:color w:val="002060"/>
          <w:sz w:val="36"/>
          <w:szCs w:val="36"/>
        </w:rPr>
        <w:t xml:space="preserve">10. Changeis Context</w:t>
      </w:r>
    </w:p>
    <w:p>
      <w:pPr>
        <w:spacing w:after="120" w:line="264"/>
      </w:pPr>
      <w:r>
        <w:rPr>
          <w:rFonts w:ascii="Georgia" w:cs="Georgia" w:eastAsia="Georgia" w:hAnsi="Georgia"/>
          <w:color w:val="222222"/>
          <w:sz w:val="22"/>
          <w:szCs w:val="22"/>
        </w:rPr>
        <w:t xml:space="preserve">This section provides organizational context for the Opportunity Intelligence Workflow and its role in the Changeis business development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008B8B" w:sz="6"/>
              <w:bottom w:val="single" w:color="B0B0B0" w:sz="1"/>
              <w:right w:val="single" w:color="B0B0B0" w:sz="1"/>
            </w:tcBorders>
            <w:shd w:fill="E8F4F8" w:val="clear"/>
            <w:tcMar>
              <w:top w:type="dxa" w:w="100"/>
              <w:left w:type="dxa" w:w="120"/>
              <w:bottom w:type="dxa" w:w="100"/>
              <w:right w:type="dxa" w:w="120"/>
            </w:tcMar>
          </w:tcPr>
          <w:p>
            <w:pPr>
              <w:spacing w:after="40"/>
            </w:pPr>
            <w:r>
              <w:rPr>
                <w:rFonts w:ascii="Calibri" w:cs="Calibri" w:eastAsia="Calibri" w:hAnsi="Calibri"/>
                <w:b/>
                <w:bCs/>
                <w:color w:val="002060"/>
                <w:sz w:val="22"/>
                <w:szCs w:val="22"/>
              </w:rPr>
              <w:t xml:space="preserve">Company Overview</w:t>
            </w:r>
          </w:p>
          <w:p>
            <w:pPr>
              <w:spacing w:after="40"/>
            </w:pPr>
            <w:r>
              <w:rPr>
                <w:rFonts w:ascii="Calibri" w:cs="Calibri" w:eastAsia="Calibri" w:hAnsi="Calibri"/>
                <w:color w:val="333333"/>
                <w:sz w:val="22"/>
                <w:szCs w:val="22"/>
              </w:rPr>
              <w:t xml:space="preserve">Changeis, Inc. is a federal IT and management consulting firm led by President Varun Malhotra.</w:t>
            </w:r>
          </w:p>
          <w:p>
            <w:pPr>
              <w:spacing w:after="40"/>
            </w:pPr>
            <w:r>
              <w:rPr>
                <w:rFonts w:ascii="Calibri" w:cs="Calibri" w:eastAsia="Calibri" w:hAnsi="Calibri"/>
                <w:color w:val="333333"/>
                <w:sz w:val="22"/>
                <w:szCs w:val="22"/>
              </w:rPr>
              <w:t xml:space="preserve">Core capabilities include ERP modernization (IFS), DevSecOps, agile delivery (SAFe), AI integration, program management, and cloud services (AWS/ROSA).</w:t>
            </w:r>
          </w:p>
          <w:p>
            <w:pPr>
              <w:spacing w:after="40"/>
            </w:pPr>
            <w:r>
              <w:rPr>
                <w:rFonts w:ascii="Calibri" w:cs="Calibri" w:eastAsia="Calibri" w:hAnsi="Calibri"/>
                <w:color w:val="333333"/>
                <w:sz w:val="22"/>
                <w:szCs w:val="22"/>
              </w:rPr>
              <w:t xml:space="preserve">Incumbent contracts include FAA CLMRS (6973GH-22-D-00063) and SCOAR IDIQ via Volpe (6913G619D300021).</w:t>
            </w:r>
          </w:p>
          <w:p>
            <w:pPr>
              <w:spacing w:after="40"/>
            </w:pPr>
            <w:r>
              <w:rPr>
                <w:rFonts w:ascii="Calibri" w:cs="Calibri" w:eastAsia="Calibri" w:hAnsi="Calibri"/>
                <w:color w:val="333333"/>
                <w:sz w:val="22"/>
                <w:szCs w:val="22"/>
              </w:rPr>
              <w:t xml:space="preserve">DHS is a strategic expansion target for the firm.</w:t>
            </w:r>
          </w:p>
        </w:tc>
      </w:tr>
    </w:tbl>
    <w:p>
      <w:pPr>
        <w:spacing w:after="120"/>
      </w:pPr>
    </w:p>
    <w:p>
      <w:pPr>
        <w:spacing w:after="120" w:line="264"/>
      </w:pPr>
      <w:r>
        <w:rPr>
          <w:rFonts w:ascii="Georgia" w:cs="Georgia" w:eastAsia="Georgia" w:hAnsi="Georgia"/>
          <w:color w:val="222222"/>
          <w:sz w:val="22"/>
          <w:szCs w:val="22"/>
        </w:rPr>
        <w:t xml:space="preserve">This workflow supports the BD team's daily pipeline of opportunity identification and qualification. By automating the labor-intensive processes of source monitoring, NAICS filtering, and qualification matching, the system enables leadership to focus on strategic pursuit decisions rather than manual opportunity discovery. The RAG-based scoring approach transforms subjective opportunity evaluation into a data-driven qualification process anchored in the firm's demonstrated past performance.</w:t>
      </w:r>
    </w:p>
    <w:p>
      <w:r>
        <w:br w:type="page"/>
      </w:r>
    </w:p>
    <w:p>
      <w:pPr>
        <w:pStyle w:val="Heading1"/>
        <w:spacing w:after="120" w:before="240"/>
      </w:pPr>
      <w:r>
        <w:rPr>
          <w:rFonts w:ascii="Calibri" w:cs="Calibri" w:eastAsia="Calibri" w:hAnsi="Calibri"/>
          <w:b/>
          <w:bCs/>
          <w:color w:val="002060"/>
          <w:sz w:val="36"/>
          <w:szCs w:val="36"/>
        </w:rPr>
        <w:t xml:space="preserve">Appendix A: Cron Expression Reference</w:t>
      </w:r>
    </w:p>
    <w:p>
      <w:pPr>
        <w:spacing w:after="120" w:line="264"/>
      </w:pPr>
      <w:r>
        <w:rPr>
          <w:rFonts w:ascii="Georgia" w:cs="Georgia" w:eastAsia="Georgia" w:hAnsi="Georgia"/>
          <w:color w:val="222222"/>
          <w:sz w:val="22"/>
          <w:szCs w:val="22"/>
        </w:rPr>
        <w:t xml:space="preserve">The three pipeline stages are triggered by cron expressions configured in UTC. The following table provides a quick reference for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Cron Expression</w:t>
            </w:r>
          </w:p>
        </w:tc>
        <w:tc>
          <w:tcPr>
            <w:tcW w:type="dxa" w:w="40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Meaning</w:t>
            </w:r>
          </w:p>
        </w:tc>
        <w:tc>
          <w:tcPr>
            <w:tcW w:type="dxa" w:w="28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AST Equivalent</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 12 * * *</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Every day at 12:00 UTC</w:t>
            </w:r>
          </w:p>
        </w:tc>
        <w:tc>
          <w:tcPr>
            <w:tcW w:type="dxa" w:w="2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8:00 AM AST</w:t>
            </w:r>
          </w:p>
        </w:tc>
      </w:tr>
      <w:tr>
        <w:tc>
          <w:tcPr>
            <w:tcW w:type="dxa" w:w="25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 13 * * *</w:t>
            </w:r>
          </w:p>
        </w:tc>
        <w:tc>
          <w:tcPr>
            <w:tcW w:type="dxa" w:w="40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Every day at 13:00 UTC</w:t>
            </w:r>
          </w:p>
        </w:tc>
        <w:tc>
          <w:tcPr>
            <w:tcW w:type="dxa" w:w="28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9:00 AM AST</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 14 * * *</w:t>
            </w:r>
          </w:p>
        </w:tc>
        <w:tc>
          <w:tcPr>
            <w:tcW w:type="dxa" w:w="4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Every day at 14:00 UTC</w:t>
            </w:r>
          </w:p>
        </w:tc>
        <w:tc>
          <w:tcPr>
            <w:tcW w:type="dxa" w:w="28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10:00 AM AST</w:t>
            </w:r>
          </w:p>
        </w:tc>
      </w:tr>
    </w:tbl>
    <w:p>
      <w:pPr>
        <w:spacing w:after="120"/>
      </w:pPr>
    </w:p>
    <w:p>
      <w:pPr>
        <w:spacing w:after="120" w:line="264"/>
      </w:pPr>
      <w:r>
        <w:rPr>
          <w:rFonts w:ascii="Georgia" w:cs="Georgia" w:eastAsia="Georgia" w:hAnsi="Georgia"/>
          <w:color w:val="222222"/>
          <w:sz w:val="22"/>
          <w:szCs w:val="22"/>
        </w:rPr>
        <w:t xml:space="preserve">Note: AST (Atlantic Standard Time) is UTC−4. Aruba does not observe daylight saving time, so the offset remains constant year-round.</w:t>
      </w:r>
    </w:p>
    <w:p>
      <w:pPr>
        <w:spacing w:after="120"/>
      </w:pPr>
    </w:p>
    <w:p>
      <w:pPr>
        <w:pStyle w:val="Heading1"/>
        <w:spacing w:after="120" w:before="240"/>
      </w:pPr>
      <w:r>
        <w:rPr>
          <w:rFonts w:ascii="Calibri" w:cs="Calibri" w:eastAsia="Calibri" w:hAnsi="Calibri"/>
          <w:b/>
          <w:bCs/>
          <w:color w:val="002060"/>
          <w:sz w:val="36"/>
          <w:szCs w:val="36"/>
        </w:rPr>
        <w:t xml:space="preserve">Appendix B: Scoring Tier Quick Reference</w:t>
      </w:r>
    </w:p>
    <w:p>
      <w:pPr>
        <w:spacing w:after="120" w:line="264"/>
      </w:pPr>
      <w:r>
        <w:rPr>
          <w:rFonts w:ascii="Georgia" w:cs="Georgia" w:eastAsia="Georgia" w:hAnsi="Georgia"/>
          <w:color w:val="222222"/>
          <w:sz w:val="22"/>
          <w:szCs w:val="22"/>
        </w:rPr>
        <w:t xml:space="preserve">The following table summarizes the three qualification tiers used throughout the workflow, including example interpretations for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Tier</w:t>
            </w:r>
          </w:p>
        </w:tc>
        <w:tc>
          <w:tcPr>
            <w:tcW w:type="dxa" w:w="18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Score Range</w:t>
            </w:r>
          </w:p>
        </w:tc>
        <w:tc>
          <w:tcPr>
            <w:tcW w:type="dxa" w:w="180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Color</w:t>
            </w:r>
          </w:p>
        </w:tc>
        <w:tc>
          <w:tcPr>
            <w:tcW w:type="dxa" w:w="4560"/>
            <w:tcBorders>
              <w:top w:val="single" w:color="B0B0B0" w:sz="1"/>
              <w:left w:val="single" w:color="B0B0B0" w:sz="1"/>
              <w:bottom w:val="single" w:color="B0B0B0" w:sz="1"/>
              <w:right w:val="single" w:color="B0B0B0" w:sz="1"/>
            </w:tcBorders>
            <w:shd w:fill="1B2A4A" w:val="clear"/>
            <w:tcMar>
              <w:top w:type="dxa" w:w="40"/>
              <w:left w:type="dxa" w:w="80"/>
              <w:bottom w:type="dxa" w:w="40"/>
              <w:right w:type="dxa" w:w="80"/>
            </w:tcMar>
            <w:vAlign w:val="center"/>
          </w:tcPr>
          <w:p>
            <w:pPr>
              <w:spacing w:after="0"/>
            </w:pPr>
            <w:r>
              <w:rPr>
                <w:rFonts w:ascii="Calibri" w:cs="Calibri" w:eastAsia="Calibri" w:hAnsi="Calibri"/>
                <w:b/>
                <w:bCs/>
                <w:color w:val="FFFFFF"/>
                <w:sz w:val="22"/>
                <w:szCs w:val="22"/>
              </w:rPr>
              <w:t xml:space="preserve">Interpretation &amp; Example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2D7D4A"/>
                <w:sz w:val="20"/>
                <w:szCs w:val="20"/>
              </w:rPr>
              <w:t xml:space="preserve">STRONG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0.65 and above</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D7D4A"/>
                <w:sz w:val="20"/>
                <w:szCs w:val="20"/>
              </w:rPr>
              <w:t xml:space="preserve">██ #2D7D4A (Green)</w:t>
            </w:r>
          </w:p>
        </w:tc>
        <w:tc>
          <w:tcPr>
            <w:tcW w:type="dxa" w:w="45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High qualification match. Example: A SAM.gov IT modernization opportunity scores 0.73 against an FAA CLMRS past performance narrative.</w:t>
            </w:r>
          </w:p>
        </w:tc>
      </w:tr>
      <w:tr>
        <w:tc>
          <w:tcPr>
            <w:tcW w:type="dxa" w:w="12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b/>
                <w:bCs/>
                <w:color w:val="D97D2A"/>
                <w:sz w:val="20"/>
                <w:szCs w:val="20"/>
              </w:rPr>
              <w:t xml:space="preserve">MODERATE</w:t>
            </w:r>
          </w:p>
        </w:tc>
        <w:tc>
          <w:tcPr>
            <w:tcW w:type="dxa" w:w="18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0.50 – 0.64</w:t>
            </w:r>
          </w:p>
        </w:tc>
        <w:tc>
          <w:tcPr>
            <w:tcW w:type="dxa" w:w="180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D97D2A"/>
                <w:sz w:val="20"/>
                <w:szCs w:val="20"/>
              </w:rPr>
              <w:t xml:space="preserve">██ #D97D2A (Orange)</w:t>
            </w:r>
          </w:p>
        </w:tc>
        <w:tc>
          <w:tcPr>
            <w:tcW w:type="dxa" w:w="4560"/>
            <w:tcBorders>
              <w:top w:val="single" w:color="B0B0B0" w:sz="1"/>
              <w:left w:val="single" w:color="B0B0B0" w:sz="1"/>
              <w:bottom w:val="single" w:color="B0B0B0" w:sz="1"/>
              <w:right w:val="single" w:color="B0B0B0" w:sz="1"/>
            </w:tcBorders>
            <w:shd w:fill="F2F6FA"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Partial match. Example: A DHS program management opportunity scores 0.57 — relevant capabilities but limited direct past performance.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b/>
                <w:bCs/>
                <w:color w:val="888888"/>
                <w:sz w:val="20"/>
                <w:szCs w:val="20"/>
              </w:rPr>
              <w:t xml:space="preserve">LOW</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Below 0.50</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888888"/>
                <w:sz w:val="20"/>
                <w:szCs w:val="20"/>
              </w:rPr>
              <w:t xml:space="preserve">██ #888888 (Gray)</w:t>
            </w:r>
          </w:p>
        </w:tc>
        <w:tc>
          <w:tcPr>
            <w:tcW w:type="dxa" w:w="456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pPr>
              <w:spacing w:after="0"/>
            </w:pPr>
            <w:r>
              <w:rPr>
                <w:rFonts w:ascii="Calibri" w:cs="Calibri" w:eastAsia="Calibri" w:hAnsi="Calibri"/>
                <w:color w:val="222222"/>
                <w:sz w:val="20"/>
                <w:szCs w:val="20"/>
              </w:rPr>
              <w:t xml:space="preserve">Low alignment. Example: A landscape architecture solicitation scores 0.21 — tracked for NAICS validation but not actionable.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6666"/>
        <w:sz w:val="16"/>
        <w:szCs w:val="16"/>
      </w:rPr>
      <w:t xml:space="preserve">Changeis Confidential — Workflow Specification — March 2026   |   Page </w:t>
    </w:r>
    <w:r>
      <w:rPr>
        <w:rFonts w:ascii="Calibri" w:cs="Calibri" w:eastAsia="Calibri" w:hAnsi="Calibri"/>
        <w:i/>
        <w:iCs/>
        <w:color w:val="666666"/>
        <w:sz w:val="16"/>
        <w:szCs w:val="16"/>
      </w:rPr>
      <w:fldChar w:fldCharType="begin"/>
      <w:instrText xml:space="preserve">PAGE</w:instrText>
      <w:fldChar w:fldCharType="separate"/>
      <w:fldChar w:fldCharType="end"/>
    </w:r>
    <w:r>
      <w:rPr>
        <w:rFonts w:ascii="Calibri" w:cs="Calibri" w:eastAsia="Calibri" w:hAnsi="Calibri"/>
        <w:i/>
        <w:iCs/>
        <w:color w:val="666666"/>
        <w:sz w:val="16"/>
        <w:szCs w:val="16"/>
      </w:rPr>
      <w:t xml:space="preserve"> of </w:t>
    </w:r>
    <w:r>
      <w:rPr>
        <w:rFonts w:ascii="Calibri" w:cs="Calibri" w:eastAsia="Calibri" w:hAnsi="Calibri"/>
        <w:i/>
        <w:iCs/>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2060"/>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2026-03-22T11:10:51.153Z</dcterms:created>
  <dcterms:modified xsi:type="dcterms:W3CDTF">2026-03-22T11:10:51.158Z</dcterms:modified>
</cp:coreProperties>
</file>

<file path=docProps/custom.xml><?xml version="1.0" encoding="utf-8"?>
<Properties xmlns="http://schemas.openxmlformats.org/officeDocument/2006/custom-properties" xmlns:vt="http://schemas.openxmlformats.org/officeDocument/2006/docPropsVTypes"/>
</file>