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1"/>
        <w:spacing w:before="1000" w:after="100"/>
        <w:jc w:val="left"/>
      </w:pPr>
      <w:r>
        <w:t xml:space="preserve">Información sobre el sistema de evaluación de daños.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5"/>
        <w:gridCol w:w="1505"/>
      </w:tblGrid>
      <w:tr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Nombre</w:t>
            </w:r>
          </w:p>
        </w:tc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Descripción</w:t>
            </w:r>
          </w:p>
        </w:tc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Activo</w:t>
            </w:r>
          </w:p>
        </w:tc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Daños</w:t>
            </w:r>
          </w:p>
        </w:tc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Nivel</w:t>
            </w:r>
          </w:p>
        </w:tc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Departamento</w:t>
            </w:r>
          </w:p>
        </w:tc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Municipio</w:t>
            </w:r>
          </w:p>
        </w:tc>
        <w:tc>
          <w:tcPr>
            <w:tcW w:type="dxa" w:w="1505"/>
          </w:tcPr>
          <w:p>
            <w:pPr>
              <w:pStyle w:val="Heading3"/>
              <w:shd w:fill="CCD1D1" w:color="CCD1D1" w:val="reverseDiagStripe"/>
              <w:jc w:val="center"/>
            </w:pPr>
            <w:r>
              <w:t xml:space="preserve">Respuesta</w:t>
            </w:r>
          </w:p>
        </w:tc>
      </w:tr>
      <w:tr>
        <w:tc>
          <w:p>
            <w:r>
              <w:t xml:space="preserve">Tormenta Tropical BONNIE</w:t>
            </w:r>
          </w:p>
        </w:tc>
        <w:tc>
          <w:p>
            <w:r>
              <w:t xml:space="preserve">Las condiciones climáticas son de alto riesgo, con altas condiciones de oleaje fuerte en el país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Caída de árboles, ramas y vallas publicitarias a causa de las fuertes ráfagas de viento</w:t>
            </w:r>
          </w:p>
        </w:tc>
        <w:tc>
          <w:p>
            <w:r>
              <w:t xml:space="preserve">roja</w:t>
            </w:r>
          </w:p>
        </w:tc>
        <w:tc>
          <w:p>
            <w:r>
              <w:t xml:space="preserve">Ahuachapán</w:t>
            </w:r>
          </w:p>
        </w:tc>
        <w:tc>
          <w:p>
            <w:r>
              <w:t xml:space="preserve">San Francisco Menéndez</w:t>
            </w:r>
          </w:p>
        </w:tc>
        <w:tc>
          <w:p>
            <w:r>
              <w:t xml:space="preserve">Se ha estado realizando actividades para poder habilitar las carreteras y garantizar la conectividad vial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ing2"/>
      <w:jc w:val="left"/>
    </w:pPr>
    <w:r>
      <w:t xml:space="preserve">Informe del 11-19-2022_10-41-30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Title"/>
      <w:jc w:val="center"/>
    </w:pPr>
    <w:r>
      <w:t xml:space="preserve">Informe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2022-11-20T04:41:30.692Z</dcterms:created>
  <dcterms:modified xsi:type="dcterms:W3CDTF">2022-11-20T04:41:30.692Z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