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700"/>
        <w:jc w:val="center"/>
      </w:pPr>
      <w:r>
        <w:rPr>
          <w:b/>
          <w:bCs/>
          <w:color w:val="1b2a4a"/>
          <w:sz w:val="70"/>
          <w:szCs w:val="70"/>
        </w:rPr>
        <w:t xml:space="preserve">AGORA</w:t>
      </w:r>
    </w:p>
    <w:p>
      <w:pPr>
        <w:spacing w:after="260"/>
        <w:jc w:val="center"/>
      </w:pPr>
      <w:r>
        <w:rPr>
          <w:color w:val="0f8b8d"/>
          <w:sz w:val="30"/>
          <w:szCs w:val="30"/>
        </w:rPr>
        <w:t xml:space="preserve">Strategy Research</w:t>
      </w:r>
    </w:p>
    <w:p>
      <w:pPr>
        <w:spacing w:after="900"/>
        <w:jc w:val="center"/>
      </w:pPr>
      <w:r>
        <w:rPr>
          <w:i/>
          <w:iCs/>
          <w:color w:val="5b6472"/>
          <w:sz w:val="21"/>
          <w:szCs w:val="21"/>
        </w:rPr>
        <w:t xml:space="preserve">Testing six simple strategies across real markets and synthetic stress.</w:t>
      </w:r>
    </w:p>
    <w:p>
      <w:pPr>
        <w:jc w:val="center"/>
      </w:pPr>
      <w:r>
        <w:rPr>
          <w:b/>
          <w:bCs/>
          <w:color w:val="1b2a4a"/>
          <w:sz w:val="19"/>
          <w:szCs w:val="19"/>
        </w:rPr>
        <w:t xml:space="preserve">Investment portfolio  .  Quantitative project  .  September 2026</w:t>
      </w:r>
    </w:p>
    <w:p>
      <w:r>
        <w:br w:type="page"/>
      </w:r>
    </w:p>
    <w:p>
      <w:pPr>
        <w:pStyle w:val="Heading1"/>
        <w:spacing w:after="120" w:before="300"/>
      </w:pPr>
      <w:r>
        <w:rPr>
          <w:b/>
          <w:bCs/>
          <w:color w:val="1b2a4a"/>
          <w:sz w:val="28"/>
          <w:szCs w:val="28"/>
        </w:rPr>
        <w:t xml:space="preserve">1. What this is</w:t>
      </w:r>
    </w:p>
    <w:p>
      <w:pPr>
        <w:spacing w:after="140" w:line="288"/>
        <w:jc w:val="both"/>
      </w:pPr>
      <w:r>
        <w:rPr>
          <w:color w:val="202733"/>
          <w:sz w:val="22"/>
          <w:szCs w:val="22"/>
        </w:rPr>
        <w:t xml:space="preserve">We built a way to test a trading rule on any market, real or made up, with the same code. The rule never knows what it is looking at. It just reads prices. That lets us run the same rule on Apple, then on Microsoft, then on a synthetic crash, without changing a line of the rule.</w:t>
      </w:r>
    </w:p>
    <w:p>
      <w:pPr>
        <w:spacing w:after="140" w:line="288"/>
        <w:jc w:val="both"/>
      </w:pPr>
      <w:r>
        <w:rPr>
          <w:color w:val="202733"/>
          <w:sz w:val="22"/>
          <w:szCs w:val="22"/>
        </w:rPr>
        <w:t xml:space="preserve">This report puts that to work. It runs six simple strategies across a basket of twelve real companies over ten years, compares each one to its benchmark index, and then stress tests each on made-up markets. The point is the method, not finding a system that prints money.</w:t>
      </w:r>
    </w:p>
    <w:p>
      <w:pPr>
        <w:spacing w:after="140" w:line="288"/>
        <w:jc w:val="both"/>
      </w:pPr>
      <w:r>
        <w:rPr>
          <w:color w:val="202733"/>
          <w:sz w:val="22"/>
          <w:szCs w:val="22"/>
        </w:rPr>
        <w:t xml:space="preserve">The coding was done with the help of AI, because coding is not my strong area. I set the direction, chose the strategies and the tests, and read the results.</w:t>
      </w:r>
    </w:p>
    <w:p>
      <w:pPr>
        <w:pStyle w:val="Heading1"/>
        <w:spacing w:after="120" w:before="300"/>
      </w:pPr>
      <w:r>
        <w:rPr>
          <w:b/>
          <w:bCs/>
          <w:color w:val="1b2a4a"/>
          <w:sz w:val="28"/>
          <w:szCs w:val="28"/>
        </w:rPr>
        <w:t xml:space="preserve">2. How the test works</w:t>
      </w:r>
    </w:p>
    <w:p>
      <w:pPr>
        <w:spacing w:after="140" w:line="288"/>
        <w:jc w:val="both"/>
      </w:pPr>
      <w:r>
        <w:rPr>
          <w:color w:val="202733"/>
          <w:sz w:val="22"/>
          <w:szCs w:val="22"/>
        </w:rPr>
        <w:t xml:space="preserve">Each strategy is a simple rule that is either holding the market or sitting in cash. Buy and hold just holds. The moving average cross holds while a fast average sits above a slow one. Momentum holds after a rise. Mean reversion buys falls back towards an average. Breakout buys new highs. Buy the dip buys after a drop and takes profit after a bounce.</w:t>
      </w:r>
    </w:p>
    <w:p>
      <w:pPr>
        <w:spacing w:after="140" w:line="288"/>
        <w:jc w:val="both"/>
      </w:pPr>
      <w:r>
        <w:rPr>
          <w:color w:val="202733"/>
          <w:sz w:val="22"/>
          <w:szCs w:val="22"/>
        </w:rPr>
        <w:t xml:space="preserve">Every trade pays a small cost, so the busy rules cannot keep all of their paper gains. For each run we work out the yearly growth rate, the Sharpe ratio, which is return for each unit of wobble, the worst fall from a peak, and the return above the benchmark index. The benchmark matters. A rule making fifteen percent is not clever if the index made twenty.</w:t>
      </w:r>
    </w:p>
    <w:p>
      <w:pPr>
        <w:pStyle w:val="Heading1"/>
        <w:spacing w:after="120" w:before="300"/>
      </w:pPr>
      <w:r>
        <w:rPr>
          <w:b/>
          <w:bCs/>
          <w:color w:val="1b2a4a"/>
          <w:sz w:val="28"/>
          <w:szCs w:val="28"/>
        </w:rPr>
        <w:t xml:space="preserve">3. Results</w:t>
      </w:r>
    </w:p>
    <w:p>
      <w:pPr>
        <w:spacing w:after="140" w:line="288"/>
        <w:jc w:val="both"/>
      </w:pPr>
      <w:r>
        <w:rPr>
          <w:color w:val="202733"/>
          <w:sz w:val="22"/>
          <w:szCs w:val="22"/>
        </w:rPr>
        <w:t xml:space="preserve">The table shows all six strategies, averaged across the basket of twelve companies over ten years. The last three columns are the stress test, the total return on a normal, a crashing, and a volatile synthetic market.</w:t>
      </w:r>
    </w:p>
    <w:tbl>
      <w:tblPr>
        <w:tblW w:type="pct" w:w="100%"/>
        <w:tblBorders>
          <w:top w:val="single" w:color="c9d1dc" w:sz="2"/>
          <w:left w:val="single" w:color="c9d1dc" w:sz="2"/>
          <w:bottom w:val="single" w:color="c9d1dc" w:sz="2"/>
          <w:right w:val="single" w:color="c9d1dc" w:sz="2"/>
          <w:insideH w:val="single" w:color="c9d1dc" w:sz="2"/>
          <w:insideV w:val="single" w:color="c9d1dc" w:sz="2"/>
        </w:tblBorders>
      </w:tblPr>
      <w:tblGrid>
        <w:gridCol w:w="100"/>
        <w:gridCol w:w="100"/>
        <w:gridCol w:w="100"/>
        <w:gridCol w:w="100"/>
        <w:gridCol w:w="100"/>
        <w:gridCol w:w="100"/>
        <w:gridCol w:w="100"/>
        <w:gridCol w:w="100"/>
        <w:gridCol w:w="100"/>
      </w:tblGrid>
      <w:tr>
        <w:trPr>
          <w:tblHeader/>
        </w:trPr>
        <w:tc>
          <w:tcPr>
            <w:tcW w:type="pct" w:w="22%"/>
            <w:shd w:fill="1b2a4a" w:color="auto" w:val="clear"/>
            <w:tcMar>
              <w:top w:type="dxa" w:w="50"/>
              <w:left w:type="dxa" w:w="80"/>
              <w:bottom w:type="dxa" w:w="50"/>
              <w:right w:type="dxa" w:w="80"/>
            </w:tcMar>
          </w:tcPr>
          <w:p>
            <w:r>
              <w:rPr>
                <w:b/>
                <w:bCs/>
                <w:color w:val="ffffff"/>
                <w:sz w:val="16"/>
                <w:szCs w:val="16"/>
              </w:rPr>
              <w:t xml:space="preserve">Strategy</w:t>
            </w:r>
          </w:p>
        </w:tc>
        <w:tc>
          <w:tcPr>
            <w:tcW w:type="pct" w:w="9%"/>
            <w:shd w:fill="1b2a4a" w:color="auto" w:val="clear"/>
            <w:tcMar>
              <w:top w:type="dxa" w:w="50"/>
              <w:left w:type="dxa" w:w="80"/>
              <w:bottom w:type="dxa" w:w="50"/>
              <w:right w:type="dxa" w:w="80"/>
            </w:tcMar>
          </w:tcPr>
          <w:p>
            <w:r>
              <w:rPr>
                <w:b/>
                <w:bCs/>
                <w:color w:val="ffffff"/>
                <w:sz w:val="16"/>
                <w:szCs w:val="16"/>
              </w:rPr>
              <w:t xml:space="preserve">Yearly</w:t>
            </w:r>
          </w:p>
        </w:tc>
        <w:tc>
          <w:tcPr>
            <w:tcW w:type="pct" w:w="9%"/>
            <w:shd w:fill="1b2a4a" w:color="auto" w:val="clear"/>
            <w:tcMar>
              <w:top w:type="dxa" w:w="50"/>
              <w:left w:type="dxa" w:w="80"/>
              <w:bottom w:type="dxa" w:w="50"/>
              <w:right w:type="dxa" w:w="80"/>
            </w:tcMar>
          </w:tcPr>
          <w:p>
            <w:r>
              <w:rPr>
                <w:b/>
                <w:bCs/>
                <w:color w:val="ffffff"/>
                <w:sz w:val="16"/>
                <w:szCs w:val="16"/>
              </w:rPr>
              <w:t xml:space="preserve">Sharpe</w:t>
            </w:r>
          </w:p>
        </w:tc>
        <w:tc>
          <w:tcPr>
            <w:tcW w:type="pct" w:w="11%"/>
            <w:shd w:fill="1b2a4a" w:color="auto" w:val="clear"/>
            <w:tcMar>
              <w:top w:type="dxa" w:w="50"/>
              <w:left w:type="dxa" w:w="80"/>
              <w:bottom w:type="dxa" w:w="50"/>
              <w:right w:type="dxa" w:w="80"/>
            </w:tcMar>
          </w:tcPr>
          <w:p>
            <w:r>
              <w:rPr>
                <w:b/>
                <w:bCs/>
                <w:color w:val="ffffff"/>
                <w:sz w:val="16"/>
                <w:szCs w:val="16"/>
              </w:rPr>
              <w:t xml:space="preserve">Worst fall</w:t>
            </w:r>
          </w:p>
        </w:tc>
        <w:tc>
          <w:tcPr>
            <w:tcW w:type="pct" w:w="10%"/>
            <w:shd w:fill="1b2a4a" w:color="auto" w:val="clear"/>
            <w:tcMar>
              <w:top w:type="dxa" w:w="50"/>
              <w:left w:type="dxa" w:w="80"/>
              <w:bottom w:type="dxa" w:w="50"/>
              <w:right w:type="dxa" w:w="80"/>
            </w:tcMar>
          </w:tcPr>
          <w:p>
            <w:r>
              <w:rPr>
                <w:b/>
                <w:bCs/>
                <w:color w:val="ffffff"/>
                <w:sz w:val="16"/>
                <w:szCs w:val="16"/>
              </w:rPr>
              <w:t xml:space="preserve">Vs index</w:t>
            </w:r>
          </w:p>
        </w:tc>
        <w:tc>
          <w:tcPr>
            <w:tcW w:type="pct" w:w="9%"/>
            <w:shd w:fill="1b2a4a" w:color="auto" w:val="clear"/>
            <w:tcMar>
              <w:top w:type="dxa" w:w="50"/>
              <w:left w:type="dxa" w:w="80"/>
              <w:bottom w:type="dxa" w:w="50"/>
              <w:right w:type="dxa" w:w="80"/>
            </w:tcMar>
          </w:tcPr>
          <w:p>
            <w:r>
              <w:rPr>
                <w:b/>
                <w:bCs/>
                <w:color w:val="ffffff"/>
                <w:sz w:val="16"/>
                <w:szCs w:val="16"/>
              </w:rPr>
              <w:t xml:space="preserve">Win rate</w:t>
            </w:r>
          </w:p>
        </w:tc>
        <w:tc>
          <w:tcPr>
            <w:tcW w:type="pct" w:w="10%"/>
            <w:shd w:fill="1b2a4a" w:color="auto" w:val="clear"/>
            <w:tcMar>
              <w:top w:type="dxa" w:w="50"/>
              <w:left w:type="dxa" w:w="80"/>
              <w:bottom w:type="dxa" w:w="50"/>
              <w:right w:type="dxa" w:w="80"/>
            </w:tcMar>
          </w:tcPr>
          <w:p>
            <w:r>
              <w:rPr>
                <w:b/>
                <w:bCs/>
                <w:color w:val="ffffff"/>
                <w:sz w:val="16"/>
                <w:szCs w:val="16"/>
              </w:rPr>
              <w:t xml:space="preserve">Normal</w:t>
            </w:r>
          </w:p>
        </w:tc>
        <w:tc>
          <w:tcPr>
            <w:tcW w:type="pct" w:w="10%"/>
            <w:shd w:fill="1b2a4a" w:color="auto" w:val="clear"/>
            <w:tcMar>
              <w:top w:type="dxa" w:w="50"/>
              <w:left w:type="dxa" w:w="80"/>
              <w:bottom w:type="dxa" w:w="50"/>
              <w:right w:type="dxa" w:w="80"/>
            </w:tcMar>
          </w:tcPr>
          <w:p>
            <w:r>
              <w:rPr>
                <w:b/>
                <w:bCs/>
                <w:color w:val="ffffff"/>
                <w:sz w:val="16"/>
                <w:szCs w:val="16"/>
              </w:rPr>
              <w:t xml:space="preserve">Crash</w:t>
            </w:r>
          </w:p>
        </w:tc>
        <w:tc>
          <w:tcPr>
            <w:tcW w:type="pct" w:w="10%"/>
            <w:shd w:fill="1b2a4a" w:color="auto" w:val="clear"/>
            <w:tcMar>
              <w:top w:type="dxa" w:w="50"/>
              <w:left w:type="dxa" w:w="80"/>
              <w:bottom w:type="dxa" w:w="50"/>
              <w:right w:type="dxa" w:w="80"/>
            </w:tcMar>
          </w:tcPr>
          <w:p>
            <w:r>
              <w:rPr>
                <w:b/>
                <w:bCs/>
                <w:color w:val="ffffff"/>
                <w:sz w:val="16"/>
                <w:szCs w:val="16"/>
              </w:rPr>
              <w:t xml:space="preserve">Volatile</w:t>
            </w:r>
          </w:p>
        </w:tc>
      </w:tr>
      <w:tr>
        <w:tc>
          <w:tcPr>
            <w:tcW w:type="pct" w:w="22%"/>
            <w:tcMar>
              <w:top w:type="dxa" w:w="50"/>
              <w:left w:type="dxa" w:w="80"/>
              <w:bottom w:type="dxa" w:w="50"/>
              <w:right w:type="dxa" w:w="80"/>
            </w:tcMar>
          </w:tcPr>
          <w:p>
            <w:r>
              <w:rPr>
                <w:b w:val="false"/>
                <w:bCs w:val="false"/>
                <w:color w:val="202733"/>
                <w:sz w:val="16"/>
                <w:szCs w:val="16"/>
              </w:rPr>
              <w:t xml:space="preserve">Buy and hold</w:t>
            </w:r>
          </w:p>
        </w:tc>
        <w:tc>
          <w:tcPr>
            <w:tcW w:type="pct" w:w="9%"/>
            <w:tcMar>
              <w:top w:type="dxa" w:w="50"/>
              <w:left w:type="dxa" w:w="80"/>
              <w:bottom w:type="dxa" w:w="50"/>
              <w:right w:type="dxa" w:w="80"/>
            </w:tcMar>
          </w:tcPr>
          <w:p>
            <w:r>
              <w:rPr>
                <w:b w:val="false"/>
                <w:bCs w:val="false"/>
                <w:color w:val="202733"/>
                <w:sz w:val="16"/>
                <w:szCs w:val="16"/>
              </w:rPr>
              <w:t xml:space="preserve">21.9%</w:t>
            </w:r>
          </w:p>
        </w:tc>
        <w:tc>
          <w:tcPr>
            <w:tcW w:type="pct" w:w="9%"/>
            <w:tcMar>
              <w:top w:type="dxa" w:w="50"/>
              <w:left w:type="dxa" w:w="80"/>
              <w:bottom w:type="dxa" w:w="50"/>
              <w:right w:type="dxa" w:w="80"/>
            </w:tcMar>
          </w:tcPr>
          <w:p>
            <w:r>
              <w:rPr>
                <w:b w:val="false"/>
                <w:bCs w:val="false"/>
                <w:color w:val="202733"/>
                <w:sz w:val="16"/>
                <w:szCs w:val="16"/>
              </w:rPr>
              <w:t xml:space="preserve">0.74</w:t>
            </w:r>
          </w:p>
        </w:tc>
        <w:tc>
          <w:tcPr>
            <w:tcW w:type="pct" w:w="11%"/>
            <w:tcMar>
              <w:top w:type="dxa" w:w="50"/>
              <w:left w:type="dxa" w:w="80"/>
              <w:bottom w:type="dxa" w:w="50"/>
              <w:right w:type="dxa" w:w="80"/>
            </w:tcMar>
          </w:tcPr>
          <w:p>
            <w:r>
              <w:rPr>
                <w:b w:val="false"/>
                <w:bCs w:val="false"/>
                <w:color w:val="202733"/>
                <w:sz w:val="16"/>
                <w:szCs w:val="16"/>
              </w:rPr>
              <w:t xml:space="preserve">-49.7%</w:t>
            </w:r>
          </w:p>
        </w:tc>
        <w:tc>
          <w:tcPr>
            <w:tcW w:type="pct" w:w="10%"/>
            <w:tcMar>
              <w:top w:type="dxa" w:w="50"/>
              <w:left w:type="dxa" w:w="80"/>
              <w:bottom w:type="dxa" w:w="50"/>
              <w:right w:type="dxa" w:w="80"/>
            </w:tcMar>
          </w:tcPr>
          <w:p>
            <w:r>
              <w:rPr>
                <w:b w:val="false"/>
                <w:bCs w:val="false"/>
                <w:color w:val="202733"/>
                <w:sz w:val="16"/>
                <w:szCs w:val="16"/>
              </w:rPr>
              <w:t xml:space="preserve">+6.2%</w:t>
            </w:r>
          </w:p>
        </w:tc>
        <w:tc>
          <w:tcPr>
            <w:tcW w:type="pct" w:w="9%"/>
            <w:tcMar>
              <w:top w:type="dxa" w:w="50"/>
              <w:left w:type="dxa" w:w="80"/>
              <w:bottom w:type="dxa" w:w="50"/>
              <w:right w:type="dxa" w:w="80"/>
            </w:tcMar>
          </w:tcPr>
          <w:p>
            <w:r>
              <w:rPr>
                <w:b w:val="false"/>
                <w:bCs w:val="false"/>
                <w:color w:val="202733"/>
                <w:sz w:val="16"/>
                <w:szCs w:val="16"/>
              </w:rPr>
              <w:t xml:space="preserve">0%</w:t>
            </w:r>
          </w:p>
        </w:tc>
        <w:tc>
          <w:tcPr>
            <w:tcW w:type="pct" w:w="10%"/>
            <w:tcMar>
              <w:top w:type="dxa" w:w="50"/>
              <w:left w:type="dxa" w:w="80"/>
              <w:bottom w:type="dxa" w:w="50"/>
              <w:right w:type="dxa" w:w="80"/>
            </w:tcMar>
          </w:tcPr>
          <w:p>
            <w:r>
              <w:rPr>
                <w:b w:val="false"/>
                <w:bCs w:val="false"/>
                <w:color w:val="202733"/>
                <w:sz w:val="16"/>
                <w:szCs w:val="16"/>
              </w:rPr>
              <w:t xml:space="preserve">+43.1%</w:t>
            </w:r>
          </w:p>
        </w:tc>
        <w:tc>
          <w:tcPr>
            <w:tcW w:type="pct" w:w="10%"/>
            <w:tcMar>
              <w:top w:type="dxa" w:w="50"/>
              <w:left w:type="dxa" w:w="80"/>
              <w:bottom w:type="dxa" w:w="50"/>
              <w:right w:type="dxa" w:w="80"/>
            </w:tcMar>
          </w:tcPr>
          <w:p>
            <w:r>
              <w:rPr>
                <w:b w:val="false"/>
                <w:bCs w:val="false"/>
                <w:color w:val="202733"/>
                <w:sz w:val="16"/>
                <w:szCs w:val="16"/>
              </w:rPr>
              <w:t xml:space="preserve">-21.3%</w:t>
            </w:r>
          </w:p>
        </w:tc>
        <w:tc>
          <w:tcPr>
            <w:tcW w:type="pct" w:w="10%"/>
            <w:tcMar>
              <w:top w:type="dxa" w:w="50"/>
              <w:left w:type="dxa" w:w="80"/>
              <w:bottom w:type="dxa" w:w="50"/>
              <w:right w:type="dxa" w:w="80"/>
            </w:tcMar>
          </w:tcPr>
          <w:p>
            <w:r>
              <w:rPr>
                <w:b w:val="false"/>
                <w:bCs w:val="false"/>
                <w:color w:val="202733"/>
                <w:sz w:val="16"/>
                <w:szCs w:val="16"/>
              </w:rPr>
              <w:t xml:space="preserve">-19.5%</w:t>
            </w:r>
          </w:p>
        </w:tc>
      </w:tr>
      <w:tr>
        <w:tc>
          <w:tcPr>
            <w:tcW w:type="pct" w:w="22%"/>
            <w:tcMar>
              <w:top w:type="dxa" w:w="50"/>
              <w:left w:type="dxa" w:w="80"/>
              <w:bottom w:type="dxa" w:w="50"/>
              <w:right w:type="dxa" w:w="80"/>
            </w:tcMar>
          </w:tcPr>
          <w:p>
            <w:r>
              <w:rPr>
                <w:b w:val="false"/>
                <w:bCs w:val="false"/>
                <w:color w:val="202733"/>
                <w:sz w:val="16"/>
                <w:szCs w:val="16"/>
              </w:rPr>
              <w:t xml:space="preserve">MA cross 20/50</w:t>
            </w:r>
          </w:p>
        </w:tc>
        <w:tc>
          <w:tcPr>
            <w:tcW w:type="pct" w:w="9%"/>
            <w:tcMar>
              <w:top w:type="dxa" w:w="50"/>
              <w:left w:type="dxa" w:w="80"/>
              <w:bottom w:type="dxa" w:w="50"/>
              <w:right w:type="dxa" w:w="80"/>
            </w:tcMar>
          </w:tcPr>
          <w:p>
            <w:r>
              <w:rPr>
                <w:b w:val="false"/>
                <w:bCs w:val="false"/>
                <w:color w:val="202733"/>
                <w:sz w:val="16"/>
                <w:szCs w:val="16"/>
              </w:rPr>
              <w:t xml:space="preserve">9.4%</w:t>
            </w:r>
          </w:p>
        </w:tc>
        <w:tc>
          <w:tcPr>
            <w:tcW w:type="pct" w:w="9%"/>
            <w:tcMar>
              <w:top w:type="dxa" w:w="50"/>
              <w:left w:type="dxa" w:w="80"/>
              <w:bottom w:type="dxa" w:w="50"/>
              <w:right w:type="dxa" w:w="80"/>
            </w:tcMar>
          </w:tcPr>
          <w:p>
            <w:r>
              <w:rPr>
                <w:b w:val="false"/>
                <w:bCs w:val="false"/>
                <w:color w:val="202733"/>
                <w:sz w:val="16"/>
                <w:szCs w:val="16"/>
              </w:rPr>
              <w:t xml:space="preserve">0.45</w:t>
            </w:r>
          </w:p>
        </w:tc>
        <w:tc>
          <w:tcPr>
            <w:tcW w:type="pct" w:w="11%"/>
            <w:tcMar>
              <w:top w:type="dxa" w:w="50"/>
              <w:left w:type="dxa" w:w="80"/>
              <w:bottom w:type="dxa" w:w="50"/>
              <w:right w:type="dxa" w:w="80"/>
            </w:tcMar>
          </w:tcPr>
          <w:p>
            <w:r>
              <w:rPr>
                <w:b w:val="false"/>
                <w:bCs w:val="false"/>
                <w:color w:val="202733"/>
                <w:sz w:val="16"/>
                <w:szCs w:val="16"/>
              </w:rPr>
              <w:t xml:space="preserve">-44.1%</w:t>
            </w:r>
          </w:p>
        </w:tc>
        <w:tc>
          <w:tcPr>
            <w:tcW w:type="pct" w:w="10%"/>
            <w:tcMar>
              <w:top w:type="dxa" w:w="50"/>
              <w:left w:type="dxa" w:w="80"/>
              <w:bottom w:type="dxa" w:w="50"/>
              <w:right w:type="dxa" w:w="80"/>
            </w:tcMar>
          </w:tcPr>
          <w:p>
            <w:r>
              <w:rPr>
                <w:b w:val="false"/>
                <w:bCs w:val="false"/>
                <w:color w:val="202733"/>
                <w:sz w:val="16"/>
                <w:szCs w:val="16"/>
              </w:rPr>
              <w:t xml:space="preserve">-6.2%</w:t>
            </w:r>
          </w:p>
        </w:tc>
        <w:tc>
          <w:tcPr>
            <w:tcW w:type="pct" w:w="9%"/>
            <w:tcMar>
              <w:top w:type="dxa" w:w="50"/>
              <w:left w:type="dxa" w:w="80"/>
              <w:bottom w:type="dxa" w:w="50"/>
              <w:right w:type="dxa" w:w="80"/>
            </w:tcMar>
          </w:tcPr>
          <w:p>
            <w:r>
              <w:rPr>
                <w:b w:val="false"/>
                <w:bCs w:val="false"/>
                <w:color w:val="202733"/>
                <w:sz w:val="16"/>
                <w:szCs w:val="16"/>
              </w:rPr>
              <w:t xml:space="preserve">47%</w:t>
            </w:r>
          </w:p>
        </w:tc>
        <w:tc>
          <w:tcPr>
            <w:tcW w:type="pct" w:w="10%"/>
            <w:tcMar>
              <w:top w:type="dxa" w:w="50"/>
              <w:left w:type="dxa" w:w="80"/>
              <w:bottom w:type="dxa" w:w="50"/>
              <w:right w:type="dxa" w:w="80"/>
            </w:tcMar>
          </w:tcPr>
          <w:p>
            <w:r>
              <w:rPr>
                <w:b w:val="false"/>
                <w:bCs w:val="false"/>
                <w:color w:val="202733"/>
                <w:sz w:val="16"/>
                <w:szCs w:val="16"/>
              </w:rPr>
              <w:t xml:space="preserve">+30.8%</w:t>
            </w:r>
          </w:p>
        </w:tc>
        <w:tc>
          <w:tcPr>
            <w:tcW w:type="pct" w:w="10%"/>
            <w:tcMar>
              <w:top w:type="dxa" w:w="50"/>
              <w:left w:type="dxa" w:w="80"/>
              <w:bottom w:type="dxa" w:w="50"/>
              <w:right w:type="dxa" w:w="80"/>
            </w:tcMar>
          </w:tcPr>
          <w:p>
            <w:r>
              <w:rPr>
                <w:b w:val="false"/>
                <w:bCs w:val="false"/>
                <w:color w:val="202733"/>
                <w:sz w:val="16"/>
                <w:szCs w:val="16"/>
              </w:rPr>
              <w:t xml:space="preserve">+16.2%</w:t>
            </w:r>
          </w:p>
        </w:tc>
        <w:tc>
          <w:tcPr>
            <w:tcW w:type="pct" w:w="10%"/>
            <w:tcMar>
              <w:top w:type="dxa" w:w="50"/>
              <w:left w:type="dxa" w:w="80"/>
              <w:bottom w:type="dxa" w:w="50"/>
              <w:right w:type="dxa" w:w="80"/>
            </w:tcMar>
          </w:tcPr>
          <w:p>
            <w:r>
              <w:rPr>
                <w:b w:val="false"/>
                <w:bCs w:val="false"/>
                <w:color w:val="202733"/>
                <w:sz w:val="16"/>
                <w:szCs w:val="16"/>
              </w:rPr>
              <w:t xml:space="preserve">-36.6%</w:t>
            </w:r>
          </w:p>
        </w:tc>
      </w:tr>
      <w:tr>
        <w:tc>
          <w:tcPr>
            <w:tcW w:type="pct" w:w="22%"/>
            <w:tcMar>
              <w:top w:type="dxa" w:w="50"/>
              <w:left w:type="dxa" w:w="80"/>
              <w:bottom w:type="dxa" w:w="50"/>
              <w:right w:type="dxa" w:w="80"/>
            </w:tcMar>
          </w:tcPr>
          <w:p>
            <w:r>
              <w:rPr>
                <w:b w:val="false"/>
                <w:bCs w:val="false"/>
                <w:color w:val="202733"/>
                <w:sz w:val="16"/>
                <w:szCs w:val="16"/>
              </w:rPr>
              <w:t xml:space="preserve">Momentum 20d 5%</w:t>
            </w:r>
          </w:p>
        </w:tc>
        <w:tc>
          <w:tcPr>
            <w:tcW w:type="pct" w:w="9%"/>
            <w:tcMar>
              <w:top w:type="dxa" w:w="50"/>
              <w:left w:type="dxa" w:w="80"/>
              <w:bottom w:type="dxa" w:w="50"/>
              <w:right w:type="dxa" w:w="80"/>
            </w:tcMar>
          </w:tcPr>
          <w:p>
            <w:r>
              <w:rPr>
                <w:b w:val="false"/>
                <w:bCs w:val="false"/>
                <w:color w:val="202733"/>
                <w:sz w:val="16"/>
                <w:szCs w:val="16"/>
              </w:rPr>
              <w:t xml:space="preserve">11.8%</w:t>
            </w:r>
          </w:p>
        </w:tc>
        <w:tc>
          <w:tcPr>
            <w:tcW w:type="pct" w:w="9%"/>
            <w:tcMar>
              <w:top w:type="dxa" w:w="50"/>
              <w:left w:type="dxa" w:w="80"/>
              <w:bottom w:type="dxa" w:w="50"/>
              <w:right w:type="dxa" w:w="80"/>
            </w:tcMar>
          </w:tcPr>
          <w:p>
            <w:r>
              <w:rPr>
                <w:b w:val="false"/>
                <w:bCs w:val="false"/>
                <w:color w:val="202733"/>
                <w:sz w:val="16"/>
                <w:szCs w:val="16"/>
              </w:rPr>
              <w:t xml:space="preserve">0.52</w:t>
            </w:r>
          </w:p>
        </w:tc>
        <w:tc>
          <w:tcPr>
            <w:tcW w:type="pct" w:w="11%"/>
            <w:tcMar>
              <w:top w:type="dxa" w:w="50"/>
              <w:left w:type="dxa" w:w="80"/>
              <w:bottom w:type="dxa" w:w="50"/>
              <w:right w:type="dxa" w:w="80"/>
            </w:tcMar>
          </w:tcPr>
          <w:p>
            <w:r>
              <w:rPr>
                <w:b w:val="false"/>
                <w:bCs w:val="false"/>
                <w:color w:val="202733"/>
                <w:sz w:val="16"/>
                <w:szCs w:val="16"/>
              </w:rPr>
              <w:t xml:space="preserve">-39.7%</w:t>
            </w:r>
          </w:p>
        </w:tc>
        <w:tc>
          <w:tcPr>
            <w:tcW w:type="pct" w:w="10%"/>
            <w:tcMar>
              <w:top w:type="dxa" w:w="50"/>
              <w:left w:type="dxa" w:w="80"/>
              <w:bottom w:type="dxa" w:w="50"/>
              <w:right w:type="dxa" w:w="80"/>
            </w:tcMar>
          </w:tcPr>
          <w:p>
            <w:r>
              <w:rPr>
                <w:b w:val="false"/>
                <w:bCs w:val="false"/>
                <w:color w:val="202733"/>
                <w:sz w:val="16"/>
                <w:szCs w:val="16"/>
              </w:rPr>
              <w:t xml:space="preserve">-3.9%</w:t>
            </w:r>
          </w:p>
        </w:tc>
        <w:tc>
          <w:tcPr>
            <w:tcW w:type="pct" w:w="9%"/>
            <w:tcMar>
              <w:top w:type="dxa" w:w="50"/>
              <w:left w:type="dxa" w:w="80"/>
              <w:bottom w:type="dxa" w:w="50"/>
              <w:right w:type="dxa" w:w="80"/>
            </w:tcMar>
          </w:tcPr>
          <w:p>
            <w:r>
              <w:rPr>
                <w:b w:val="false"/>
                <w:bCs w:val="false"/>
                <w:color w:val="202733"/>
                <w:sz w:val="16"/>
                <w:szCs w:val="16"/>
              </w:rPr>
              <w:t xml:space="preserve">44%</w:t>
            </w:r>
          </w:p>
        </w:tc>
        <w:tc>
          <w:tcPr>
            <w:tcW w:type="pct" w:w="10%"/>
            <w:tcMar>
              <w:top w:type="dxa" w:w="50"/>
              <w:left w:type="dxa" w:w="80"/>
              <w:bottom w:type="dxa" w:w="50"/>
              <w:right w:type="dxa" w:w="80"/>
            </w:tcMar>
          </w:tcPr>
          <w:p>
            <w:r>
              <w:rPr>
                <w:b w:val="false"/>
                <w:bCs w:val="false"/>
                <w:color w:val="202733"/>
                <w:sz w:val="16"/>
                <w:szCs w:val="16"/>
              </w:rPr>
              <w:t xml:space="preserve">+29.7%</w:t>
            </w:r>
          </w:p>
        </w:tc>
        <w:tc>
          <w:tcPr>
            <w:tcW w:type="pct" w:w="10%"/>
            <w:tcMar>
              <w:top w:type="dxa" w:w="50"/>
              <w:left w:type="dxa" w:w="80"/>
              <w:bottom w:type="dxa" w:w="50"/>
              <w:right w:type="dxa" w:w="80"/>
            </w:tcMar>
          </w:tcPr>
          <w:p>
            <w:r>
              <w:rPr>
                <w:b w:val="false"/>
                <w:bCs w:val="false"/>
                <w:color w:val="202733"/>
                <w:sz w:val="16"/>
                <w:szCs w:val="16"/>
              </w:rPr>
              <w:t xml:space="preserve">+26.0%</w:t>
            </w:r>
          </w:p>
        </w:tc>
        <w:tc>
          <w:tcPr>
            <w:tcW w:type="pct" w:w="10%"/>
            <w:tcMar>
              <w:top w:type="dxa" w:w="50"/>
              <w:left w:type="dxa" w:w="80"/>
              <w:bottom w:type="dxa" w:w="50"/>
              <w:right w:type="dxa" w:w="80"/>
            </w:tcMar>
          </w:tcPr>
          <w:p>
            <w:r>
              <w:rPr>
                <w:b w:val="false"/>
                <w:bCs w:val="false"/>
                <w:color w:val="202733"/>
                <w:sz w:val="16"/>
                <w:szCs w:val="16"/>
              </w:rPr>
              <w:t xml:space="preserve">-27.9%</w:t>
            </w:r>
          </w:p>
        </w:tc>
      </w:tr>
      <w:tr>
        <w:tc>
          <w:tcPr>
            <w:tcW w:type="pct" w:w="22%"/>
            <w:tcMar>
              <w:top w:type="dxa" w:w="50"/>
              <w:left w:type="dxa" w:w="80"/>
              <w:bottom w:type="dxa" w:w="50"/>
              <w:right w:type="dxa" w:w="80"/>
            </w:tcMar>
          </w:tcPr>
          <w:p>
            <w:r>
              <w:rPr>
                <w:b w:val="false"/>
                <w:bCs w:val="false"/>
                <w:color w:val="202733"/>
                <w:sz w:val="16"/>
                <w:szCs w:val="16"/>
              </w:rPr>
              <w:t xml:space="preserve">Mean reversion 20d 5%</w:t>
            </w:r>
          </w:p>
        </w:tc>
        <w:tc>
          <w:tcPr>
            <w:tcW w:type="pct" w:w="9%"/>
            <w:tcMar>
              <w:top w:type="dxa" w:w="50"/>
              <w:left w:type="dxa" w:w="80"/>
              <w:bottom w:type="dxa" w:w="50"/>
              <w:right w:type="dxa" w:w="80"/>
            </w:tcMar>
          </w:tcPr>
          <w:p>
            <w:r>
              <w:rPr>
                <w:b w:val="false"/>
                <w:bCs w:val="false"/>
                <w:color w:val="202733"/>
                <w:sz w:val="16"/>
                <w:szCs w:val="16"/>
              </w:rPr>
              <w:t xml:space="preserve">4.3%</w:t>
            </w:r>
          </w:p>
        </w:tc>
        <w:tc>
          <w:tcPr>
            <w:tcW w:type="pct" w:w="9%"/>
            <w:tcMar>
              <w:top w:type="dxa" w:w="50"/>
              <w:left w:type="dxa" w:w="80"/>
              <w:bottom w:type="dxa" w:w="50"/>
              <w:right w:type="dxa" w:w="80"/>
            </w:tcMar>
          </w:tcPr>
          <w:p>
            <w:r>
              <w:rPr>
                <w:b w:val="false"/>
                <w:bCs w:val="false"/>
                <w:color w:val="202733"/>
                <w:sz w:val="16"/>
                <w:szCs w:val="16"/>
              </w:rPr>
              <w:t xml:space="preserve">0.32</w:t>
            </w:r>
          </w:p>
        </w:tc>
        <w:tc>
          <w:tcPr>
            <w:tcW w:type="pct" w:w="11%"/>
            <w:tcMar>
              <w:top w:type="dxa" w:w="50"/>
              <w:left w:type="dxa" w:w="80"/>
              <w:bottom w:type="dxa" w:w="50"/>
              <w:right w:type="dxa" w:w="80"/>
            </w:tcMar>
          </w:tcPr>
          <w:p>
            <w:r>
              <w:rPr>
                <w:b w:val="false"/>
                <w:bCs w:val="false"/>
                <w:color w:val="202733"/>
                <w:sz w:val="16"/>
                <w:szCs w:val="16"/>
              </w:rPr>
              <w:t xml:space="preserve">-38.9%</w:t>
            </w:r>
          </w:p>
        </w:tc>
        <w:tc>
          <w:tcPr>
            <w:tcW w:type="pct" w:w="10%"/>
            <w:tcMar>
              <w:top w:type="dxa" w:w="50"/>
              <w:left w:type="dxa" w:w="80"/>
              <w:bottom w:type="dxa" w:w="50"/>
              <w:right w:type="dxa" w:w="80"/>
            </w:tcMar>
          </w:tcPr>
          <w:p>
            <w:r>
              <w:rPr>
                <w:b w:val="false"/>
                <w:bCs w:val="false"/>
                <w:color w:val="202733"/>
                <w:sz w:val="16"/>
                <w:szCs w:val="16"/>
              </w:rPr>
              <w:t xml:space="preserve">-11.4%</w:t>
            </w:r>
          </w:p>
        </w:tc>
        <w:tc>
          <w:tcPr>
            <w:tcW w:type="pct" w:w="9%"/>
            <w:tcMar>
              <w:top w:type="dxa" w:w="50"/>
              <w:left w:type="dxa" w:w="80"/>
              <w:bottom w:type="dxa" w:w="50"/>
              <w:right w:type="dxa" w:w="80"/>
            </w:tcMar>
          </w:tcPr>
          <w:p>
            <w:r>
              <w:rPr>
                <w:b w:val="false"/>
                <w:bCs w:val="false"/>
                <w:color w:val="202733"/>
                <w:sz w:val="16"/>
                <w:szCs w:val="16"/>
              </w:rPr>
              <w:t xml:space="preserve">71%</w:t>
            </w:r>
          </w:p>
        </w:tc>
        <w:tc>
          <w:tcPr>
            <w:tcW w:type="pct" w:w="10%"/>
            <w:tcMar>
              <w:top w:type="dxa" w:w="50"/>
              <w:left w:type="dxa" w:w="80"/>
              <w:bottom w:type="dxa" w:w="50"/>
              <w:right w:type="dxa" w:w="80"/>
            </w:tcMar>
          </w:tcPr>
          <w:p>
            <w:r>
              <w:rPr>
                <w:b w:val="false"/>
                <w:bCs w:val="false"/>
                <w:color w:val="202733"/>
                <w:sz w:val="16"/>
                <w:szCs w:val="16"/>
              </w:rPr>
              <w:t xml:space="preserve">-3.0%</w:t>
            </w:r>
          </w:p>
        </w:tc>
        <w:tc>
          <w:tcPr>
            <w:tcW w:type="pct" w:w="10%"/>
            <w:tcMar>
              <w:top w:type="dxa" w:w="50"/>
              <w:left w:type="dxa" w:w="80"/>
              <w:bottom w:type="dxa" w:w="50"/>
              <w:right w:type="dxa" w:w="80"/>
            </w:tcMar>
          </w:tcPr>
          <w:p>
            <w:r>
              <w:rPr>
                <w:b w:val="false"/>
                <w:bCs w:val="false"/>
                <w:color w:val="202733"/>
                <w:sz w:val="16"/>
                <w:szCs w:val="16"/>
              </w:rPr>
              <w:t xml:space="preserve">-42.1%</w:t>
            </w:r>
          </w:p>
        </w:tc>
        <w:tc>
          <w:tcPr>
            <w:tcW w:type="pct" w:w="10%"/>
            <w:tcMar>
              <w:top w:type="dxa" w:w="50"/>
              <w:left w:type="dxa" w:w="80"/>
              <w:bottom w:type="dxa" w:w="50"/>
              <w:right w:type="dxa" w:w="80"/>
            </w:tcMar>
          </w:tcPr>
          <w:p>
            <w:r>
              <w:rPr>
                <w:b w:val="false"/>
                <w:bCs w:val="false"/>
                <w:color w:val="202733"/>
                <w:sz w:val="16"/>
                <w:szCs w:val="16"/>
              </w:rPr>
              <w:t xml:space="preserve">-17.7%</w:t>
            </w:r>
          </w:p>
        </w:tc>
      </w:tr>
      <w:tr>
        <w:tc>
          <w:tcPr>
            <w:tcW w:type="pct" w:w="22%"/>
            <w:tcMar>
              <w:top w:type="dxa" w:w="50"/>
              <w:left w:type="dxa" w:w="80"/>
              <w:bottom w:type="dxa" w:w="50"/>
              <w:right w:type="dxa" w:w="80"/>
            </w:tcMar>
          </w:tcPr>
          <w:p>
            <w:r>
              <w:rPr>
                <w:b w:val="false"/>
                <w:bCs w:val="false"/>
                <w:color w:val="202733"/>
                <w:sz w:val="16"/>
                <w:szCs w:val="16"/>
              </w:rPr>
              <w:t xml:space="preserve">Breakout 40d</w:t>
            </w:r>
          </w:p>
        </w:tc>
        <w:tc>
          <w:tcPr>
            <w:tcW w:type="pct" w:w="9%"/>
            <w:tcMar>
              <w:top w:type="dxa" w:w="50"/>
              <w:left w:type="dxa" w:w="80"/>
              <w:bottom w:type="dxa" w:w="50"/>
              <w:right w:type="dxa" w:w="80"/>
            </w:tcMar>
          </w:tcPr>
          <w:p>
            <w:r>
              <w:rPr>
                <w:b w:val="false"/>
                <w:bCs w:val="false"/>
                <w:color w:val="202733"/>
                <w:sz w:val="16"/>
                <w:szCs w:val="16"/>
              </w:rPr>
              <w:t xml:space="preserve">11.0%</w:t>
            </w:r>
          </w:p>
        </w:tc>
        <w:tc>
          <w:tcPr>
            <w:tcW w:type="pct" w:w="9%"/>
            <w:tcMar>
              <w:top w:type="dxa" w:w="50"/>
              <w:left w:type="dxa" w:w="80"/>
              <w:bottom w:type="dxa" w:w="50"/>
              <w:right w:type="dxa" w:w="80"/>
            </w:tcMar>
          </w:tcPr>
          <w:p>
            <w:r>
              <w:rPr>
                <w:b w:val="false"/>
                <w:bCs w:val="false"/>
                <w:color w:val="202733"/>
                <w:sz w:val="16"/>
                <w:szCs w:val="16"/>
              </w:rPr>
              <w:t xml:space="preserve">0.53</w:t>
            </w:r>
          </w:p>
        </w:tc>
        <w:tc>
          <w:tcPr>
            <w:tcW w:type="pct" w:w="11%"/>
            <w:tcMar>
              <w:top w:type="dxa" w:w="50"/>
              <w:left w:type="dxa" w:w="80"/>
              <w:bottom w:type="dxa" w:w="50"/>
              <w:right w:type="dxa" w:w="80"/>
            </w:tcMar>
          </w:tcPr>
          <w:p>
            <w:r>
              <w:rPr>
                <w:b w:val="false"/>
                <w:bCs w:val="false"/>
                <w:color w:val="202733"/>
                <w:sz w:val="16"/>
                <w:szCs w:val="16"/>
              </w:rPr>
              <w:t xml:space="preserve">-43.9%</w:t>
            </w:r>
          </w:p>
        </w:tc>
        <w:tc>
          <w:tcPr>
            <w:tcW w:type="pct" w:w="10%"/>
            <w:tcMar>
              <w:top w:type="dxa" w:w="50"/>
              <w:left w:type="dxa" w:w="80"/>
              <w:bottom w:type="dxa" w:w="50"/>
              <w:right w:type="dxa" w:w="80"/>
            </w:tcMar>
          </w:tcPr>
          <w:p>
            <w:r>
              <w:rPr>
                <w:b w:val="false"/>
                <w:bCs w:val="false"/>
                <w:color w:val="202733"/>
                <w:sz w:val="16"/>
                <w:szCs w:val="16"/>
              </w:rPr>
              <w:t xml:space="preserve">-4.7%</w:t>
            </w:r>
          </w:p>
        </w:tc>
        <w:tc>
          <w:tcPr>
            <w:tcW w:type="pct" w:w="9%"/>
            <w:tcMar>
              <w:top w:type="dxa" w:w="50"/>
              <w:left w:type="dxa" w:w="80"/>
              <w:bottom w:type="dxa" w:w="50"/>
              <w:right w:type="dxa" w:w="80"/>
            </w:tcMar>
          </w:tcPr>
          <w:p>
            <w:r>
              <w:rPr>
                <w:b w:val="false"/>
                <w:bCs w:val="false"/>
                <w:color w:val="202733"/>
                <w:sz w:val="16"/>
                <w:szCs w:val="16"/>
              </w:rPr>
              <w:t xml:space="preserve">49%</w:t>
            </w:r>
          </w:p>
        </w:tc>
        <w:tc>
          <w:tcPr>
            <w:tcW w:type="pct" w:w="10%"/>
            <w:tcMar>
              <w:top w:type="dxa" w:w="50"/>
              <w:left w:type="dxa" w:w="80"/>
              <w:bottom w:type="dxa" w:w="50"/>
              <w:right w:type="dxa" w:w="80"/>
            </w:tcMar>
          </w:tcPr>
          <w:p>
            <w:r>
              <w:rPr>
                <w:b w:val="false"/>
                <w:bCs w:val="false"/>
                <w:color w:val="202733"/>
                <w:sz w:val="16"/>
                <w:szCs w:val="16"/>
              </w:rPr>
              <w:t xml:space="preserve">+36.4%</w:t>
            </w:r>
          </w:p>
        </w:tc>
        <w:tc>
          <w:tcPr>
            <w:tcW w:type="pct" w:w="10%"/>
            <w:tcMar>
              <w:top w:type="dxa" w:w="50"/>
              <w:left w:type="dxa" w:w="80"/>
              <w:bottom w:type="dxa" w:w="50"/>
              <w:right w:type="dxa" w:w="80"/>
            </w:tcMar>
          </w:tcPr>
          <w:p>
            <w:r>
              <w:rPr>
                <w:b w:val="false"/>
                <w:bCs w:val="false"/>
                <w:color w:val="202733"/>
                <w:sz w:val="16"/>
                <w:szCs w:val="16"/>
              </w:rPr>
              <w:t xml:space="preserve">+33.2%</w:t>
            </w:r>
          </w:p>
        </w:tc>
        <w:tc>
          <w:tcPr>
            <w:tcW w:type="pct" w:w="10%"/>
            <w:tcMar>
              <w:top w:type="dxa" w:w="50"/>
              <w:left w:type="dxa" w:w="80"/>
              <w:bottom w:type="dxa" w:w="50"/>
              <w:right w:type="dxa" w:w="80"/>
            </w:tcMar>
          </w:tcPr>
          <w:p>
            <w:r>
              <w:rPr>
                <w:b w:val="false"/>
                <w:bCs w:val="false"/>
                <w:color w:val="202733"/>
                <w:sz w:val="16"/>
                <w:szCs w:val="16"/>
              </w:rPr>
              <w:t xml:space="preserve">-60.7%</w:t>
            </w:r>
          </w:p>
        </w:tc>
      </w:tr>
      <w:tr>
        <w:tc>
          <w:tcPr>
            <w:tcW w:type="pct" w:w="22%"/>
            <w:tcMar>
              <w:top w:type="dxa" w:w="50"/>
              <w:left w:type="dxa" w:w="80"/>
              <w:bottom w:type="dxa" w:w="50"/>
              <w:right w:type="dxa" w:w="80"/>
            </w:tcMar>
          </w:tcPr>
          <w:p>
            <w:r>
              <w:rPr>
                <w:b w:val="false"/>
                <w:bCs w:val="false"/>
                <w:color w:val="202733"/>
                <w:sz w:val="16"/>
                <w:szCs w:val="16"/>
              </w:rPr>
              <w:t xml:space="preserve">Buy the dip -10%/+12%</w:t>
            </w:r>
          </w:p>
        </w:tc>
        <w:tc>
          <w:tcPr>
            <w:tcW w:type="pct" w:w="9%"/>
            <w:tcMar>
              <w:top w:type="dxa" w:w="50"/>
              <w:left w:type="dxa" w:w="80"/>
              <w:bottom w:type="dxa" w:w="50"/>
              <w:right w:type="dxa" w:w="80"/>
            </w:tcMar>
          </w:tcPr>
          <w:p>
            <w:r>
              <w:rPr>
                <w:b w:val="false"/>
                <w:bCs w:val="false"/>
                <w:color w:val="202733"/>
                <w:sz w:val="16"/>
                <w:szCs w:val="16"/>
              </w:rPr>
              <w:t xml:space="preserve">13.9%</w:t>
            </w:r>
          </w:p>
        </w:tc>
        <w:tc>
          <w:tcPr>
            <w:tcW w:type="pct" w:w="9%"/>
            <w:tcMar>
              <w:top w:type="dxa" w:w="50"/>
              <w:left w:type="dxa" w:w="80"/>
              <w:bottom w:type="dxa" w:w="50"/>
              <w:right w:type="dxa" w:w="80"/>
            </w:tcMar>
          </w:tcPr>
          <w:p>
            <w:r>
              <w:rPr>
                <w:b w:val="false"/>
                <w:bCs w:val="false"/>
                <w:color w:val="202733"/>
                <w:sz w:val="16"/>
                <w:szCs w:val="16"/>
              </w:rPr>
              <w:t xml:space="preserve">0.62</w:t>
            </w:r>
          </w:p>
        </w:tc>
        <w:tc>
          <w:tcPr>
            <w:tcW w:type="pct" w:w="11%"/>
            <w:tcMar>
              <w:top w:type="dxa" w:w="50"/>
              <w:left w:type="dxa" w:w="80"/>
              <w:bottom w:type="dxa" w:w="50"/>
              <w:right w:type="dxa" w:w="80"/>
            </w:tcMar>
          </w:tcPr>
          <w:p>
            <w:r>
              <w:rPr>
                <w:b w:val="false"/>
                <w:bCs w:val="false"/>
                <w:color w:val="202733"/>
                <w:sz w:val="16"/>
                <w:szCs w:val="16"/>
              </w:rPr>
              <w:t xml:space="preserve">-46.4%</w:t>
            </w:r>
          </w:p>
        </w:tc>
        <w:tc>
          <w:tcPr>
            <w:tcW w:type="pct" w:w="10%"/>
            <w:tcMar>
              <w:top w:type="dxa" w:w="50"/>
              <w:left w:type="dxa" w:w="80"/>
              <w:bottom w:type="dxa" w:w="50"/>
              <w:right w:type="dxa" w:w="80"/>
            </w:tcMar>
          </w:tcPr>
          <w:p>
            <w:r>
              <w:rPr>
                <w:b w:val="false"/>
                <w:bCs w:val="false"/>
                <w:color w:val="202733"/>
                <w:sz w:val="16"/>
                <w:szCs w:val="16"/>
              </w:rPr>
              <w:t xml:space="preserve">-1.8%</w:t>
            </w:r>
          </w:p>
        </w:tc>
        <w:tc>
          <w:tcPr>
            <w:tcW w:type="pct" w:w="9%"/>
            <w:tcMar>
              <w:top w:type="dxa" w:w="50"/>
              <w:left w:type="dxa" w:w="80"/>
              <w:bottom w:type="dxa" w:w="50"/>
              <w:right w:type="dxa" w:w="80"/>
            </w:tcMar>
          </w:tcPr>
          <w:p>
            <w:r>
              <w:rPr>
                <w:b w:val="false"/>
                <w:bCs w:val="false"/>
                <w:color w:val="202733"/>
                <w:sz w:val="16"/>
                <w:szCs w:val="16"/>
              </w:rPr>
              <w:t xml:space="preserve">100%</w:t>
            </w:r>
          </w:p>
        </w:tc>
        <w:tc>
          <w:tcPr>
            <w:tcW w:type="pct" w:w="10%"/>
            <w:tcMar>
              <w:top w:type="dxa" w:w="50"/>
              <w:left w:type="dxa" w:w="80"/>
              <w:bottom w:type="dxa" w:w="50"/>
              <w:right w:type="dxa" w:w="80"/>
            </w:tcMar>
          </w:tcPr>
          <w:p>
            <w:r>
              <w:rPr>
                <w:b w:val="false"/>
                <w:bCs w:val="false"/>
                <w:color w:val="202733"/>
                <w:sz w:val="16"/>
                <w:szCs w:val="16"/>
              </w:rPr>
              <w:t xml:space="preserve">+29.1%</w:t>
            </w:r>
          </w:p>
        </w:tc>
        <w:tc>
          <w:tcPr>
            <w:tcW w:type="pct" w:w="10%"/>
            <w:tcMar>
              <w:top w:type="dxa" w:w="50"/>
              <w:left w:type="dxa" w:w="80"/>
              <w:bottom w:type="dxa" w:w="50"/>
              <w:right w:type="dxa" w:w="80"/>
            </w:tcMar>
          </w:tcPr>
          <w:p>
            <w:r>
              <w:rPr>
                <w:b w:val="false"/>
                <w:bCs w:val="false"/>
                <w:color w:val="202733"/>
                <w:sz w:val="16"/>
                <w:szCs w:val="16"/>
              </w:rPr>
              <w:t xml:space="preserve">-14.9%</w:t>
            </w:r>
          </w:p>
        </w:tc>
        <w:tc>
          <w:tcPr>
            <w:tcW w:type="pct" w:w="10%"/>
            <w:tcMar>
              <w:top w:type="dxa" w:w="50"/>
              <w:left w:type="dxa" w:w="80"/>
              <w:bottom w:type="dxa" w:w="50"/>
              <w:right w:type="dxa" w:w="80"/>
            </w:tcMar>
          </w:tcPr>
          <w:p>
            <w:r>
              <w:rPr>
                <w:b w:val="false"/>
                <w:bCs w:val="false"/>
                <w:color w:val="202733"/>
                <w:sz w:val="16"/>
                <w:szCs w:val="16"/>
              </w:rPr>
              <w:t xml:space="preserve">-8.6%</w:t>
            </w:r>
          </w:p>
        </w:tc>
      </w:tr>
    </w:tbl>
    <w:p>
      <w:pPr>
        <w:spacing w:after="120"/>
      </w:pPr>
      <w:r>
        <w:rPr>
          <w:i/>
          <w:iCs/>
          <w:color w:val="5b6472"/>
          <w:sz w:val="16"/>
          <w:szCs w:val="16"/>
        </w:rPr>
        <w:t xml:space="preserve">Yearly is the growth rate a year. Vs index is the yearly return above the benchmark. The last three are total return on each synthetic market.</w:t>
      </w:r>
    </w:p>
    <w:p>
      <w:pPr>
        <w:pStyle w:val="Heading1"/>
        <w:spacing w:after="120" w:before="300"/>
      </w:pPr>
      <w:r>
        <w:rPr>
          <w:b/>
          <w:bCs/>
          <w:color w:val="1b2a4a"/>
          <w:sz w:val="28"/>
          <w:szCs w:val="28"/>
        </w:rPr>
        <w:t xml:space="preserve">4. The strategies on one company</w:t>
      </w:r>
    </w:p>
    <w:p>
      <w:pPr>
        <w:spacing w:after="60" w:before="12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62275"/>
                    </a:xfrm>
                    <a:prstGeom prst="rect">
                      <a:avLst/>
                    </a:prstGeom>
                  </pic:spPr>
                </pic:pic>
              </a:graphicData>
            </a:graphic>
          </wp:inline>
        </w:drawing>
      </w:r>
    </w:p>
    <w:p>
      <w:pPr>
        <w:spacing w:after="200"/>
        <w:jc w:val="center"/>
      </w:pPr>
      <w:r>
        <w:rPr>
          <w:i/>
          <w:iCs/>
          <w:color w:val="5b6472"/>
          <w:sz w:val="17"/>
          <w:szCs w:val="17"/>
        </w:rPr>
        <w:t xml:space="preserve">All six strategies on Microsoft over ten years, growth of one pound. Buy and hold, in blue, pulls away.</w:t>
      </w:r>
    </w:p>
    <w:p>
      <w:pPr>
        <w:spacing w:after="60" w:before="12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62275"/>
                    </a:xfrm>
                    <a:prstGeom prst="rect">
                      <a:avLst/>
                    </a:prstGeom>
                  </pic:spPr>
                </pic:pic>
              </a:graphicData>
            </a:graphic>
          </wp:inline>
        </w:drawing>
      </w:r>
    </w:p>
    <w:p>
      <w:pPr>
        <w:spacing w:after="200"/>
        <w:jc w:val="center"/>
      </w:pPr>
      <w:r>
        <w:rPr>
          <w:i/>
          <w:iCs/>
          <w:color w:val="5b6472"/>
          <w:sz w:val="17"/>
          <w:szCs w:val="17"/>
        </w:rPr>
        <w:t xml:space="preserve">Average yearly return above the benchmark index, across the basket. Above zero beat the index, below zero lagged it.</w:t>
      </w:r>
    </w:p>
    <w:p>
      <w:pPr>
        <w:pStyle w:val="Heading1"/>
        <w:spacing w:after="120" w:before="300"/>
      </w:pPr>
      <w:r>
        <w:rPr>
          <w:b/>
          <w:bCs/>
          <w:color w:val="1b2a4a"/>
          <w:sz w:val="28"/>
          <w:szCs w:val="28"/>
        </w:rPr>
        <w:t xml:space="preserve">5. What the numbers say</w:t>
      </w:r>
    </w:p>
    <w:p>
      <w:pPr>
        <w:spacing w:after="140" w:line="288"/>
        <w:jc w:val="both"/>
      </w:pPr>
      <w:r>
        <w:rPr>
          <w:color w:val="202733"/>
          <w:sz w:val="22"/>
          <w:szCs w:val="22"/>
        </w:rPr>
        <w:t xml:space="preserve">Buy and hold won on returns here. That is not a mistake. The basket is full of strong risers, and the last ten years mostly went up. In a market that only climbs, sitting still beats being clever, because every time a rule steps out it risks missing the next leg up.</w:t>
      </w:r>
    </w:p>
    <w:p>
      <w:pPr>
        <w:spacing w:after="140" w:line="288"/>
        <w:jc w:val="both"/>
      </w:pPr>
      <w:r>
        <w:rPr>
          <w:color w:val="202733"/>
          <w:sz w:val="22"/>
          <w:szCs w:val="22"/>
        </w:rPr>
        <w:t xml:space="preserve">The active rules lagged in this bull run for exactly that reason. They sit out falls, and in doing so they miss some of the rises too. On Microsoft the chart shows it plainly. The clever rules track the price early, then fall behind every time they go to cash and the market keeps climbing.</w:t>
      </w:r>
    </w:p>
    <w:p>
      <w:pPr>
        <w:spacing w:after="140" w:line="288"/>
        <w:jc w:val="both"/>
      </w:pPr>
      <w:r>
        <w:rPr>
          <w:color w:val="202733"/>
          <w:sz w:val="22"/>
          <w:szCs w:val="22"/>
        </w:rPr>
        <w:t xml:space="preserve">Their worth shows in the crash. On the synthetic crash the trend rules, the moving average cross, momentum and breakout, stayed positive or fell only a little, while buy and hold and mean reversion took the full hit. Trend rules cut losses. The price you pay for that is lagging when things only go up. That trade, less pain in a crash for less gain in a boom, is the whole story of trend following.</w:t>
      </w:r>
    </w:p>
    <w:p>
      <w:pPr>
        <w:spacing w:after="140" w:line="288"/>
        <w:jc w:val="both"/>
      </w:pPr>
      <w:r>
        <w:rPr>
          <w:color w:val="202733"/>
          <w:sz w:val="22"/>
          <w:szCs w:val="22"/>
        </w:rPr>
        <w:t xml:space="preserve">There is no free lunch. Breakout did well in trends and was then torn apart in the choppy, volatile market, the worst of the lot there. A rule that is strong in one regime is often weak in another.</w:t>
      </w:r>
    </w:p>
    <w:p>
      <w:pPr>
        <w:spacing w:after="140" w:line="288"/>
        <w:jc w:val="both"/>
      </w:pPr>
      <w:r>
        <w:rPr>
          <w:color w:val="202733"/>
          <w:sz w:val="22"/>
          <w:szCs w:val="22"/>
        </w:rPr>
        <w:t xml:space="preserve">Win rate is not the same as making money. Buy the dip closed nearly every trade in profit, a very high win rate, and still lagged buy and hold. It wins often and small, banks the bounce, then sits in cash and misses the long climb. A rule can be right nearly every time and still leave money on the table.</w:t>
      </w:r>
    </w:p>
    <w:p>
      <w:pPr>
        <w:pStyle w:val="Heading1"/>
        <w:spacing w:after="120" w:before="300"/>
      </w:pPr>
      <w:r>
        <w:rPr>
          <w:b/>
          <w:bCs/>
          <w:color w:val="1b2a4a"/>
          <w:sz w:val="28"/>
          <w:szCs w:val="28"/>
        </w:rPr>
        <w:t xml:space="preserve">6. Honest limits</w:t>
      </w:r>
    </w:p>
    <w:p>
      <w:pPr>
        <w:pStyle w:val="ListParagraph"/>
        <w:numPr>
          <w:ilvl w:val="0"/>
          <w:numId w:val="1"/>
        </w:numPr>
        <w:spacing w:after="70" w:line="276"/>
      </w:pPr>
      <w:r>
        <w:rPr>
          <w:color w:val="202733"/>
          <w:sz w:val="22"/>
          <w:szCs w:val="22"/>
        </w:rPr>
        <w:t xml:space="preserve">The basket is full of winners. Apple, Nvidia and the rest were picked because they are famous, which flatters buy and hold. A broader or older list, including the companies that failed, would be fairer.</w:t>
      </w:r>
    </w:p>
    <w:p>
      <w:pPr>
        <w:pStyle w:val="ListParagraph"/>
        <w:numPr>
          <w:ilvl w:val="0"/>
          <w:numId w:val="1"/>
        </w:numPr>
        <w:spacing w:after="70" w:line="276"/>
      </w:pPr>
      <w:r>
        <w:rPr>
          <w:color w:val="202733"/>
          <w:sz w:val="22"/>
          <w:szCs w:val="22"/>
        </w:rPr>
        <w:t xml:space="preserve">Ten years is one long bull market with a couple of shocks. A different decade would rank these rules differently.</w:t>
      </w:r>
    </w:p>
    <w:p>
      <w:pPr>
        <w:pStyle w:val="ListParagraph"/>
        <w:numPr>
          <w:ilvl w:val="0"/>
          <w:numId w:val="1"/>
        </w:numPr>
        <w:spacing w:after="70" w:line="276"/>
      </w:pPr>
      <w:r>
        <w:rPr>
          <w:color w:val="202733"/>
          <w:sz w:val="22"/>
          <w:szCs w:val="22"/>
        </w:rPr>
        <w:t xml:space="preserve">The synthetic markets are simple and controlled. They are good for a stress test but they are not a stand in for the many shapes a real market takes.</w:t>
      </w:r>
    </w:p>
    <w:p>
      <w:pPr>
        <w:pStyle w:val="ListParagraph"/>
        <w:numPr>
          <w:ilvl w:val="0"/>
          <w:numId w:val="1"/>
        </w:numPr>
        <w:spacing w:after="70" w:line="276"/>
      </w:pPr>
      <w:r>
        <w:rPr>
          <w:color w:val="202733"/>
          <w:sz w:val="22"/>
          <w:szCs w:val="22"/>
        </w:rPr>
        <w:t xml:space="preserve">The rules are basic and untuned. This is about the method, not about tuning a rule until it looks good, which is easy to do by accident and means nothing.</w:t>
      </w:r>
    </w:p>
    <w:p>
      <w:pPr>
        <w:pStyle w:val="Heading1"/>
        <w:spacing w:after="120" w:before="300"/>
      </w:pPr>
      <w:r>
        <w:rPr>
          <w:b/>
          <w:bCs/>
          <w:color w:val="1b2a4a"/>
          <w:sz w:val="28"/>
          <w:szCs w:val="28"/>
        </w:rPr>
        <w:t xml:space="preserve">7. What it shows</w:t>
      </w:r>
    </w:p>
    <w:p>
      <w:pPr>
        <w:spacing w:after="140" w:line="288"/>
        <w:jc w:val="both"/>
      </w:pPr>
      <w:r>
        <w:rPr>
          <w:color w:val="202733"/>
          <w:sz w:val="22"/>
          <w:szCs w:val="22"/>
        </w:rPr>
        <w:t xml:space="preserve">The framework works. The same rule ran on Apple, on Microsoft, and on a synthetic crash, with no rewriting, and gave sensible, honest results each time. That was the goal. The next steps are more rules, a wider and fairer set of markets, intraday data for a faster kind of test, and proper tuning that is checked on data the rule has never seen.</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2"/>
        <w:sz w:val="15"/>
        <w:szCs w:val="15"/>
      </w:rPr>
      <w:t xml:space="preserve">page </w:t>
    </w:r>
    <w:r>
      <w:rPr>
        <w:color w:val="5b6472"/>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jc w:val="right"/>
    </w:pPr>
    <w:r>
      <w:rPr>
        <w:color w:val="5b6472"/>
        <w:sz w:val="15"/>
        <w:szCs w:val="15"/>
      </w:rPr>
      <w:t xml:space="preserve">Agora  .  Strategy Research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b2a4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86cf01ee7c984c360ab151bb3e267d9254d575.png"/><Relationship Id="rId10" Type="http://schemas.openxmlformats.org/officeDocument/2006/relationships/image" Target="media/e11b52fd8d79b87f2be0828c2678a424d5653e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Agora</dc:creator>
  <cp:lastModifiedBy>Un-named</cp:lastModifiedBy>
  <cp:revision>1</cp:revision>
  <dcterms:created xsi:type="dcterms:W3CDTF">2026-09-19T14:48:09.108Z</dcterms:created>
  <dcterms:modified xsi:type="dcterms:W3CDTF">2026-09-19T14:48:09.109Z</dcterms:modified>
</cp:coreProperties>
</file>

<file path=docProps/custom.xml><?xml version="1.0" encoding="utf-8"?>
<Properties xmlns="http://schemas.openxmlformats.org/officeDocument/2006/custom-properties" xmlns:vt="http://schemas.openxmlformats.org/officeDocument/2006/docPropsVTypes"/>
</file>