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 Weekly excess deaths in Stata</w:t>
      </w:r>
    </w:p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sub-folder contains a Stata do-file together with input and output data files.</w:t>
      </w:r>
    </w:p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Stata do-file: Analysis-weeks-East-West-stdp-FIN1.do</w:t>
      </w:r>
    </w:p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do-file runs calculations of the baseline (predicted) values of the crude death rates in 2020 and 2021 for listed populations. For the prediction, it uses a functional form with a quadratic trend and two sin-</w:t>
      </w:r>
      <w:proofErr w:type="spellStart"/>
      <w:r>
        <w:rPr>
          <w:rFonts w:ascii="Segoe UI" w:hAnsi="Segoe UI" w:cs="Segoe UI"/>
          <w:color w:val="1F2328"/>
        </w:rPr>
        <w:t>cosin</w:t>
      </w:r>
      <w:proofErr w:type="spellEnd"/>
      <w:r>
        <w:rPr>
          <w:rFonts w:ascii="Segoe UI" w:hAnsi="Segoe UI" w:cs="Segoe UI"/>
          <w:color w:val="1F2328"/>
        </w:rPr>
        <w:t xml:space="preserve"> harmonics. </w:t>
      </w:r>
    </w:p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More details are given in the text of the study.</w:t>
      </w:r>
    </w:p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Input data file: stmf-21-Oct-2022-vs-plus-RUS2021.csv</w:t>
      </w:r>
    </w:p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Output log-file: Mort-excess-weeks-cntrs.log</w:t>
      </w:r>
    </w:p>
    <w:p w:rsidR="00E45E51" w:rsidRDefault="00E45E51" w:rsidP="00E45E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9032DF" w:rsidRDefault="009032DF">
      <w:bookmarkStart w:id="0" w:name="_GoBack"/>
      <w:bookmarkEnd w:id="0"/>
    </w:p>
    <w:sectPr w:rsidR="0090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tbA0MDUyNzQ0MTVU0lEKTi0uzszPAykwrAUAoigxqCwAAAA="/>
  </w:docVars>
  <w:rsids>
    <w:rsidRoot w:val="00E45E51"/>
    <w:rsid w:val="009032DF"/>
    <w:rsid w:val="00E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7D5BF-D2E1-49EB-B797-E6ADCFC6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 user</dc:creator>
  <cp:keywords/>
  <dc:description/>
  <cp:lastModifiedBy>MPI user</cp:lastModifiedBy>
  <cp:revision>1</cp:revision>
  <dcterms:created xsi:type="dcterms:W3CDTF">2023-10-14T12:08:00Z</dcterms:created>
  <dcterms:modified xsi:type="dcterms:W3CDTF">2023-10-14T12:09:00Z</dcterms:modified>
</cp:coreProperties>
</file>