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mbria" w:cs="Cambria" w:eastAsia="Cambria" w:hAnsi="Cambria"/>
          <w:b/>
          <w:bCs/>
          <w:color w:val="1F3864"/>
          <w:sz w:val="56"/>
          <w:szCs w:val="56"/>
        </w:rPr>
        <w:t xml:space="preserve">SERVICENOW FLOW DESIGNER</w:t>
      </w:r>
    </w:p>
    <w:p>
      <w:pPr>
        <w:spacing w:after="60" w:before="120"/>
        <w:jc w:val="center"/>
      </w:pPr>
      <w:r>
        <w:rPr>
          <w:rFonts w:ascii="Cambria" w:cs="Cambria" w:eastAsia="Cambria" w:hAnsi="Cambria"/>
          <w:b/>
          <w:bCs/>
          <w:color w:val="127475"/>
          <w:sz w:val="36"/>
          <w:szCs w:val="36"/>
        </w:rPr>
        <w:t xml:space="preserve">The Complete Mastery Guide</w:t>
      </w:r>
    </w:p>
    <w:p>
      <w:pPr>
        <w:spacing w:after="400"/>
        <w:jc w:val="center"/>
      </w:pPr>
      <w:r>
        <w:rPr>
          <w:rFonts w:ascii="Calibri" w:cs="Calibri" w:eastAsia="Calibri" w:hAnsi="Calibri"/>
          <w:i/>
          <w:iCs/>
          <w:color w:val="B8912F"/>
          <w:sz w:val="22"/>
          <w:szCs w:val="22"/>
        </w:rPr>
        <w:t xml:space="preserve">Beginner to Advanced — Triggers · Data Pills · Flow Logic · Subflows · Actions · Tasks · Lookups · Table Relationships</w:t>
      </w:r>
    </w:p>
    <w:p>
      <w:pPr>
        <w:pBdr>
          <w:top w:val="single" w:color="B8912F" w:sz="8" w:space="8"/>
        </w:pBdr>
        <w:spacing w:after="40" w:before="2000"/>
        <w:jc w:val="center"/>
      </w:pPr>
      <w:r>
        <w:rPr>
          <w:rFonts w:ascii="Calibri" w:cs="Calibri" w:eastAsia="Calibri" w:hAnsi="Calibri"/>
          <w:color w:val="222222"/>
          <w:sz w:val="20"/>
          <w:szCs w:val="20"/>
        </w:rPr>
        <w:t xml:space="preserve">Prepared by</w:t>
      </w:r>
    </w:p>
    <w:p>
      <w:pPr>
        <w:spacing w:after="20"/>
        <w:jc w:val="center"/>
      </w:pPr>
      <w:r>
        <w:rPr>
          <w:rFonts w:ascii="Cambria" w:cs="Cambria" w:eastAsia="Cambria" w:hAnsi="Cambria"/>
          <w:b/>
          <w:bCs/>
          <w:color w:val="1F3864"/>
          <w:sz w:val="28"/>
          <w:szCs w:val="28"/>
        </w:rPr>
        <w:t xml:space="preserve">V. Mahamadh Basha</w:t>
      </w:r>
    </w:p>
    <w:p>
      <w:pPr>
        <w:spacing w:after="4"/>
        <w:jc w:val="center"/>
      </w:pPr>
      <w:r>
        <w:rPr>
          <w:rFonts w:ascii="Calibri" w:cs="Calibri" w:eastAsia="Calibri" w:hAnsi="Calibri"/>
          <w:color w:val="127475"/>
          <w:sz w:val="20"/>
          <w:szCs w:val="20"/>
        </w:rPr>
        <w:t xml:space="preserve">ServiceNow Certified System Administrator (CSA)</w:t>
      </w:r>
    </w:p>
    <w:p>
      <w:pPr>
        <w:jc w:val="center"/>
      </w:pPr>
      <w:r>
        <w:rPr>
          <w:rFonts w:ascii="Calibri" w:cs="Calibri" w:eastAsia="Calibri" w:hAnsi="Calibri"/>
          <w:color w:val="127475"/>
          <w:sz w:val="20"/>
          <w:szCs w:val="20"/>
        </w:rPr>
        <w:t xml:space="preserve">Certified Application Developer (CAD)</w:t>
      </w:r>
    </w:p>
    <w:p>
      <w:r>
        <w:br w:type="page"/>
      </w:r>
    </w:p>
    <w:p>
      <w:pPr>
        <w:pStyle w:val="Heading1"/>
        <w:pBdr>
          <w:bottom w:val="single" w:color="B8912F" w:sz="12" w:space="4"/>
        </w:pBdr>
        <w:spacing w:after="240" w:before="480"/>
      </w:pPr>
      <w:r>
        <w:rPr>
          <w:rFonts w:ascii="Cambria" w:cs="Cambria" w:eastAsia="Cambria" w:hAnsi="Cambria"/>
          <w:b/>
          <w:bCs/>
          <w:color w:val="1F3864"/>
          <w:sz w:val="32"/>
          <w:szCs w:val="32"/>
        </w:rPr>
        <w:t xml:space="preserve">Guide Roadmap</w:t>
      </w:r>
    </w:p>
    <w:p>
      <w:pPr>
        <w:spacing w:after="160" w:line="276"/>
      </w:pPr>
      <w:r>
        <w:rPr>
          <w:rFonts w:ascii="Calibri" w:cs="Calibri" w:eastAsia="Calibri" w:hAnsi="Calibri"/>
          <w:color w:val="222222"/>
          <w:sz w:val="22"/>
          <w:szCs w:val="22"/>
        </w:rPr>
        <w:t xml:space="preserve">This guide is organized as a progressive learning path. Work through the parts in order if you are new to Flow Designer; jump to any part directly if you already have foundations and want to fill specific gaps.</w:t>
      </w:r>
    </w:p>
    <w:p>
      <w:pPr>
        <w:pStyle w:val="ListParagraph"/>
        <w:numPr>
          <w:ilvl w:val="0"/>
          <w:numId w:val="2"/>
        </w:numPr>
        <w:spacing w:after="90"/>
      </w:pPr>
      <w:r>
        <w:rPr>
          <w:rFonts w:ascii="Calibri" w:cs="Calibri" w:eastAsia="Calibri" w:hAnsi="Calibri"/>
          <w:color w:val="222222"/>
          <w:sz w:val="22"/>
          <w:szCs w:val="22"/>
        </w:rPr>
        <w:t xml:space="preserve">Part 1 — Foundations: What Flow Designer Is, and Prerequisites</w:t>
      </w:r>
    </w:p>
    <w:p>
      <w:pPr>
        <w:pStyle w:val="ListParagraph"/>
        <w:numPr>
          <w:ilvl w:val="0"/>
          <w:numId w:val="2"/>
        </w:numPr>
        <w:spacing w:after="90"/>
      </w:pPr>
      <w:r>
        <w:rPr>
          <w:rFonts w:ascii="Calibri" w:cs="Calibri" w:eastAsia="Calibri" w:hAnsi="Calibri"/>
          <w:color w:val="222222"/>
          <w:sz w:val="22"/>
          <w:szCs w:val="22"/>
        </w:rPr>
        <w:t xml:space="preserve">Part 2 — Core Building Blocks: Flows, Actions, Subflows, Custom Actions</w:t>
      </w:r>
    </w:p>
    <w:p>
      <w:pPr>
        <w:pStyle w:val="ListParagraph"/>
        <w:numPr>
          <w:ilvl w:val="0"/>
          <w:numId w:val="2"/>
        </w:numPr>
        <w:spacing w:after="90"/>
      </w:pPr>
      <w:r>
        <w:rPr>
          <w:rFonts w:ascii="Calibri" w:cs="Calibri" w:eastAsia="Calibri" w:hAnsi="Calibri"/>
          <w:color w:val="222222"/>
          <w:sz w:val="22"/>
          <w:szCs w:val="22"/>
        </w:rPr>
        <w:t xml:space="preserve">Part 3 — Triggers: Every Type and When to Use Each</w:t>
      </w:r>
    </w:p>
    <w:p>
      <w:pPr>
        <w:pStyle w:val="ListParagraph"/>
        <w:numPr>
          <w:ilvl w:val="0"/>
          <w:numId w:val="2"/>
        </w:numPr>
        <w:spacing w:after="90"/>
      </w:pPr>
      <w:r>
        <w:rPr>
          <w:rFonts w:ascii="Calibri" w:cs="Calibri" w:eastAsia="Calibri" w:hAnsi="Calibri"/>
          <w:color w:val="222222"/>
          <w:sz w:val="22"/>
          <w:szCs w:val="22"/>
        </w:rPr>
        <w:t xml:space="preserve">Part 4 — Data Pills and the Data Panel</w:t>
      </w:r>
    </w:p>
    <w:p>
      <w:pPr>
        <w:pStyle w:val="ListParagraph"/>
        <w:numPr>
          <w:ilvl w:val="0"/>
          <w:numId w:val="2"/>
        </w:numPr>
        <w:spacing w:after="90"/>
      </w:pPr>
      <w:r>
        <w:rPr>
          <w:rFonts w:ascii="Calibri" w:cs="Calibri" w:eastAsia="Calibri" w:hAnsi="Calibri"/>
          <w:color w:val="222222"/>
          <w:sz w:val="22"/>
          <w:szCs w:val="22"/>
        </w:rPr>
        <w:t xml:space="preserve">Part 5 — Flow Logic: Conditions, Loops, Error Handling</w:t>
      </w:r>
    </w:p>
    <w:p>
      <w:pPr>
        <w:pStyle w:val="ListParagraph"/>
        <w:numPr>
          <w:ilvl w:val="0"/>
          <w:numId w:val="2"/>
        </w:numPr>
        <w:spacing w:after="90"/>
      </w:pPr>
      <w:r>
        <w:rPr>
          <w:rFonts w:ascii="Calibri" w:cs="Calibri" w:eastAsia="Calibri" w:hAnsi="Calibri"/>
          <w:color w:val="222222"/>
          <w:sz w:val="22"/>
          <w:szCs w:val="22"/>
        </w:rPr>
        <w:t xml:space="preserve">Part 6 — Creating and Managing Tasks</w:t>
      </w:r>
    </w:p>
    <w:p>
      <w:pPr>
        <w:pStyle w:val="ListParagraph"/>
        <w:numPr>
          <w:ilvl w:val="0"/>
          <w:numId w:val="2"/>
        </w:numPr>
        <w:spacing w:after="90"/>
      </w:pPr>
      <w:r>
        <w:rPr>
          <w:rFonts w:ascii="Calibri" w:cs="Calibri" w:eastAsia="Calibri" w:hAnsi="Calibri"/>
          <w:color w:val="222222"/>
          <w:sz w:val="22"/>
          <w:szCs w:val="22"/>
        </w:rPr>
        <w:t xml:space="preserve">Part 7 — Lookup Records and Table/Field Relationships</w:t>
      </w:r>
    </w:p>
    <w:p>
      <w:pPr>
        <w:pStyle w:val="ListParagraph"/>
        <w:numPr>
          <w:ilvl w:val="0"/>
          <w:numId w:val="2"/>
        </w:numPr>
        <w:spacing w:after="90"/>
      </w:pPr>
      <w:r>
        <w:rPr>
          <w:rFonts w:ascii="Calibri" w:cs="Calibri" w:eastAsia="Calibri" w:hAnsi="Calibri"/>
          <w:color w:val="222222"/>
          <w:sz w:val="22"/>
          <w:szCs w:val="22"/>
        </w:rPr>
        <w:t xml:space="preserve">Part 8 — Subflows in Depth</w:t>
      </w:r>
    </w:p>
    <w:p>
      <w:pPr>
        <w:pStyle w:val="ListParagraph"/>
        <w:numPr>
          <w:ilvl w:val="0"/>
          <w:numId w:val="2"/>
        </w:numPr>
        <w:spacing w:after="90"/>
      </w:pPr>
      <w:r>
        <w:rPr>
          <w:rFonts w:ascii="Calibri" w:cs="Calibri" w:eastAsia="Calibri" w:hAnsi="Calibri"/>
          <w:color w:val="222222"/>
          <w:sz w:val="22"/>
          <w:szCs w:val="22"/>
        </w:rPr>
        <w:t xml:space="preserve">Part 9 — Custom Actions and Action Designer</w:t>
      </w:r>
    </w:p>
    <w:p>
      <w:pPr>
        <w:pStyle w:val="ListParagraph"/>
        <w:numPr>
          <w:ilvl w:val="0"/>
          <w:numId w:val="2"/>
        </w:numPr>
        <w:spacing w:after="90"/>
      </w:pPr>
      <w:r>
        <w:rPr>
          <w:rFonts w:ascii="Calibri" w:cs="Calibri" w:eastAsia="Calibri" w:hAnsi="Calibri"/>
          <w:color w:val="222222"/>
          <w:sz w:val="22"/>
          <w:szCs w:val="22"/>
        </w:rPr>
        <w:t xml:space="preserve">Part 10 — Integration Hub, Spokes, and External Systems</w:t>
      </w:r>
    </w:p>
    <w:p>
      <w:pPr>
        <w:pStyle w:val="ListParagraph"/>
        <w:numPr>
          <w:ilvl w:val="0"/>
          <w:numId w:val="2"/>
        </w:numPr>
        <w:spacing w:after="90"/>
      </w:pPr>
      <w:r>
        <w:rPr>
          <w:rFonts w:ascii="Calibri" w:cs="Calibri" w:eastAsia="Calibri" w:hAnsi="Calibri"/>
          <w:color w:val="222222"/>
          <w:sz w:val="22"/>
          <w:szCs w:val="22"/>
        </w:rPr>
        <w:t xml:space="preserve">Part 11 — Testing, Debugging, and Execution Details</w:t>
      </w:r>
    </w:p>
    <w:p>
      <w:pPr>
        <w:pStyle w:val="ListParagraph"/>
        <w:numPr>
          <w:ilvl w:val="0"/>
          <w:numId w:val="2"/>
        </w:numPr>
        <w:spacing w:after="90"/>
      </w:pPr>
      <w:r>
        <w:rPr>
          <w:rFonts w:ascii="Calibri" w:cs="Calibri" w:eastAsia="Calibri" w:hAnsi="Calibri"/>
          <w:color w:val="222222"/>
          <w:sz w:val="22"/>
          <w:szCs w:val="22"/>
        </w:rPr>
        <w:t xml:space="preserve">Part 12 — Advanced Patterns and Production Best Practices</w:t>
      </w:r>
    </w:p>
    <w:p>
      <w:pPr>
        <w:pStyle w:val="ListParagraph"/>
        <w:numPr>
          <w:ilvl w:val="0"/>
          <w:numId w:val="2"/>
        </w:numPr>
        <w:spacing w:after="90"/>
      </w:pPr>
      <w:r>
        <w:rPr>
          <w:rFonts w:ascii="Calibri" w:cs="Calibri" w:eastAsia="Calibri" w:hAnsi="Calibri"/>
          <w:color w:val="222222"/>
          <w:sz w:val="22"/>
          <w:szCs w:val="22"/>
        </w:rPr>
        <w:t xml:space="preserve">Part 13 — Common Pitfalls Checklist</w:t>
      </w:r>
    </w:p>
    <w:p>
      <w:pPr>
        <w:pStyle w:val="ListParagraph"/>
        <w:numPr>
          <w:ilvl w:val="0"/>
          <w:numId w:val="2"/>
        </w:numPr>
        <w:spacing w:after="90"/>
      </w:pPr>
      <w:r>
        <w:rPr>
          <w:rFonts w:ascii="Calibri" w:cs="Calibri" w:eastAsia="Calibri" w:hAnsi="Calibri"/>
          <w:color w:val="222222"/>
          <w:sz w:val="22"/>
          <w:szCs w:val="22"/>
        </w:rPr>
        <w:t xml:space="preserve">Part 14 — Certification Path and Study Plan</w:t>
      </w:r>
    </w:p>
    <w:p>
      <w:r>
        <w:br w:type="page"/>
      </w:r>
    </w:p>
    <w:p>
      <w:pPr>
        <w:pStyle w:val="Heading1"/>
        <w:pBdr>
          <w:bottom w:val="single" w:color="B8912F" w:sz="12" w:space="4"/>
        </w:pBdr>
        <w:spacing w:after="240" w:before="480"/>
      </w:pPr>
      <w:r>
        <w:rPr>
          <w:rFonts w:ascii="Cambria" w:cs="Cambria" w:eastAsia="Cambria" w:hAnsi="Cambria"/>
          <w:b/>
          <w:bCs/>
          <w:color w:val="1F3864"/>
          <w:sz w:val="32"/>
          <w:szCs w:val="32"/>
        </w:rPr>
        <w:t xml:space="preserve">Part 1 — Foundations</w:t>
      </w:r>
    </w:p>
    <w:p>
      <w:pPr>
        <w:pStyle w:val="Heading2"/>
        <w:spacing w:after="160" w:before="320"/>
      </w:pPr>
      <w:r>
        <w:rPr>
          <w:rFonts w:ascii="Cambria" w:cs="Cambria" w:eastAsia="Cambria" w:hAnsi="Cambria"/>
          <w:b/>
          <w:bCs/>
          <w:color w:val="127475"/>
          <w:sz w:val="26"/>
          <w:szCs w:val="26"/>
        </w:rPr>
        <w:t xml:space="preserve">1.1 What Flow Designer Is</w:t>
      </w:r>
    </w:p>
    <w:p>
      <w:pPr>
        <w:spacing w:after="160" w:line="276"/>
      </w:pPr>
      <w:r>
        <w:rPr>
          <w:rFonts w:ascii="Calibri" w:cs="Calibri" w:eastAsia="Calibri" w:hAnsi="Calibri"/>
          <w:color w:val="222222"/>
          <w:sz w:val="22"/>
          <w:szCs w:val="22"/>
        </w:rPr>
        <w:t xml:space="preserve">Flow Designer is ServiceNow's modern, visual, low-code automation engine. It replaced the legacy Workflow Editor as the platform's primary orchestration tool. You build automations — called flows — by chaining a trigger to a sequence of actions and logic steps, entirely through a drag-and-drop canvas, while still being able to drop into JavaScript for edge cases.</w:t>
      </w:r>
    </w:p>
    <w:p>
      <w:pPr>
        <w:spacing w:after="160" w:line="276"/>
      </w:pPr>
      <w:r>
        <w:rPr>
          <w:rFonts w:ascii="Calibri" w:cs="Calibri" w:eastAsia="Calibri" w:hAnsi="Calibri"/>
          <w:color w:val="222222"/>
          <w:sz w:val="22"/>
          <w:szCs w:val="22"/>
        </w:rPr>
        <w:t xml:space="preserve">A simple mental model: a trigger answers "when should this run?", and everything after it answers "what should happen, in what order, and under what conditions?"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27475" w:sz="8"/>
              <w:left w:val="single" w:color="127475" w:sz="8"/>
              <w:bottom w:val="single" w:color="127475" w:sz="8"/>
              <w:right w:val="single" w:color="127475" w:sz="8"/>
            </w:tcBorders>
            <w:shd w:fill="E7F2F2" w:val="clear"/>
            <w:tcMar>
              <w:top w:type="dxa" w:w="160"/>
              <w:left w:type="dxa" w:w="200"/>
              <w:bottom w:type="dxa" w:w="160"/>
              <w:right w:type="dxa" w:w="200"/>
            </w:tcMar>
          </w:tcPr>
          <w:p>
            <w:pPr>
              <w:spacing w:after="80"/>
            </w:pPr>
            <w:r>
              <w:rPr>
                <w:rFonts w:ascii="Cambria" w:cs="Cambria" w:eastAsia="Cambria" w:hAnsi="Cambria"/>
                <w:b/>
                <w:bCs/>
                <w:color w:val="127475"/>
                <w:sz w:val="22"/>
                <w:szCs w:val="22"/>
              </w:rPr>
              <w:t xml:space="preserve">Why it replaced legacy Workflow</w:t>
            </w:r>
          </w:p>
          <w:p>
            <w:pPr>
              <w:spacing w:after="60"/>
            </w:pPr>
            <w:r>
              <w:rPr>
                <w:rFonts w:ascii="Calibri" w:cs="Calibri" w:eastAsia="Calibri" w:hAnsi="Calibri"/>
                <w:color w:val="222222"/>
                <w:sz w:val="21"/>
                <w:szCs w:val="21"/>
              </w:rPr>
              <w:t xml:space="preserve">• Visual, readable logic instead of a flowchart of activities that required deep workflow-editor knowledge.</w:t>
            </w:r>
          </w:p>
          <w:p>
            <w:pPr>
              <w:spacing w:after="60"/>
            </w:pPr>
            <w:r>
              <w:rPr>
                <w:rFonts w:ascii="Calibri" w:cs="Calibri" w:eastAsia="Calibri" w:hAnsi="Calibri"/>
                <w:color w:val="222222"/>
                <w:sz w:val="21"/>
                <w:szCs w:val="21"/>
              </w:rPr>
              <w:t xml:space="preserve">• Reusable Subflows and Custom Actions reduce duplicated logic across applications.</w:t>
            </w:r>
          </w:p>
          <w:p>
            <w:pPr>
              <w:spacing w:after="60"/>
            </w:pPr>
            <w:r>
              <w:rPr>
                <w:rFonts w:ascii="Calibri" w:cs="Calibri" w:eastAsia="Calibri" w:hAnsi="Calibri"/>
                <w:color w:val="222222"/>
                <w:sz w:val="21"/>
                <w:szCs w:val="21"/>
              </w:rPr>
              <w:t xml:space="preserve">• Native Integration Hub spokes make third-party integration low-code.</w:t>
            </w:r>
          </w:p>
          <w:p>
            <w:pPr>
              <w:spacing w:after="60"/>
            </w:pPr>
            <w:r>
              <w:rPr>
                <w:rFonts w:ascii="Calibri" w:cs="Calibri" w:eastAsia="Calibri" w:hAnsi="Calibri"/>
                <w:color w:val="222222"/>
                <w:sz w:val="21"/>
                <w:szCs w:val="21"/>
              </w:rPr>
              <w:t xml:space="preserve">• Better execution logging (Flow Context / sys_flow_context) for troubleshooting.</w:t>
            </w:r>
          </w:p>
        </w:tc>
      </w:tr>
    </w:tbl>
    <w:p>
      <w:pPr>
        <w:pStyle w:val="Heading2"/>
        <w:spacing w:after="160" w:before="320"/>
      </w:pPr>
      <w:r>
        <w:rPr>
          <w:rFonts w:ascii="Cambria" w:cs="Cambria" w:eastAsia="Cambria" w:hAnsi="Cambria"/>
          <w:b/>
          <w:bCs/>
          <w:color w:val="127475"/>
          <w:sz w:val="26"/>
          <w:szCs w:val="26"/>
        </w:rPr>
        <w:t xml:space="preserve">1.2 Prerequisites</w:t>
      </w:r>
    </w:p>
    <w:p>
      <w:pPr>
        <w:spacing w:after="160" w:line="276"/>
      </w:pPr>
      <w:r>
        <w:rPr>
          <w:rFonts w:ascii="Calibri" w:cs="Calibri" w:eastAsia="Calibri" w:hAnsi="Calibri"/>
          <w:color w:val="222222"/>
          <w:sz w:val="22"/>
          <w:szCs w:val="22"/>
        </w:rPr>
        <w:t xml:space="preserve">You do not need to be a developer to start, but the following foundations make everything in this guide click faster:</w:t>
      </w:r>
    </w:p>
    <w:p>
      <w:pPr>
        <w:pStyle w:val="ListParagraph"/>
        <w:numPr>
          <w:ilvl w:val="0"/>
          <w:numId w:val="3"/>
        </w:numPr>
        <w:spacing w:after="90"/>
      </w:pPr>
      <w:r>
        <w:rPr>
          <w:rFonts w:ascii="Calibri" w:cs="Calibri" w:eastAsia="Calibri" w:hAnsi="Calibri"/>
          <w:color w:val="222222"/>
          <w:sz w:val="22"/>
          <w:szCs w:val="22"/>
        </w:rPr>
        <w:t xml:space="preserve">Basic ServiceNow navigation: application navigator, list views, form views, filters.</w:t>
      </w:r>
    </w:p>
    <w:p>
      <w:pPr>
        <w:pStyle w:val="ListParagraph"/>
        <w:numPr>
          <w:ilvl w:val="0"/>
          <w:numId w:val="3"/>
        </w:numPr>
        <w:spacing w:after="90"/>
      </w:pPr>
      <w:r>
        <w:rPr>
          <w:rFonts w:ascii="Calibri" w:cs="Calibri" w:eastAsia="Calibri" w:hAnsi="Calibri"/>
          <w:color w:val="222222"/>
          <w:sz w:val="22"/>
          <w:szCs w:val="22"/>
        </w:rPr>
        <w:t xml:space="preserve">Understanding of tables and records — what a table is, what a record (row) is, what a field (column) is.</w:t>
      </w:r>
    </w:p>
    <w:p>
      <w:pPr>
        <w:pStyle w:val="ListParagraph"/>
        <w:numPr>
          <w:ilvl w:val="0"/>
          <w:numId w:val="3"/>
        </w:numPr>
        <w:spacing w:after="90"/>
      </w:pPr>
      <w:r>
        <w:rPr>
          <w:rFonts w:ascii="Calibri" w:cs="Calibri" w:eastAsia="Calibri" w:hAnsi="Calibri"/>
          <w:color w:val="222222"/>
          <w:sz w:val="22"/>
          <w:szCs w:val="22"/>
        </w:rPr>
        <w:t xml:space="preserve">Familiarity with Incident, Request, or Catalog Item tables (any process table works for practice).</w:t>
      </w:r>
    </w:p>
    <w:p>
      <w:pPr>
        <w:pStyle w:val="ListParagraph"/>
        <w:numPr>
          <w:ilvl w:val="0"/>
          <w:numId w:val="3"/>
        </w:numPr>
        <w:spacing w:after="90"/>
      </w:pPr>
      <w:r>
        <w:rPr>
          <w:rFonts w:ascii="Calibri" w:cs="Calibri" w:eastAsia="Calibri" w:hAnsi="Calibri"/>
          <w:color w:val="222222"/>
          <w:sz w:val="22"/>
          <w:szCs w:val="22"/>
        </w:rPr>
        <w:t xml:space="preserve">Basic understanding of relationships: reference fields, dot-walking (e.g. caller.department.name).</w:t>
      </w:r>
    </w:p>
    <w:p>
      <w:pPr>
        <w:pStyle w:val="ListParagraph"/>
        <w:numPr>
          <w:ilvl w:val="0"/>
          <w:numId w:val="3"/>
        </w:numPr>
        <w:spacing w:after="90"/>
      </w:pPr>
      <w:r>
        <w:rPr>
          <w:rFonts w:ascii="Calibri" w:cs="Calibri" w:eastAsia="Calibri" w:hAnsi="Calibri"/>
          <w:color w:val="222222"/>
          <w:sz w:val="22"/>
          <w:szCs w:val="22"/>
        </w:rPr>
        <w:t xml:space="preserve">A Personal Developer Instance (PDI) for hands-on practice — free from the ServiceNow Developer Portal.</w:t>
      </w:r>
    </w:p>
    <w:p>
      <w:pPr>
        <w:pStyle w:val="ListParagraph"/>
        <w:numPr>
          <w:ilvl w:val="0"/>
          <w:numId w:val="3"/>
        </w:numPr>
        <w:spacing w:after="90"/>
      </w:pPr>
      <w:r>
        <w:rPr>
          <w:rFonts w:ascii="Calibri" w:cs="Calibri" w:eastAsia="Calibri" w:hAnsi="Calibri"/>
          <w:color w:val="222222"/>
          <w:sz w:val="22"/>
          <w:szCs w:val="22"/>
        </w:rPr>
        <w:t xml:space="preserve">Optional but helpful: basic JavaScript, for script steps and advanced conditions later in the guide.</w:t>
      </w:r>
    </w:p>
    <w:p>
      <w:pPr>
        <w:pStyle w:val="Heading2"/>
        <w:spacing w:after="160" w:before="320"/>
      </w:pPr>
      <w:r>
        <w:rPr>
          <w:rFonts w:ascii="Cambria" w:cs="Cambria" w:eastAsia="Cambria" w:hAnsi="Cambria"/>
          <w:b/>
          <w:bCs/>
          <w:color w:val="127475"/>
          <w:sz w:val="26"/>
          <w:szCs w:val="26"/>
        </w:rPr>
        <w:t xml:space="preserve">1.3 Where to Build Flows</w:t>
      </w:r>
    </w:p>
    <w:p>
      <w:pPr>
        <w:spacing w:after="160" w:line="276"/>
      </w:pPr>
      <w:r>
        <w:rPr>
          <w:rFonts w:ascii="Calibri" w:cs="Calibri" w:eastAsia="Calibri" w:hAnsi="Calibri"/>
          <w:color w:val="222222"/>
          <w:sz w:val="22"/>
          <w:szCs w:val="22"/>
        </w:rPr>
        <w:t xml:space="preserve">Navigate to Flow Designer via the application navigator: All &gt; Process Automation &gt; Flow Designer, or All &gt; Flow Designer. From here you can create a new Flow, Subflow, or Custom Action, and browse everything that already exists in the instance.</w:t>
      </w:r>
    </w:p>
    <w:p>
      <w:r>
        <w:br w:type="page"/>
      </w:r>
    </w:p>
    <w:p>
      <w:pPr>
        <w:pStyle w:val="Heading1"/>
        <w:pBdr>
          <w:bottom w:val="single" w:color="B8912F" w:sz="12" w:space="4"/>
        </w:pBdr>
        <w:spacing w:after="240" w:before="480"/>
      </w:pPr>
      <w:r>
        <w:rPr>
          <w:rFonts w:ascii="Cambria" w:cs="Cambria" w:eastAsia="Cambria" w:hAnsi="Cambria"/>
          <w:b/>
          <w:bCs/>
          <w:color w:val="1F3864"/>
          <w:sz w:val="32"/>
          <w:szCs w:val="32"/>
        </w:rPr>
        <w:t xml:space="preserve">Part 2 — Core Building Blocks</w:t>
      </w:r>
    </w:p>
    <w:p>
      <w:pPr>
        <w:spacing w:after="160" w:line="276"/>
      </w:pPr>
      <w:r>
        <w:rPr>
          <w:rFonts w:ascii="Calibri" w:cs="Calibri" w:eastAsia="Calibri" w:hAnsi="Calibri"/>
          <w:color w:val="222222"/>
          <w:sz w:val="22"/>
          <w:szCs w:val="22"/>
        </w:rPr>
        <w:t xml:space="preserve">Flow Designer is built from four component types. Understanding the distinctions between them early prevents the single most common beginner confusion.</w:t>
      </w:r>
    </w:p>
    <w:p>
      <w:pPr>
        <w:pStyle w:val="Heading2"/>
        <w:spacing w:after="160" w:before="320"/>
      </w:pPr>
      <w:r>
        <w:rPr>
          <w:rFonts w:ascii="Cambria" w:cs="Cambria" w:eastAsia="Cambria" w:hAnsi="Cambria"/>
          <w:b/>
          <w:bCs/>
          <w:color w:val="127475"/>
          <w:sz w:val="26"/>
          <w:szCs w:val="26"/>
        </w:rPr>
        <w:t xml:space="preserve">2.1 Flow</w:t>
      </w:r>
    </w:p>
    <w:p>
      <w:pPr>
        <w:spacing w:after="160" w:line="276"/>
      </w:pPr>
      <w:r>
        <w:rPr>
          <w:rFonts w:ascii="Calibri" w:cs="Calibri" w:eastAsia="Calibri" w:hAnsi="Calibri"/>
          <w:color w:val="222222"/>
          <w:sz w:val="22"/>
          <w:szCs w:val="22"/>
        </w:rPr>
        <w:t xml:space="preserve">A Flow is the top-level automation: one trigger plus a sequence of actions and logic. A flow is what actually runs on its own, in response to its trigger.A flow captures the full trigger-plus-all-steps process, for example when a critical incident is created it might notify a manager, assign a group, and create a problem record.</w:t>
      </w:r>
    </w:p>
    <w:p>
      <w:pPr>
        <w:pStyle w:val="Heading2"/>
        <w:spacing w:after="160" w:before="320"/>
      </w:pPr>
      <w:r>
        <w:rPr>
          <w:rFonts w:ascii="Cambria" w:cs="Cambria" w:eastAsia="Cambria" w:hAnsi="Cambria"/>
          <w:b/>
          <w:bCs/>
          <w:color w:val="127475"/>
          <w:sz w:val="26"/>
          <w:szCs w:val="26"/>
        </w:rPr>
        <w:t xml:space="preserve">2.2 Action</w:t>
      </w:r>
    </w:p>
    <w:p>
      <w:pPr>
        <w:spacing w:after="160" w:line="276"/>
      </w:pPr>
      <w:r>
        <w:rPr>
          <w:rFonts w:ascii="Calibri" w:cs="Calibri" w:eastAsia="Calibri" w:hAnsi="Calibri"/>
          <w:color w:val="222222"/>
          <w:sz w:val="22"/>
          <w:szCs w:val="22"/>
        </w:rPr>
        <w:t xml:space="preserve">An Action is the smallest working step inside a flow — the individual instruction that performs one task.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27475" w:sz="8"/>
              <w:left w:val="single" w:color="127475" w:sz="8"/>
              <w:bottom w:val="single" w:color="127475" w:sz="8"/>
              <w:right w:val="single" w:color="127475" w:sz="8"/>
            </w:tcBorders>
            <w:shd w:fill="E7F2F2" w:val="clear"/>
            <w:tcMar>
              <w:top w:type="dxa" w:w="160"/>
              <w:left w:type="dxa" w:w="200"/>
              <w:bottom w:type="dxa" w:w="160"/>
              <w:right w:type="dxa" w:w="200"/>
            </w:tcMar>
          </w:tcPr>
          <w:p>
            <w:pPr>
              <w:spacing w:after="80"/>
            </w:pPr>
            <w:r>
              <w:rPr>
                <w:rFonts w:ascii="Cambria" w:cs="Cambria" w:eastAsia="Cambria" w:hAnsi="Cambria"/>
                <w:b/>
                <w:bCs/>
                <w:color w:val="127475"/>
                <w:sz w:val="22"/>
                <w:szCs w:val="22"/>
              </w:rPr>
              <w:t xml:space="preserve">Core (out-of-the-box) actions you will use constantly</w:t>
            </w:r>
          </w:p>
          <w:p>
            <w:pPr>
              <w:spacing w:after="60"/>
            </w:pPr>
            <w:r>
              <w:rPr>
                <w:rFonts w:ascii="Calibri" w:cs="Calibri" w:eastAsia="Calibri" w:hAnsi="Calibri"/>
                <w:color w:val="222222"/>
                <w:sz w:val="21"/>
                <w:szCs w:val="21"/>
              </w:rPr>
              <w:t xml:space="preserve">• Create Record / Update Record / Delete Record — the standard CRUD steps.</w:t>
            </w:r>
          </w:p>
          <w:p>
            <w:pPr>
              <w:spacing w:after="60"/>
            </w:pPr>
            <w:r>
              <w:rPr>
                <w:rFonts w:ascii="Calibri" w:cs="Calibri" w:eastAsia="Calibri" w:hAnsi="Calibri"/>
                <w:color w:val="222222"/>
                <w:sz w:val="21"/>
                <w:szCs w:val="21"/>
              </w:rPr>
              <w:t xml:space="preserve">• Look Up Record(s) — retrieve one or more existing records by condition.</w:t>
            </w:r>
          </w:p>
          <w:p>
            <w:pPr>
              <w:spacing w:after="60"/>
            </w:pPr>
            <w:r>
              <w:rPr>
                <w:rFonts w:ascii="Calibri" w:cs="Calibri" w:eastAsia="Calibri" w:hAnsi="Calibri"/>
                <w:color w:val="222222"/>
                <w:sz w:val="21"/>
                <w:szCs w:val="21"/>
              </w:rPr>
              <w:t xml:space="preserve">• Ask For Approval — route a record for approval and branch on the outcome.</w:t>
            </w:r>
          </w:p>
          <w:p>
            <w:pPr>
              <w:spacing w:after="60"/>
            </w:pPr>
            <w:r>
              <w:rPr>
                <w:rFonts w:ascii="Calibri" w:cs="Calibri" w:eastAsia="Calibri" w:hAnsi="Calibri"/>
                <w:color w:val="222222"/>
                <w:sz w:val="21"/>
                <w:szCs w:val="21"/>
              </w:rPr>
              <w:t xml:space="preserve">• Send Email / Create Notification — communicate to users.</w:t>
            </w:r>
          </w:p>
          <w:p>
            <w:pPr>
              <w:spacing w:after="60"/>
            </w:pPr>
            <w:r>
              <w:rPr>
                <w:rFonts w:ascii="Calibri" w:cs="Calibri" w:eastAsia="Calibri" w:hAnsi="Calibri"/>
                <w:color w:val="222222"/>
                <w:sz w:val="21"/>
                <w:szCs w:val="21"/>
              </w:rPr>
              <w:t xml:space="preserve">• Create Task — generate a task record on any task-extended table.</w:t>
            </w:r>
          </w:p>
          <w:p>
            <w:pPr>
              <w:spacing w:after="60"/>
            </w:pPr>
            <w:r>
              <w:rPr>
                <w:rFonts w:ascii="Calibri" w:cs="Calibri" w:eastAsia="Calibri" w:hAnsi="Calibri"/>
                <w:color w:val="222222"/>
                <w:sz w:val="21"/>
                <w:szCs w:val="21"/>
              </w:rPr>
              <w:t xml:space="preserve">• Log Message — write to the flow's execution log for debugging.</w:t>
            </w:r>
          </w:p>
          <w:p>
            <w:pPr>
              <w:spacing w:after="60"/>
            </w:pPr>
            <w:r>
              <w:rPr>
                <w:rFonts w:ascii="Calibri" w:cs="Calibri" w:eastAsia="Calibri" w:hAnsi="Calibri"/>
                <w:color w:val="222222"/>
                <w:sz w:val="21"/>
                <w:szCs w:val="21"/>
              </w:rPr>
              <w:t xml:space="preserve">• Script Step — drop into server-side JavaScript for anything the palette can't do declaratively.</w:t>
            </w:r>
          </w:p>
        </w:tc>
      </w:tr>
    </w:tbl>
    <w:p>
      <w:pPr>
        <w:pStyle w:val="Heading2"/>
        <w:spacing w:after="160" w:before="320"/>
      </w:pPr>
      <w:r>
        <w:rPr>
          <w:rFonts w:ascii="Cambria" w:cs="Cambria" w:eastAsia="Cambria" w:hAnsi="Cambria"/>
          <w:b/>
          <w:bCs/>
          <w:color w:val="127475"/>
          <w:sz w:val="26"/>
          <w:szCs w:val="26"/>
        </w:rPr>
        <w:t xml:space="preserve">2.3 Subflow</w:t>
      </w:r>
    </w:p>
    <w:p>
      <w:pPr>
        <w:spacing w:after="160" w:line="276"/>
      </w:pPr>
      <w:r>
        <w:rPr>
          <w:rFonts w:ascii="Calibri" w:cs="Calibri" w:eastAsia="Calibri" w:hAnsi="Calibri"/>
          <w:color w:val="222222"/>
          <w:sz w:val="22"/>
          <w:szCs w:val="22"/>
        </w:rPr>
        <w:t xml:space="preserve">A Subflow is a reusable mini-flow with no trigger of its own — it is only ever invoked by a parent flow (or another subflow). Think of it as the Script Include of Flow Designer: a named, testable, reusable block of logic.</w:t>
      </w:r>
    </w:p>
    <w:p>
      <w:pPr>
        <w:spacing w:after="160" w:line="276"/>
      </w:pPr>
      <w:r>
        <w:rPr>
          <w:rFonts w:ascii="Calibri" w:cs="Calibri" w:eastAsia="Calibri" w:hAnsi="Calibri"/>
          <w:color w:val="222222"/>
          <w:sz w:val="22"/>
          <w:szCs w:val="22"/>
        </w:rPr>
        <w:t xml:space="preserve">A subflow defines input variables describing what it needs and output variables describing what it returns, and the calling flow maps data pills to those inputs and reads the outputs once the subflow completes.</w:t>
      </w:r>
    </w:p>
    <w:p>
      <w:pPr>
        <w:pStyle w:val="Heading2"/>
        <w:spacing w:after="160" w:before="320"/>
      </w:pPr>
      <w:r>
        <w:rPr>
          <w:rFonts w:ascii="Cambria" w:cs="Cambria" w:eastAsia="Cambria" w:hAnsi="Cambria"/>
          <w:b/>
          <w:bCs/>
          <w:color w:val="127475"/>
          <w:sz w:val="26"/>
          <w:szCs w:val="26"/>
        </w:rPr>
        <w:t xml:space="preserve">2.4 Custom Action</w:t>
      </w:r>
    </w:p>
    <w:p>
      <w:pPr>
        <w:spacing w:after="160" w:line="276"/>
      </w:pPr>
      <w:r>
        <w:rPr>
          <w:rFonts w:ascii="Calibri" w:cs="Calibri" w:eastAsia="Calibri" w:hAnsi="Calibri"/>
          <w:color w:val="222222"/>
          <w:sz w:val="22"/>
          <w:szCs w:val="22"/>
        </w:rPr>
        <w:t xml:space="preserve">A Custom Action is a developer-built, reusable single step, created in Action Designer, that behaves like a core action once published — it can contain script steps, REST calls, or other logic packaged behind a clean input/output interface.</w:t>
      </w:r>
    </w:p>
    <w:p>
      <w:pPr>
        <w:pStyle w:val="Heading3"/>
        <w:spacing w:after="120" w:before="220"/>
      </w:pPr>
      <w:r>
        <w:rPr>
          <w:rFonts w:ascii="Calibri" w:cs="Calibri" w:eastAsia="Calibri" w:hAnsi="Calibri"/>
          <w:b/>
          <w:bCs/>
          <w:color w:val="1F3864"/>
          <w:sz w:val="23"/>
          <w:szCs w:val="23"/>
        </w:rPr>
        <w:t xml:space="preserve">Flow vs. Subflow vs. Custom Action — quick comparison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700"/>
        <w:gridCol w:w="2900"/>
      </w:tblGrid>
      <w:tr>
        <w:trPr>
          <w:tblHeader/>
        </w:trPr>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Aspect</w:t>
            </w:r>
          </w:p>
        </w:tc>
        <w:tc>
          <w:tcPr>
            <w:tcW w:type="dxa" w:w="25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Flow</w:t>
            </w:r>
          </w:p>
        </w:tc>
        <w:tc>
          <w:tcPr>
            <w:tcW w:type="dxa" w:w="27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Subflow</w:t>
            </w:r>
          </w:p>
        </w:tc>
        <w:tc>
          <w:tcPr>
            <w:tcW w:type="dxa" w:w="29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Custom Action</w:t>
            </w:r>
          </w:p>
        </w:tc>
      </w:tr>
      <w:tr>
        <w:tc>
          <w:tcPr>
            <w:tcW w:type="dxa" w:w="2400"/>
            <w:shd w:fill="E7F2F2" w:val="clear"/>
            <w:tcMar>
              <w:top w:type="dxa" w:w="100"/>
              <w:left w:type="dxa" w:w="120"/>
              <w:bottom w:type="dxa" w:w="100"/>
              <w:right w:type="dxa" w:w="120"/>
            </w:tcMar>
          </w:tcPr>
          <w:p>
            <w:r>
              <w:rPr>
                <w:rFonts w:ascii="Calibri" w:cs="Calibri" w:eastAsia="Calibri" w:hAnsi="Calibri"/>
                <w:color w:val="222222"/>
                <w:sz w:val="20"/>
                <w:szCs w:val="20"/>
              </w:rPr>
              <w:t xml:space="preserve">Has its own trigger?</w:t>
            </w:r>
          </w:p>
        </w:tc>
        <w:tc>
          <w:tcPr>
            <w:tcW w:type="dxa" w:w="2500"/>
            <w:shd w:fill="E7F2F2" w:val="clear"/>
            <w:tcMar>
              <w:top w:type="dxa" w:w="100"/>
              <w:left w:type="dxa" w:w="120"/>
              <w:bottom w:type="dxa" w:w="100"/>
              <w:right w:type="dxa" w:w="120"/>
            </w:tcMar>
          </w:tcPr>
          <w:p>
            <w:r>
              <w:rPr>
                <w:rFonts w:ascii="Calibri" w:cs="Calibri" w:eastAsia="Calibri" w:hAnsi="Calibri"/>
                <w:color w:val="222222"/>
                <w:sz w:val="20"/>
                <w:szCs w:val="20"/>
              </w:rPr>
              <w:t xml:space="preserve">Yes — exactly one</w:t>
            </w:r>
          </w:p>
        </w:tc>
        <w:tc>
          <w:tcPr>
            <w:tcW w:type="dxa" w:w="2700"/>
            <w:shd w:fill="E7F2F2" w:val="clear"/>
            <w:tcMar>
              <w:top w:type="dxa" w:w="100"/>
              <w:left w:type="dxa" w:w="120"/>
              <w:bottom w:type="dxa" w:w="100"/>
              <w:right w:type="dxa" w:w="120"/>
            </w:tcMar>
          </w:tcPr>
          <w:p>
            <w:r>
              <w:rPr>
                <w:rFonts w:ascii="Calibri" w:cs="Calibri" w:eastAsia="Calibri" w:hAnsi="Calibri"/>
                <w:color w:val="222222"/>
                <w:sz w:val="20"/>
                <w:szCs w:val="20"/>
              </w:rPr>
              <w:t xml:space="preserve">No — invoked only</w:t>
            </w:r>
          </w:p>
        </w:tc>
        <w:tc>
          <w:tcPr>
            <w:tcW w:type="dxa" w:w="2900"/>
            <w:shd w:fill="E7F2F2" w:val="clear"/>
            <w:tcMar>
              <w:top w:type="dxa" w:w="100"/>
              <w:left w:type="dxa" w:w="120"/>
              <w:bottom w:type="dxa" w:w="100"/>
              <w:right w:type="dxa" w:w="120"/>
            </w:tcMar>
          </w:tcPr>
          <w:p>
            <w:r>
              <w:rPr>
                <w:rFonts w:ascii="Calibri" w:cs="Calibri" w:eastAsia="Calibri" w:hAnsi="Calibri"/>
                <w:color w:val="222222"/>
                <w:sz w:val="20"/>
                <w:szCs w:val="20"/>
              </w:rPr>
              <w:t xml:space="preserve">No — invoked only</w:t>
            </w:r>
          </w:p>
        </w:tc>
      </w:tr>
      <w:tr>
        <w:tc>
          <w:tcPr>
            <w:tcW w:type="dxa" w:w="2400"/>
            <w:shd w:fill="FFFFFF" w:val="clear"/>
            <w:tcMar>
              <w:top w:type="dxa" w:w="100"/>
              <w:left w:type="dxa" w:w="120"/>
              <w:bottom w:type="dxa" w:w="100"/>
              <w:right w:type="dxa" w:w="120"/>
            </w:tcMar>
          </w:tcPr>
          <w:p>
            <w:r>
              <w:rPr>
                <w:rFonts w:ascii="Calibri" w:cs="Calibri" w:eastAsia="Calibri" w:hAnsi="Calibri"/>
                <w:color w:val="222222"/>
                <w:sz w:val="20"/>
                <w:szCs w:val="20"/>
              </w:rPr>
              <w:t xml:space="preserve">Runs standalone?</w:t>
            </w:r>
          </w:p>
        </w:tc>
        <w:tc>
          <w:tcPr>
            <w:tcW w:type="dxa" w:w="2500"/>
            <w:shd w:fill="FFFFFF" w:val="clear"/>
            <w:tcMar>
              <w:top w:type="dxa" w:w="100"/>
              <w:left w:type="dxa" w:w="120"/>
              <w:bottom w:type="dxa" w:w="100"/>
              <w:right w:type="dxa" w:w="120"/>
            </w:tcMar>
          </w:tcPr>
          <w:p>
            <w:r>
              <w:rPr>
                <w:rFonts w:ascii="Calibri" w:cs="Calibri" w:eastAsia="Calibri" w:hAnsi="Calibri"/>
                <w:color w:val="222222"/>
                <w:sz w:val="20"/>
                <w:szCs w:val="20"/>
              </w:rPr>
              <w:t xml:space="preserve">Yes</w:t>
            </w:r>
          </w:p>
        </w:tc>
        <w:tc>
          <w:tcPr>
            <w:tcW w:type="dxa" w:w="2700"/>
            <w:shd w:fill="FFFFFF" w:val="clear"/>
            <w:tcMar>
              <w:top w:type="dxa" w:w="100"/>
              <w:left w:type="dxa" w:w="120"/>
              <w:bottom w:type="dxa" w:w="100"/>
              <w:right w:type="dxa" w:w="120"/>
            </w:tcMar>
          </w:tcPr>
          <w:p>
            <w:r>
              <w:rPr>
                <w:rFonts w:ascii="Calibri" w:cs="Calibri" w:eastAsia="Calibri" w:hAnsi="Calibri"/>
                <w:color w:val="222222"/>
                <w:sz w:val="20"/>
                <w:szCs w:val="20"/>
              </w:rPr>
              <w:t xml:space="preserve">No, needs a caller</w:t>
            </w:r>
          </w:p>
        </w:tc>
        <w:tc>
          <w:tcPr>
            <w:tcW w:type="dxa" w:w="2900"/>
            <w:shd w:fill="FFFFFF" w:val="clear"/>
            <w:tcMar>
              <w:top w:type="dxa" w:w="100"/>
              <w:left w:type="dxa" w:w="120"/>
              <w:bottom w:type="dxa" w:w="100"/>
              <w:right w:type="dxa" w:w="120"/>
            </w:tcMar>
          </w:tcPr>
          <w:p>
            <w:r>
              <w:rPr>
                <w:rFonts w:ascii="Calibri" w:cs="Calibri" w:eastAsia="Calibri" w:hAnsi="Calibri"/>
                <w:color w:val="222222"/>
                <w:sz w:val="20"/>
                <w:szCs w:val="20"/>
              </w:rPr>
              <w:t xml:space="preserve">No, needs a caller</w:t>
            </w:r>
          </w:p>
        </w:tc>
      </w:tr>
      <w:tr>
        <w:tc>
          <w:tcPr>
            <w:tcW w:type="dxa" w:w="2400"/>
            <w:shd w:fill="E7F2F2" w:val="clear"/>
            <w:tcMar>
              <w:top w:type="dxa" w:w="100"/>
              <w:left w:type="dxa" w:w="120"/>
              <w:bottom w:type="dxa" w:w="100"/>
              <w:right w:type="dxa" w:w="120"/>
            </w:tcMar>
          </w:tcPr>
          <w:p>
            <w:r>
              <w:rPr>
                <w:rFonts w:ascii="Calibri" w:cs="Calibri" w:eastAsia="Calibri" w:hAnsi="Calibri"/>
                <w:color w:val="222222"/>
                <w:sz w:val="20"/>
                <w:szCs w:val="20"/>
              </w:rPr>
              <w:t xml:space="preserve">Typical use</w:t>
            </w:r>
          </w:p>
        </w:tc>
        <w:tc>
          <w:tcPr>
            <w:tcW w:type="dxa" w:w="2500"/>
            <w:shd w:fill="E7F2F2" w:val="clear"/>
            <w:tcMar>
              <w:top w:type="dxa" w:w="100"/>
              <w:left w:type="dxa" w:w="120"/>
              <w:bottom w:type="dxa" w:w="100"/>
              <w:right w:type="dxa" w:w="120"/>
            </w:tcMar>
          </w:tcPr>
          <w:p>
            <w:r>
              <w:rPr>
                <w:rFonts w:ascii="Calibri" w:cs="Calibri" w:eastAsia="Calibri" w:hAnsi="Calibri"/>
                <w:color w:val="222222"/>
                <w:sz w:val="20"/>
                <w:szCs w:val="20"/>
              </w:rPr>
              <w:t xml:space="preserve">End-to-end process</w:t>
            </w:r>
          </w:p>
        </w:tc>
        <w:tc>
          <w:tcPr>
            <w:tcW w:type="dxa" w:w="2700"/>
            <w:shd w:fill="E7F2F2" w:val="clear"/>
            <w:tcMar>
              <w:top w:type="dxa" w:w="100"/>
              <w:left w:type="dxa" w:w="120"/>
              <w:bottom w:type="dxa" w:w="100"/>
              <w:right w:type="dxa" w:w="120"/>
            </w:tcMar>
          </w:tcPr>
          <w:p>
            <w:r>
              <w:rPr>
                <w:rFonts w:ascii="Calibri" w:cs="Calibri" w:eastAsia="Calibri" w:hAnsi="Calibri"/>
                <w:color w:val="222222"/>
                <w:sz w:val="20"/>
                <w:szCs w:val="20"/>
              </w:rPr>
              <w:t xml:space="preserve">Reusable multi-step logic</w:t>
            </w:r>
          </w:p>
        </w:tc>
        <w:tc>
          <w:tcPr>
            <w:tcW w:type="dxa" w:w="2900"/>
            <w:shd w:fill="E7F2F2" w:val="clear"/>
            <w:tcMar>
              <w:top w:type="dxa" w:w="100"/>
              <w:left w:type="dxa" w:w="120"/>
              <w:bottom w:type="dxa" w:w="100"/>
              <w:right w:type="dxa" w:w="120"/>
            </w:tcMar>
          </w:tcPr>
          <w:p>
            <w:r>
              <w:rPr>
                <w:rFonts w:ascii="Calibri" w:cs="Calibri" w:eastAsia="Calibri" w:hAnsi="Calibri"/>
                <w:color w:val="222222"/>
                <w:sz w:val="20"/>
                <w:szCs w:val="20"/>
              </w:rPr>
              <w:t xml:space="preserve">Reusable single step, often scripted</w:t>
            </w:r>
          </w:p>
        </w:tc>
      </w:tr>
      <w:tr>
        <w:tc>
          <w:tcPr>
            <w:tcW w:type="dxa" w:w="2400"/>
            <w:shd w:fill="FFFFFF" w:val="clear"/>
            <w:tcMar>
              <w:top w:type="dxa" w:w="100"/>
              <w:left w:type="dxa" w:w="120"/>
              <w:bottom w:type="dxa" w:w="100"/>
              <w:right w:type="dxa" w:w="120"/>
            </w:tcMar>
          </w:tcPr>
          <w:p>
            <w:r>
              <w:rPr>
                <w:rFonts w:ascii="Calibri" w:cs="Calibri" w:eastAsia="Calibri" w:hAnsi="Calibri"/>
                <w:color w:val="222222"/>
                <w:sz w:val="20"/>
                <w:szCs w:val="20"/>
              </w:rPr>
              <w:t xml:space="preserve">Analogy</w:t>
            </w:r>
          </w:p>
        </w:tc>
        <w:tc>
          <w:tcPr>
            <w:tcW w:type="dxa" w:w="2500"/>
            <w:shd w:fill="FFFFFF" w:val="clear"/>
            <w:tcMar>
              <w:top w:type="dxa" w:w="100"/>
              <w:left w:type="dxa" w:w="120"/>
              <w:bottom w:type="dxa" w:w="100"/>
              <w:right w:type="dxa" w:w="120"/>
            </w:tcMar>
          </w:tcPr>
          <w:p>
            <w:r>
              <w:rPr>
                <w:rFonts w:ascii="Calibri" w:cs="Calibri" w:eastAsia="Calibri" w:hAnsi="Calibri"/>
                <w:color w:val="222222"/>
                <w:sz w:val="20"/>
                <w:szCs w:val="20"/>
              </w:rPr>
              <w:t xml:space="preserve">A full recipe</w:t>
            </w:r>
          </w:p>
        </w:tc>
        <w:tc>
          <w:tcPr>
            <w:tcW w:type="dxa" w:w="2700"/>
            <w:shd w:fill="FFFFFF" w:val="clear"/>
            <w:tcMar>
              <w:top w:type="dxa" w:w="100"/>
              <w:left w:type="dxa" w:w="120"/>
              <w:bottom w:type="dxa" w:w="100"/>
              <w:right w:type="dxa" w:w="120"/>
            </w:tcMar>
          </w:tcPr>
          <w:p>
            <w:r>
              <w:rPr>
                <w:rFonts w:ascii="Calibri" w:cs="Calibri" w:eastAsia="Calibri" w:hAnsi="Calibri"/>
                <w:color w:val="222222"/>
                <w:sz w:val="20"/>
                <w:szCs w:val="20"/>
              </w:rPr>
              <w:t xml:space="preserve">A prep routine reused across recipes</w:t>
            </w:r>
          </w:p>
        </w:tc>
        <w:tc>
          <w:tcPr>
            <w:tcW w:type="dxa" w:w="2900"/>
            <w:shd w:fill="FFFFFF" w:val="clear"/>
            <w:tcMar>
              <w:top w:type="dxa" w:w="100"/>
              <w:left w:type="dxa" w:w="120"/>
              <w:bottom w:type="dxa" w:w="100"/>
              <w:right w:type="dxa" w:w="120"/>
            </w:tcMar>
          </w:tcPr>
          <w:p>
            <w:r>
              <w:rPr>
                <w:rFonts w:ascii="Calibri" w:cs="Calibri" w:eastAsia="Calibri" w:hAnsi="Calibri"/>
                <w:color w:val="222222"/>
                <w:sz w:val="20"/>
                <w:szCs w:val="20"/>
              </w:rPr>
              <w:t xml:space="preserve">A single kitchen tool</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8912F" w:sz="8"/>
              <w:left w:val="single" w:color="B8912F" w:sz="8"/>
              <w:bottom w:val="single" w:color="B8912F" w:sz="8"/>
              <w:right w:val="single" w:color="B8912F" w:sz="8"/>
            </w:tcBorders>
            <w:shd w:fill="FBF3DF" w:val="clear"/>
            <w:tcMar>
              <w:top w:type="dxa" w:w="160"/>
              <w:left w:type="dxa" w:w="200"/>
              <w:bottom w:type="dxa" w:w="160"/>
              <w:right w:type="dxa" w:w="200"/>
            </w:tcMar>
          </w:tcPr>
          <w:p>
            <w:pPr>
              <w:spacing w:after="80"/>
            </w:pPr>
            <w:r>
              <w:rPr>
                <w:rFonts w:ascii="Cambria" w:cs="Cambria" w:eastAsia="Cambria" w:hAnsi="Cambria"/>
                <w:b/>
                <w:bCs/>
                <w:color w:val="B8912F"/>
                <w:sz w:val="22"/>
                <w:szCs w:val="22"/>
              </w:rPr>
              <w:t xml:space="preserve">Beginner trap</w:t>
            </w:r>
          </w:p>
          <w:p>
            <w:pPr>
              <w:spacing w:after="60"/>
            </w:pPr>
            <w:r>
              <w:rPr>
                <w:rFonts w:ascii="Calibri" w:cs="Calibri" w:eastAsia="Calibri" w:hAnsi="Calibri"/>
                <w:color w:val="222222"/>
                <w:sz w:val="21"/>
                <w:szCs w:val="21"/>
              </w:rPr>
              <w:t xml:space="preserve">• New builders often cram everything into one giant flow. If you notice the same 4-5 steps appearing in more than one flow, that is your signal to extract a Subflow.</w:t>
            </w:r>
          </w:p>
        </w:tc>
      </w:tr>
    </w:tbl>
    <w:p>
      <w:r>
        <w:br w:type="page"/>
      </w:r>
    </w:p>
    <w:p>
      <w:pPr>
        <w:pStyle w:val="Heading1"/>
        <w:pBdr>
          <w:bottom w:val="single" w:color="B8912F" w:sz="12" w:space="4"/>
        </w:pBdr>
        <w:spacing w:after="240" w:before="480"/>
      </w:pPr>
      <w:r>
        <w:rPr>
          <w:rFonts w:ascii="Cambria" w:cs="Cambria" w:eastAsia="Cambria" w:hAnsi="Cambria"/>
          <w:b/>
          <w:bCs/>
          <w:color w:val="1F3864"/>
          <w:sz w:val="32"/>
          <w:szCs w:val="32"/>
        </w:rPr>
        <w:t xml:space="preserve">Part 3 — Triggers</w:t>
      </w:r>
    </w:p>
    <w:p>
      <w:pPr>
        <w:spacing w:after="160" w:line="276"/>
      </w:pPr>
      <w:r>
        <w:rPr>
          <w:rFonts w:ascii="Calibri" w:cs="Calibri" w:eastAsia="Calibri" w:hAnsi="Calibri"/>
          <w:color w:val="222222"/>
          <w:sz w:val="22"/>
          <w:szCs w:val="22"/>
        </w:rPr>
        <w:t xml:space="preserve">Every flow has exactly one trigger. Subflows and Custom Actions never have a trigger — they are called explicitly. Choosing the right trigger type is the first design decision for any new flow.</w:t>
      </w:r>
    </w:p>
    <w:p>
      <w:pPr>
        <w:pStyle w:val="Heading2"/>
        <w:spacing w:after="160" w:before="320"/>
      </w:pPr>
      <w:r>
        <w:rPr>
          <w:rFonts w:ascii="Cambria" w:cs="Cambria" w:eastAsia="Cambria" w:hAnsi="Cambria"/>
          <w:b/>
          <w:bCs/>
          <w:color w:val="127475"/>
          <w:sz w:val="26"/>
          <w:szCs w:val="26"/>
        </w:rPr>
        <w:t xml:space="preserve">3.1 Record Trigger</w:t>
      </w:r>
    </w:p>
    <w:p>
      <w:pPr>
        <w:spacing w:after="160" w:line="276"/>
      </w:pPr>
      <w:r>
        <w:rPr>
          <w:rFonts w:ascii="Calibri" w:cs="Calibri" w:eastAsia="Calibri" w:hAnsi="Calibri"/>
          <w:color w:val="222222"/>
          <w:sz w:val="22"/>
          <w:szCs w:val="22"/>
        </w:rPr>
        <w:t xml:space="preserve">A record-based trigger fires when a record is created, updated, or deleted on a target table such as incident, request, or change. This is the trigger you will use for the large majority of business-process automations.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27475" w:sz="8"/>
              <w:left w:val="single" w:color="127475" w:sz="8"/>
              <w:bottom w:val="single" w:color="127475" w:sz="8"/>
              <w:right w:val="single" w:color="127475" w:sz="8"/>
            </w:tcBorders>
            <w:shd w:fill="E7F2F2" w:val="clear"/>
            <w:tcMar>
              <w:top w:type="dxa" w:w="160"/>
              <w:left w:type="dxa" w:w="200"/>
              <w:bottom w:type="dxa" w:w="160"/>
              <w:right w:type="dxa" w:w="200"/>
            </w:tcMar>
          </w:tcPr>
          <w:p>
            <w:pPr>
              <w:spacing w:after="80"/>
            </w:pPr>
            <w:r>
              <w:rPr>
                <w:rFonts w:ascii="Cambria" w:cs="Cambria" w:eastAsia="Cambria" w:hAnsi="Cambria"/>
                <w:b/>
                <w:bCs/>
                <w:color w:val="127475"/>
                <w:sz w:val="22"/>
                <w:szCs w:val="22"/>
              </w:rPr>
              <w:t xml:space="preserve">Record Trigger configuration options</w:t>
            </w:r>
          </w:p>
          <w:p>
            <w:pPr>
              <w:spacing w:after="60"/>
            </w:pPr>
            <w:r>
              <w:rPr>
                <w:rFonts w:ascii="Calibri" w:cs="Calibri" w:eastAsia="Calibri" w:hAnsi="Calibri"/>
                <w:color w:val="222222"/>
                <w:sz w:val="21"/>
                <w:szCs w:val="21"/>
              </w:rPr>
              <w:t xml:space="preserve">• Table — the table to watch (e.g. Incident, Change Request, custom table).</w:t>
            </w:r>
          </w:p>
          <w:p>
            <w:pPr>
              <w:spacing w:after="60"/>
            </w:pPr>
            <w:r>
              <w:rPr>
                <w:rFonts w:ascii="Calibri" w:cs="Calibri" w:eastAsia="Calibri" w:hAnsi="Calibri"/>
                <w:color w:val="222222"/>
                <w:sz w:val="21"/>
                <w:szCs w:val="21"/>
              </w:rPr>
              <w:t xml:space="preserve">• Condition — created / updated / created or updated / deleted.</w:t>
            </w:r>
          </w:p>
          <w:p>
            <w:pPr>
              <w:spacing w:after="60"/>
            </w:pPr>
            <w:r>
              <w:rPr>
                <w:rFonts w:ascii="Calibri" w:cs="Calibri" w:eastAsia="Calibri" w:hAnsi="Calibri"/>
                <w:color w:val="222222"/>
                <w:sz w:val="21"/>
                <w:szCs w:val="21"/>
              </w:rPr>
              <w:t xml:space="preserve">• Field-level condition builder — e.g. Priority is 1 - Critical.</w:t>
            </w:r>
          </w:p>
          <w:p>
            <w:pPr>
              <w:spacing w:after="60"/>
            </w:pPr>
            <w:r>
              <w:rPr>
                <w:rFonts w:ascii="Calibri" w:cs="Calibri" w:eastAsia="Calibri" w:hAnsi="Calibri"/>
                <w:color w:val="222222"/>
                <w:sz w:val="21"/>
                <w:szCs w:val="21"/>
              </w:rPr>
              <w:t xml:space="preserve">• Run — foreground (synchronous, blocks the transaction) vs. background (asynchronous, recommended for most business logic).</w:t>
            </w:r>
          </w:p>
        </w:tc>
      </w:tr>
    </w:tbl>
    <w:p>
      <w:pPr>
        <w:pStyle w:val="Heading2"/>
        <w:spacing w:after="160" w:before="320"/>
      </w:pPr>
      <w:r>
        <w:rPr>
          <w:rFonts w:ascii="Cambria" w:cs="Cambria" w:eastAsia="Cambria" w:hAnsi="Cambria"/>
          <w:b/>
          <w:bCs/>
          <w:color w:val="127475"/>
          <w:sz w:val="26"/>
          <w:szCs w:val="26"/>
        </w:rPr>
        <w:t xml:space="preserve">3.2 Scheduled Trigger</w:t>
      </w:r>
    </w:p>
    <w:p>
      <w:pPr>
        <w:spacing w:after="160" w:line="276"/>
      </w:pPr>
      <w:r>
        <w:rPr>
          <w:rFonts w:ascii="Calibri" w:cs="Calibri" w:eastAsia="Calibri" w:hAnsi="Calibri"/>
          <w:color w:val="222222"/>
          <w:sz w:val="22"/>
          <w:szCs w:val="22"/>
        </w:rPr>
        <w:t xml:space="preserve">Runs on a defined schedule — once, daily, weekly, monthly, or on a custom cron-like recurrence. Typical uses: daily digest emails, nightly cleanup jobs, SLA reminder sweeps.</w:t>
      </w:r>
    </w:p>
    <w:p>
      <w:pPr>
        <w:pStyle w:val="Heading2"/>
        <w:spacing w:after="160" w:before="320"/>
      </w:pPr>
      <w:r>
        <w:rPr>
          <w:rFonts w:ascii="Cambria" w:cs="Cambria" w:eastAsia="Cambria" w:hAnsi="Cambria"/>
          <w:b/>
          <w:bCs/>
          <w:color w:val="127475"/>
          <w:sz w:val="26"/>
          <w:szCs w:val="26"/>
        </w:rPr>
        <w:t xml:space="preserve">3.3 Application / Event / Service Catalog Triggers</w:t>
      </w:r>
    </w:p>
    <w:p>
      <w:pPr>
        <w:spacing w:after="160" w:line="276"/>
      </w:pPr>
      <w:r>
        <w:rPr>
          <w:rFonts w:ascii="Calibri" w:cs="Calibri" w:eastAsia="Calibri" w:hAnsi="Calibri"/>
          <w:color w:val="222222"/>
          <w:sz w:val="22"/>
          <w:szCs w:val="22"/>
        </w:rPr>
        <w:t xml:space="preserve">Beyond simple record changes, Flow Designer supports: Service Catalog triggers (fires when a specific catalog item is ordered), Application/Event triggers (fires on a registered platform event), and Inbound Email triggers (fires when an email matches configured inbound email criteria).</w:t>
      </w:r>
    </w:p>
    <w:p>
      <w:pPr>
        <w:pStyle w:val="Heading2"/>
        <w:spacing w:after="160" w:before="320"/>
      </w:pPr>
      <w:r>
        <w:rPr>
          <w:rFonts w:ascii="Cambria" w:cs="Cambria" w:eastAsia="Cambria" w:hAnsi="Cambria"/>
          <w:b/>
          <w:bCs/>
          <w:color w:val="127475"/>
          <w:sz w:val="26"/>
          <w:szCs w:val="26"/>
        </w:rPr>
        <w:t xml:space="preserve">3.4 Advanced Triggers</w:t>
      </w:r>
    </w:p>
    <w:p>
      <w:pPr>
        <w:spacing w:after="160" w:line="276"/>
      </w:pPr>
      <w:r>
        <w:rPr>
          <w:rFonts w:ascii="Calibri" w:cs="Calibri" w:eastAsia="Calibri" w:hAnsi="Calibri"/>
          <w:color w:val="222222"/>
          <w:sz w:val="22"/>
          <w:szCs w:val="22"/>
        </w:rPr>
        <w:t xml:space="preserve">More advanced trigger types include SLA Task triggers, which run when an SLA reaches a defined percentage, and MetricBase triggers, useful for escalation flows tied to SLA breach risk.</w:t>
      </w:r>
    </w:p>
    <w:p>
      <w:pPr>
        <w:pStyle w:val="Heading3"/>
        <w:spacing w:after="120" w:before="220"/>
      </w:pPr>
      <w:r>
        <w:rPr>
          <w:rFonts w:ascii="Calibri" w:cs="Calibri" w:eastAsia="Calibri" w:hAnsi="Calibri"/>
          <w:b/>
          <w:bCs/>
          <w:color w:val="1F3864"/>
          <w:sz w:val="23"/>
          <w:szCs w:val="23"/>
        </w:rPr>
        <w:t xml:space="preserve">Trigger selection cheat sheet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200"/>
        <w:gridCol w:w="4300"/>
      </w:tblGrid>
      <w:tr>
        <w:trPr>
          <w:tblHeader/>
        </w:trPr>
        <w:tc>
          <w:tcPr>
            <w:tcW w:type="dxa" w:w="5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You want to...</w:t>
            </w:r>
          </w:p>
        </w:tc>
        <w:tc>
          <w:tcPr>
            <w:tcW w:type="dxa" w:w="43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Use this trigger</w:t>
            </w:r>
          </w:p>
        </w:tc>
      </w:tr>
      <w:tr>
        <w:tc>
          <w:tcPr>
            <w:tcW w:type="dxa" w:w="5200"/>
            <w:shd w:fill="E7F2F2" w:val="clear"/>
            <w:tcMar>
              <w:top w:type="dxa" w:w="100"/>
              <w:left w:type="dxa" w:w="120"/>
              <w:bottom w:type="dxa" w:w="100"/>
              <w:right w:type="dxa" w:w="120"/>
            </w:tcMar>
          </w:tcPr>
          <w:p>
            <w:r>
              <w:rPr>
                <w:rFonts w:ascii="Calibri" w:cs="Calibri" w:eastAsia="Calibri" w:hAnsi="Calibri"/>
                <w:color w:val="222222"/>
                <w:sz w:val="20"/>
                <w:szCs w:val="20"/>
              </w:rPr>
              <w:t xml:space="preserve">React the instant a record is created/changed</w:t>
            </w:r>
          </w:p>
        </w:tc>
        <w:tc>
          <w:tcPr>
            <w:tcW w:type="dxa" w:w="4300"/>
            <w:shd w:fill="E7F2F2" w:val="clear"/>
            <w:tcMar>
              <w:top w:type="dxa" w:w="100"/>
              <w:left w:type="dxa" w:w="120"/>
              <w:bottom w:type="dxa" w:w="100"/>
              <w:right w:type="dxa" w:w="120"/>
            </w:tcMar>
          </w:tcPr>
          <w:p>
            <w:r>
              <w:rPr>
                <w:rFonts w:ascii="Calibri" w:cs="Calibri" w:eastAsia="Calibri" w:hAnsi="Calibri"/>
                <w:color w:val="222222"/>
                <w:sz w:val="20"/>
                <w:szCs w:val="20"/>
              </w:rPr>
              <w:t xml:space="preserve">Record Trigger</w:t>
            </w:r>
          </w:p>
        </w:tc>
      </w:tr>
      <w:tr>
        <w:tc>
          <w:tcPr>
            <w:tcW w:type="dxa" w:w="5200"/>
            <w:shd w:fill="FFFFFF" w:val="clear"/>
            <w:tcMar>
              <w:top w:type="dxa" w:w="100"/>
              <w:left w:type="dxa" w:w="120"/>
              <w:bottom w:type="dxa" w:w="100"/>
              <w:right w:type="dxa" w:w="120"/>
            </w:tcMar>
          </w:tcPr>
          <w:p>
            <w:r>
              <w:rPr>
                <w:rFonts w:ascii="Calibri" w:cs="Calibri" w:eastAsia="Calibri" w:hAnsi="Calibri"/>
                <w:color w:val="222222"/>
                <w:sz w:val="20"/>
                <w:szCs w:val="20"/>
              </w:rPr>
              <w:t xml:space="preserve">Run something every morning/week/month</w:t>
            </w:r>
          </w:p>
        </w:tc>
        <w:tc>
          <w:tcPr>
            <w:tcW w:type="dxa" w:w="4300"/>
            <w:shd w:fill="FFFFFF" w:val="clear"/>
            <w:tcMar>
              <w:top w:type="dxa" w:w="100"/>
              <w:left w:type="dxa" w:w="120"/>
              <w:bottom w:type="dxa" w:w="100"/>
              <w:right w:type="dxa" w:w="120"/>
            </w:tcMar>
          </w:tcPr>
          <w:p>
            <w:r>
              <w:rPr>
                <w:rFonts w:ascii="Calibri" w:cs="Calibri" w:eastAsia="Calibri" w:hAnsi="Calibri"/>
                <w:color w:val="222222"/>
                <w:sz w:val="20"/>
                <w:szCs w:val="20"/>
              </w:rPr>
              <w:t xml:space="preserve">Scheduled Trigger</w:t>
            </w:r>
          </w:p>
        </w:tc>
      </w:tr>
      <w:tr>
        <w:tc>
          <w:tcPr>
            <w:tcW w:type="dxa" w:w="5200"/>
            <w:shd w:fill="E7F2F2" w:val="clear"/>
            <w:tcMar>
              <w:top w:type="dxa" w:w="100"/>
              <w:left w:type="dxa" w:w="120"/>
              <w:bottom w:type="dxa" w:w="100"/>
              <w:right w:type="dxa" w:w="120"/>
            </w:tcMar>
          </w:tcPr>
          <w:p>
            <w:r>
              <w:rPr>
                <w:rFonts w:ascii="Calibri" w:cs="Calibri" w:eastAsia="Calibri" w:hAnsi="Calibri"/>
                <w:color w:val="222222"/>
                <w:sz w:val="20"/>
                <w:szCs w:val="20"/>
              </w:rPr>
              <w:t xml:space="preserve">Fire when a specific catalog item is ordered</w:t>
            </w:r>
          </w:p>
        </w:tc>
        <w:tc>
          <w:tcPr>
            <w:tcW w:type="dxa" w:w="4300"/>
            <w:shd w:fill="E7F2F2" w:val="clear"/>
            <w:tcMar>
              <w:top w:type="dxa" w:w="100"/>
              <w:left w:type="dxa" w:w="120"/>
              <w:bottom w:type="dxa" w:w="100"/>
              <w:right w:type="dxa" w:w="120"/>
            </w:tcMar>
          </w:tcPr>
          <w:p>
            <w:r>
              <w:rPr>
                <w:rFonts w:ascii="Calibri" w:cs="Calibri" w:eastAsia="Calibri" w:hAnsi="Calibri"/>
                <w:color w:val="222222"/>
                <w:sz w:val="20"/>
                <w:szCs w:val="20"/>
              </w:rPr>
              <w:t xml:space="preserve">Service Catalog Trigger</w:t>
            </w:r>
          </w:p>
        </w:tc>
      </w:tr>
      <w:tr>
        <w:tc>
          <w:tcPr>
            <w:tcW w:type="dxa" w:w="5200"/>
            <w:shd w:fill="FFFFFF" w:val="clear"/>
            <w:tcMar>
              <w:top w:type="dxa" w:w="100"/>
              <w:left w:type="dxa" w:w="120"/>
              <w:bottom w:type="dxa" w:w="100"/>
              <w:right w:type="dxa" w:w="120"/>
            </w:tcMar>
          </w:tcPr>
          <w:p>
            <w:r>
              <w:rPr>
                <w:rFonts w:ascii="Calibri" w:cs="Calibri" w:eastAsia="Calibri" w:hAnsi="Calibri"/>
                <w:color w:val="222222"/>
                <w:sz w:val="20"/>
                <w:szCs w:val="20"/>
              </w:rPr>
              <w:t xml:space="preserve">React to an inbound email</w:t>
            </w:r>
          </w:p>
        </w:tc>
        <w:tc>
          <w:tcPr>
            <w:tcW w:type="dxa" w:w="4300"/>
            <w:shd w:fill="FFFFFF" w:val="clear"/>
            <w:tcMar>
              <w:top w:type="dxa" w:w="100"/>
              <w:left w:type="dxa" w:w="120"/>
              <w:bottom w:type="dxa" w:w="100"/>
              <w:right w:type="dxa" w:w="120"/>
            </w:tcMar>
          </w:tcPr>
          <w:p>
            <w:r>
              <w:rPr>
                <w:rFonts w:ascii="Calibri" w:cs="Calibri" w:eastAsia="Calibri" w:hAnsi="Calibri"/>
                <w:color w:val="222222"/>
                <w:sz w:val="20"/>
                <w:szCs w:val="20"/>
              </w:rPr>
              <w:t xml:space="preserve">Inbound Email Trigger</w:t>
            </w:r>
          </w:p>
        </w:tc>
      </w:tr>
      <w:tr>
        <w:tc>
          <w:tcPr>
            <w:tcW w:type="dxa" w:w="5200"/>
            <w:shd w:fill="E7F2F2" w:val="clear"/>
            <w:tcMar>
              <w:top w:type="dxa" w:w="100"/>
              <w:left w:type="dxa" w:w="120"/>
              <w:bottom w:type="dxa" w:w="100"/>
              <w:right w:type="dxa" w:w="120"/>
            </w:tcMar>
          </w:tcPr>
          <w:p>
            <w:r>
              <w:rPr>
                <w:rFonts w:ascii="Calibri" w:cs="Calibri" w:eastAsia="Calibri" w:hAnsi="Calibri"/>
                <w:color w:val="222222"/>
                <w:sz w:val="20"/>
                <w:szCs w:val="20"/>
              </w:rPr>
              <w:t xml:space="preserve">Escalate before an SLA breaches</w:t>
            </w:r>
          </w:p>
        </w:tc>
        <w:tc>
          <w:tcPr>
            <w:tcW w:type="dxa" w:w="4300"/>
            <w:shd w:fill="E7F2F2" w:val="clear"/>
            <w:tcMar>
              <w:top w:type="dxa" w:w="100"/>
              <w:left w:type="dxa" w:w="120"/>
              <w:bottom w:type="dxa" w:w="100"/>
              <w:right w:type="dxa" w:w="120"/>
            </w:tcMar>
          </w:tcPr>
          <w:p>
            <w:r>
              <w:rPr>
                <w:rFonts w:ascii="Calibri" w:cs="Calibri" w:eastAsia="Calibri" w:hAnsi="Calibri"/>
                <w:color w:val="222222"/>
                <w:sz w:val="20"/>
                <w:szCs w:val="20"/>
              </w:rPr>
              <w:t xml:space="preserve">SLA Task Trigger</w:t>
            </w:r>
          </w:p>
        </w:tc>
      </w:tr>
      <w:tr>
        <w:tc>
          <w:tcPr>
            <w:tcW w:type="dxa" w:w="5200"/>
            <w:shd w:fill="FFFFFF" w:val="clear"/>
            <w:tcMar>
              <w:top w:type="dxa" w:w="100"/>
              <w:left w:type="dxa" w:w="120"/>
              <w:bottom w:type="dxa" w:w="100"/>
              <w:right w:type="dxa" w:w="120"/>
            </w:tcMar>
          </w:tcPr>
          <w:p>
            <w:r>
              <w:rPr>
                <w:rFonts w:ascii="Calibri" w:cs="Calibri" w:eastAsia="Calibri" w:hAnsi="Calibri"/>
                <w:color w:val="222222"/>
                <w:sz w:val="20"/>
                <w:szCs w:val="20"/>
              </w:rPr>
              <w:t xml:space="preserve">React to a custom platform event</w:t>
            </w:r>
          </w:p>
        </w:tc>
        <w:tc>
          <w:tcPr>
            <w:tcW w:type="dxa" w:w="4300"/>
            <w:shd w:fill="FFFFFF" w:val="clear"/>
            <w:tcMar>
              <w:top w:type="dxa" w:w="100"/>
              <w:left w:type="dxa" w:w="120"/>
              <w:bottom w:type="dxa" w:w="100"/>
              <w:right w:type="dxa" w:w="120"/>
            </w:tcMar>
          </w:tcPr>
          <w:p>
            <w:r>
              <w:rPr>
                <w:rFonts w:ascii="Calibri" w:cs="Calibri" w:eastAsia="Calibri" w:hAnsi="Calibri"/>
                <w:color w:val="222222"/>
                <w:sz w:val="20"/>
                <w:szCs w:val="20"/>
              </w:rPr>
              <w:t xml:space="preserve">Application/Event Trigger</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8912F" w:sz="8"/>
              <w:left w:val="single" w:color="B8912F" w:sz="8"/>
              <w:bottom w:val="single" w:color="B8912F" w:sz="8"/>
              <w:right w:val="single" w:color="B8912F" w:sz="8"/>
            </w:tcBorders>
            <w:shd w:fill="FBF3DF" w:val="clear"/>
            <w:tcMar>
              <w:top w:type="dxa" w:w="160"/>
              <w:left w:type="dxa" w:w="200"/>
              <w:bottom w:type="dxa" w:w="160"/>
              <w:right w:type="dxa" w:w="200"/>
            </w:tcMar>
          </w:tcPr>
          <w:p>
            <w:pPr>
              <w:spacing w:after="80"/>
            </w:pPr>
            <w:r>
              <w:rPr>
                <w:rFonts w:ascii="Cambria" w:cs="Cambria" w:eastAsia="Cambria" w:hAnsi="Cambria"/>
                <w:b/>
                <w:bCs/>
                <w:color w:val="B8912F"/>
                <w:sz w:val="22"/>
                <w:szCs w:val="22"/>
              </w:rPr>
              <w:t xml:space="preserve">Practical tip</w:t>
            </w:r>
          </w:p>
          <w:p>
            <w:pPr>
              <w:spacing w:after="60"/>
            </w:pPr>
            <w:r>
              <w:rPr>
                <w:rFonts w:ascii="Calibri" w:cs="Calibri" w:eastAsia="Calibri" w:hAnsi="Calibri"/>
                <w:color w:val="222222"/>
                <w:sz w:val="21"/>
                <w:szCs w:val="21"/>
              </w:rPr>
              <w:t xml:space="preserve">• Prefer 'Run in background' on record triggers unless the flow must complete before the user's save finishes. Foreground execution can slow down or block the UI transaction that fired it.</w:t>
            </w:r>
          </w:p>
        </w:tc>
      </w:tr>
    </w:tbl>
    <w:p>
      <w:r>
        <w:br w:type="page"/>
      </w:r>
    </w:p>
    <w:p>
      <w:pPr>
        <w:pStyle w:val="Heading1"/>
        <w:pBdr>
          <w:bottom w:val="single" w:color="B8912F" w:sz="12" w:space="4"/>
        </w:pBdr>
        <w:spacing w:after="240" w:before="480"/>
      </w:pPr>
      <w:r>
        <w:rPr>
          <w:rFonts w:ascii="Cambria" w:cs="Cambria" w:eastAsia="Cambria" w:hAnsi="Cambria"/>
          <w:b/>
          <w:bCs/>
          <w:color w:val="1F3864"/>
          <w:sz w:val="32"/>
          <w:szCs w:val="32"/>
        </w:rPr>
        <w:t xml:space="preserve">Part 4 — Data Pills and the Data Panel</w:t>
      </w:r>
    </w:p>
    <w:p>
      <w:pPr>
        <w:spacing w:after="160" w:line="276"/>
      </w:pPr>
      <w:r>
        <w:rPr>
          <w:rFonts w:ascii="Calibri" w:cs="Calibri" w:eastAsia="Calibri" w:hAnsi="Calibri"/>
          <w:color w:val="222222"/>
          <w:sz w:val="22"/>
          <w:szCs w:val="22"/>
        </w:rPr>
        <w:t xml:space="preserve">Data pills are how information flows between steps without you writing GlideRecord queries by hand. Every trigger and every action exposes its outputs as data pills that later steps can drag in.</w:t>
      </w:r>
    </w:p>
    <w:p>
      <w:pPr>
        <w:pStyle w:val="Heading2"/>
        <w:spacing w:after="160" w:before="320"/>
      </w:pPr>
      <w:r>
        <w:rPr>
          <w:rFonts w:ascii="Cambria" w:cs="Cambria" w:eastAsia="Cambria" w:hAnsi="Cambria"/>
          <w:b/>
          <w:bCs/>
          <w:color w:val="127475"/>
          <w:sz w:val="26"/>
          <w:szCs w:val="26"/>
        </w:rPr>
        <w:t xml:space="preserve">4.1 What a Data Pill Represents</w:t>
      </w:r>
    </w:p>
    <w:p>
      <w:pPr>
        <w:spacing w:after="160" w:line="276"/>
      </w:pPr>
      <w:r>
        <w:rPr>
          <w:rFonts w:ascii="Calibri" w:cs="Calibri" w:eastAsia="Calibri" w:hAnsi="Calibri"/>
          <w:color w:val="222222"/>
          <w:sz w:val="22"/>
          <w:szCs w:val="22"/>
        </w:rPr>
        <w:t xml:space="preserve">The Data Panel sits on the side of the builder and stores variables coming from the trigger and from every previous action, and a Transform function (the fx icon on a pill) lets you reshape a value on the fly — for example converting text to uppercase or calculating a date.</w:t>
      </w:r>
    </w:p>
    <w:p>
      <w:pPr>
        <w:pStyle w:val="Heading2"/>
        <w:spacing w:after="160" w:before="320"/>
      </w:pPr>
      <w:r>
        <w:rPr>
          <w:rFonts w:ascii="Cambria" w:cs="Cambria" w:eastAsia="Cambria" w:hAnsi="Cambria"/>
          <w:b/>
          <w:bCs/>
          <w:color w:val="127475"/>
          <w:sz w:val="26"/>
          <w:szCs w:val="26"/>
        </w:rPr>
        <w:t xml:space="preserve">4.2 Dot-Walking Through Relationships</w:t>
      </w:r>
    </w:p>
    <w:p>
      <w:pPr>
        <w:spacing w:after="160" w:line="276"/>
      </w:pPr>
      <w:r>
        <w:rPr>
          <w:rFonts w:ascii="Calibri" w:cs="Calibri" w:eastAsia="Calibri" w:hAnsi="Calibri"/>
          <w:color w:val="222222"/>
          <w:sz w:val="22"/>
          <w:szCs w:val="22"/>
        </w:rPr>
        <w:t xml:space="preserve">Because reference fields point to other tables, a data pill can be extended (dot-walked) to pull related data — for example Trigger &gt; Record &gt; Caller &gt; Department &gt; Name reaches the department name of the person who opened the record, without an extra Look Up step.</w:t>
      </w:r>
    </w:p>
    <w:p>
      <w:pPr>
        <w:pStyle w:val="Heading2"/>
        <w:spacing w:after="160" w:before="320"/>
      </w:pPr>
      <w:r>
        <w:rPr>
          <w:rFonts w:ascii="Cambria" w:cs="Cambria" w:eastAsia="Cambria" w:hAnsi="Cambria"/>
          <w:b/>
          <w:bCs/>
          <w:color w:val="127475"/>
          <w:sz w:val="26"/>
          <w:szCs w:val="26"/>
        </w:rPr>
        <w:t xml:space="preserve">4.3 Common Data Pill Mistakes</w:t>
      </w:r>
    </w:p>
    <w:p>
      <w:pPr>
        <w:pStyle w:val="ListParagraph"/>
        <w:numPr>
          <w:ilvl w:val="0"/>
          <w:numId w:val="3"/>
        </w:numPr>
        <w:spacing w:after="90"/>
      </w:pPr>
      <w:r>
        <w:rPr>
          <w:rFonts w:ascii="Calibri" w:cs="Calibri" w:eastAsia="Calibri" w:hAnsi="Calibri"/>
          <w:color w:val="222222"/>
          <w:sz w:val="22"/>
          <w:szCs w:val="22"/>
        </w:rPr>
        <w:t xml:space="preserve">Dragging the wrong pill type into a field (e.g. a record reference where plain text is expected) — always check the expected input type shown in the field tooltip.</w:t>
      </w:r>
    </w:p>
    <w:p>
      <w:pPr>
        <w:pStyle w:val="ListParagraph"/>
        <w:numPr>
          <w:ilvl w:val="0"/>
          <w:numId w:val="3"/>
        </w:numPr>
        <w:spacing w:after="90"/>
      </w:pPr>
      <w:r>
        <w:rPr>
          <w:rFonts w:ascii="Calibri" w:cs="Calibri" w:eastAsia="Calibri" w:hAnsi="Calibri"/>
          <w:color w:val="222222"/>
          <w:sz w:val="22"/>
          <w:szCs w:val="22"/>
        </w:rPr>
        <w:t xml:space="preserve">Assuming a pill from a step that has not run yet in that branch will be populated — pills only resolve if that step actually executed on the given path.</w:t>
      </w:r>
    </w:p>
    <w:p>
      <w:pPr>
        <w:pStyle w:val="ListParagraph"/>
        <w:numPr>
          <w:ilvl w:val="0"/>
          <w:numId w:val="3"/>
        </w:numPr>
        <w:spacing w:after="90"/>
      </w:pPr>
      <w:r>
        <w:rPr>
          <w:rFonts w:ascii="Calibri" w:cs="Calibri" w:eastAsia="Calibri" w:hAnsi="Calibri"/>
          <w:color w:val="222222"/>
          <w:sz w:val="22"/>
          <w:szCs w:val="22"/>
        </w:rPr>
        <w:t xml:space="preserve">Forgetting that Look Up Record(s) returns a list — you must use a For Each loop or reference [0] index logic to get a single record's fields.</w:t>
      </w:r>
    </w:p>
    <w:p>
      <w:pPr>
        <w:pStyle w:val="ListParagraph"/>
        <w:numPr>
          <w:ilvl w:val="0"/>
          <w:numId w:val="3"/>
        </w:numPr>
        <w:spacing w:after="90"/>
      </w:pPr>
      <w:r>
        <w:rPr>
          <w:rFonts w:ascii="Calibri" w:cs="Calibri" w:eastAsia="Calibri" w:hAnsi="Calibri"/>
          <w:color w:val="222222"/>
          <w:sz w:val="22"/>
          <w:szCs w:val="22"/>
        </w:rPr>
        <w:t xml:space="preserve">Hardcoding a value instead of using a pill when the source data can change — breaks reusability.</w:t>
      </w:r>
    </w:p>
    <w:p>
      <w:r>
        <w:br w:type="page"/>
      </w:r>
    </w:p>
    <w:p>
      <w:pPr>
        <w:pStyle w:val="Heading1"/>
        <w:pBdr>
          <w:bottom w:val="single" w:color="B8912F" w:sz="12" w:space="4"/>
        </w:pBdr>
        <w:spacing w:after="240" w:before="480"/>
      </w:pPr>
      <w:r>
        <w:rPr>
          <w:rFonts w:ascii="Cambria" w:cs="Cambria" w:eastAsia="Cambria" w:hAnsi="Cambria"/>
          <w:b/>
          <w:bCs/>
          <w:color w:val="1F3864"/>
          <w:sz w:val="32"/>
          <w:szCs w:val="32"/>
        </w:rPr>
        <w:t xml:space="preserve">Part 5 — Flow Logic</w:t>
      </w:r>
    </w:p>
    <w:p>
      <w:pPr>
        <w:spacing w:after="160" w:line="276"/>
      </w:pPr>
      <w:r>
        <w:rPr>
          <w:rFonts w:ascii="Calibri" w:cs="Calibri" w:eastAsia="Calibri" w:hAnsi="Calibri"/>
          <w:color w:val="222222"/>
          <w:sz w:val="22"/>
          <w:szCs w:val="22"/>
        </w:rPr>
        <w:t xml:space="preserve">Flow Logic steps control the path of execution — branching, looping, waiting, and handling failure.</w:t>
      </w:r>
    </w:p>
    <w:p>
      <w:pPr>
        <w:pStyle w:val="Heading2"/>
        <w:spacing w:after="160" w:before="320"/>
      </w:pPr>
      <w:r>
        <w:rPr>
          <w:rFonts w:ascii="Cambria" w:cs="Cambria" w:eastAsia="Cambria" w:hAnsi="Cambria"/>
          <w:b/>
          <w:bCs/>
          <w:color w:val="127475"/>
          <w:sz w:val="26"/>
          <w:szCs w:val="26"/>
        </w:rPr>
        <w:t xml:space="preserve">5.1 If / Else If / Else</w:t>
      </w:r>
    </w:p>
    <w:p>
      <w:pPr>
        <w:spacing w:after="160" w:line="276"/>
      </w:pPr>
      <w:r>
        <w:rPr>
          <w:rFonts w:ascii="Calibri" w:cs="Calibri" w:eastAsia="Calibri" w:hAnsi="Calibri"/>
          <w:color w:val="222222"/>
          <w:sz w:val="22"/>
          <w:szCs w:val="22"/>
        </w:rPr>
        <w:t xml:space="preserve">If, Else If, and Else are conditional branches that only execute their contained actions when specific criteria are met. Conditions are built using data pills compared against static values or other pills.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8912F" w:sz="8"/>
              <w:left w:val="single" w:color="B8912F" w:sz="8"/>
              <w:bottom w:val="single" w:color="B8912F" w:sz="8"/>
              <w:right w:val="single" w:color="B8912F" w:sz="8"/>
            </w:tcBorders>
            <w:shd w:fill="FBF3DF" w:val="clear"/>
            <w:tcMar>
              <w:top w:type="dxa" w:w="160"/>
              <w:left w:type="dxa" w:w="200"/>
              <w:bottom w:type="dxa" w:w="160"/>
              <w:right w:type="dxa" w:w="200"/>
            </w:tcMar>
          </w:tcPr>
          <w:p>
            <w:pPr>
              <w:spacing w:after="80"/>
            </w:pPr>
            <w:r>
              <w:rPr>
                <w:rFonts w:ascii="Cambria" w:cs="Cambria" w:eastAsia="Cambria" w:hAnsi="Cambria"/>
                <w:b/>
                <w:bCs/>
                <w:color w:val="B8912F"/>
                <w:sz w:val="22"/>
                <w:szCs w:val="22"/>
              </w:rPr>
              <w:t xml:space="preserve">Important limitation</w:t>
            </w:r>
          </w:p>
          <w:p>
            <w:pPr>
              <w:spacing w:after="60"/>
            </w:pPr>
            <w:r>
              <w:rPr>
                <w:rFonts w:ascii="Calibri" w:cs="Calibri" w:eastAsia="Calibri" w:hAnsi="Calibri"/>
                <w:color w:val="222222"/>
                <w:sz w:val="21"/>
                <w:szCs w:val="21"/>
              </w:rPr>
              <w:t xml:space="preserve">• Flow Logic conditions do not support inline JavaScript expressions such as gs.daysAgoStart(30) — that kind of computed value needs to be produced by a Script step first and then referenced as a pill.</w:t>
            </w:r>
          </w:p>
        </w:tc>
      </w:tr>
    </w:tbl>
    <w:p>
      <w:pPr>
        <w:pStyle w:val="Heading2"/>
        <w:spacing w:after="160" w:before="320"/>
      </w:pPr>
      <w:r>
        <w:rPr>
          <w:rFonts w:ascii="Cambria" w:cs="Cambria" w:eastAsia="Cambria" w:hAnsi="Cambria"/>
          <w:b/>
          <w:bCs/>
          <w:color w:val="127475"/>
          <w:sz w:val="26"/>
          <w:szCs w:val="26"/>
        </w:rPr>
        <w:t xml:space="preserve">5.2 For Each</w:t>
      </w:r>
    </w:p>
    <w:p>
      <w:pPr>
        <w:spacing w:after="160" w:line="276"/>
      </w:pPr>
      <w:r>
        <w:rPr>
          <w:rFonts w:ascii="Calibri" w:cs="Calibri" w:eastAsia="Calibri" w:hAnsi="Calibri"/>
          <w:color w:val="222222"/>
          <w:sz w:val="22"/>
          <w:szCs w:val="22"/>
        </w:rPr>
        <w:t xml:space="preserve">For Each loops through a list of records — for example, for each task under a request, close it. Use it any time a prior step (like Look Up Records) returns multiple rows that each need the same treatment.</w:t>
      </w:r>
    </w:p>
    <w:p>
      <w:pPr>
        <w:pStyle w:val="Heading2"/>
        <w:spacing w:after="160" w:before="320"/>
      </w:pPr>
      <w:r>
        <w:rPr>
          <w:rFonts w:ascii="Cambria" w:cs="Cambria" w:eastAsia="Cambria" w:hAnsi="Cambria"/>
          <w:b/>
          <w:bCs/>
          <w:color w:val="127475"/>
          <w:sz w:val="26"/>
          <w:szCs w:val="26"/>
        </w:rPr>
        <w:t xml:space="preserve">5.3 Wait For Condition</w:t>
      </w:r>
    </w:p>
    <w:p>
      <w:pPr>
        <w:spacing w:after="160" w:line="276"/>
      </w:pPr>
      <w:r>
        <w:rPr>
          <w:rFonts w:ascii="Calibri" w:cs="Calibri" w:eastAsia="Calibri" w:hAnsi="Calibri"/>
          <w:color w:val="222222"/>
          <w:sz w:val="22"/>
          <w:szCs w:val="22"/>
        </w:rPr>
        <w:t xml:space="preserve">Pauses the flow until a record matches a defined condition (e.g. wait until an approval record's state becomes Approved). Useful for long-running, event-driven processes rather than polling with a scheduled trigger.</w:t>
      </w:r>
    </w:p>
    <w:p>
      <w:pPr>
        <w:pStyle w:val="Heading2"/>
        <w:spacing w:after="160" w:before="320"/>
      </w:pPr>
      <w:r>
        <w:rPr>
          <w:rFonts w:ascii="Cambria" w:cs="Cambria" w:eastAsia="Cambria" w:hAnsi="Cambria"/>
          <w:b/>
          <w:bCs/>
          <w:color w:val="127475"/>
          <w:sz w:val="26"/>
          <w:szCs w:val="26"/>
        </w:rPr>
        <w:t xml:space="preserve">5.4 Try / Catch / Finally</w:t>
      </w:r>
    </w:p>
    <w:p>
      <w:pPr>
        <w:spacing w:after="160" w:line="276"/>
      </w:pPr>
      <w:r>
        <w:rPr>
          <w:rFonts w:ascii="Calibri" w:cs="Calibri" w:eastAsia="Calibri" w:hAnsi="Calibri"/>
          <w:color w:val="222222"/>
          <w:sz w:val="22"/>
          <w:szCs w:val="22"/>
        </w:rPr>
        <w:t xml:space="preserve">Try, Catch, and Finally are exposed as action types so that production flows can fail gracefully instead of leaving partial state behind.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27475" w:sz="8"/>
              <w:left w:val="single" w:color="127475" w:sz="8"/>
              <w:bottom w:val="single" w:color="127475" w:sz="8"/>
              <w:right w:val="single" w:color="127475" w:sz="8"/>
            </w:tcBorders>
            <w:shd w:fill="E7F2F2" w:val="clear"/>
            <w:tcMar>
              <w:top w:type="dxa" w:w="160"/>
              <w:left w:type="dxa" w:w="200"/>
              <w:bottom w:type="dxa" w:w="160"/>
              <w:right w:type="dxa" w:w="200"/>
            </w:tcMar>
          </w:tcPr>
          <w:p>
            <w:pPr>
              <w:spacing w:after="80"/>
            </w:pPr>
            <w:r>
              <w:rPr>
                <w:rFonts w:ascii="Cambria" w:cs="Cambria" w:eastAsia="Cambria" w:hAnsi="Cambria"/>
                <w:b/>
                <w:bCs/>
                <w:color w:val="127475"/>
                <w:sz w:val="22"/>
                <w:szCs w:val="22"/>
              </w:rPr>
              <w:t xml:space="preserve">Error handling pattern</w:t>
            </w:r>
          </w:p>
          <w:p>
            <w:pPr>
              <w:spacing w:after="60"/>
            </w:pPr>
            <w:r>
              <w:rPr>
                <w:rFonts w:ascii="Calibri" w:cs="Calibri" w:eastAsia="Calibri" w:hAnsi="Calibri"/>
                <w:color w:val="222222"/>
                <w:sz w:val="21"/>
                <w:szCs w:val="21"/>
              </w:rPr>
              <w:t xml:space="preserve">• Wrap any action that might fail — especially external API calls, record updates under contention, and anything touching integrations.</w:t>
            </w:r>
          </w:p>
          <w:p>
            <w:pPr>
              <w:spacing w:after="60"/>
            </w:pPr>
            <w:r>
              <w:rPr>
                <w:rFonts w:ascii="Calibri" w:cs="Calibri" w:eastAsia="Calibri" w:hAnsi="Calibri"/>
                <w:color w:val="222222"/>
                <w:sz w:val="21"/>
                <w:szCs w:val="21"/>
              </w:rPr>
              <w:t xml:space="preserve">• Catch specific error types rather than only generic failures, since different errors warrant different recovery paths — for example retrying a connection timeout with backoff versus alerting an integration team on an authentication error.</w:t>
            </w:r>
          </w:p>
        </w:tc>
      </w:tr>
    </w:tbl>
    <w:p>
      <w:pPr>
        <w:pStyle w:val="Heading2"/>
        <w:spacing w:after="160" w:before="320"/>
      </w:pPr>
      <w:r>
        <w:rPr>
          <w:rFonts w:ascii="Cambria" w:cs="Cambria" w:eastAsia="Cambria" w:hAnsi="Cambria"/>
          <w:b/>
          <w:bCs/>
          <w:color w:val="127475"/>
          <w:sz w:val="26"/>
          <w:szCs w:val="26"/>
        </w:rPr>
        <w:t xml:space="preserve">5.5 The 'Record Not Yet Visible' Pitfall</w:t>
      </w:r>
    </w:p>
    <w:p>
      <w:pPr>
        <w:spacing w:after="160" w:line="276"/>
      </w:pPr>
      <w:r>
        <w:rPr>
          <w:rFonts w:ascii="Calibri" w:cs="Calibri" w:eastAsia="Calibri" w:hAnsi="Calibri"/>
          <w:color w:val="222222"/>
          <w:sz w:val="22"/>
          <w:szCs w:val="22"/>
        </w:rPr>
        <w:t xml:space="preserve">A well-documented Flow Designer surprise: a flow creates a record and immediately tries to read it back, but some fields appear blank because the create event can fire before the transaction is fully committed.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8912F" w:sz="8"/>
              <w:left w:val="single" w:color="B8912F" w:sz="8"/>
              <w:bottom w:val="single" w:color="B8912F" w:sz="8"/>
              <w:right w:val="single" w:color="B8912F" w:sz="8"/>
            </w:tcBorders>
            <w:shd w:fill="FBF3DF" w:val="clear"/>
            <w:tcMar>
              <w:top w:type="dxa" w:w="160"/>
              <w:left w:type="dxa" w:w="200"/>
              <w:bottom w:type="dxa" w:w="160"/>
              <w:right w:type="dxa" w:w="200"/>
            </w:tcMar>
          </w:tcPr>
          <w:p>
            <w:pPr>
              <w:spacing w:after="80"/>
            </w:pPr>
            <w:r>
              <w:rPr>
                <w:rFonts w:ascii="Cambria" w:cs="Cambria" w:eastAsia="Cambria" w:hAnsi="Cambria"/>
                <w:b/>
                <w:bCs/>
                <w:color w:val="B8912F"/>
                <w:sz w:val="22"/>
                <w:szCs w:val="22"/>
              </w:rPr>
              <w:t xml:space="preserve">Fixes</w:t>
            </w:r>
          </w:p>
          <w:p>
            <w:pPr>
              <w:spacing w:after="60"/>
            </w:pPr>
            <w:r>
              <w:rPr>
                <w:rFonts w:ascii="Calibri" w:cs="Calibri" w:eastAsia="Calibri" w:hAnsi="Calibri"/>
                <w:color w:val="222222"/>
                <w:sz w:val="21"/>
                <w:szCs w:val="21"/>
              </w:rPr>
              <w:t xml:space="preserve">• Add a short delay, or a Wait For Condition step, before re-reading the record.</w:t>
            </w:r>
          </w:p>
          <w:p>
            <w:pPr>
              <w:spacing w:after="60"/>
            </w:pPr>
            <w:r>
              <w:rPr>
                <w:rFonts w:ascii="Calibri" w:cs="Calibri" w:eastAsia="Calibri" w:hAnsi="Calibri"/>
                <w:color w:val="222222"/>
                <w:sz w:val="21"/>
                <w:szCs w:val="21"/>
              </w:rPr>
              <w:t xml:space="preserve">• Use a Get Record / Look Up Record action to reload the data instead of trusting the original trigger payload.</w:t>
            </w:r>
          </w:p>
          <w:p>
            <w:pPr>
              <w:spacing w:after="60"/>
            </w:pPr>
            <w:r>
              <w:rPr>
                <w:rFonts w:ascii="Calibri" w:cs="Calibri" w:eastAsia="Calibri" w:hAnsi="Calibri"/>
                <w:color w:val="222222"/>
                <w:sz w:val="21"/>
                <w:szCs w:val="21"/>
              </w:rPr>
              <w:t xml:space="preserve">• Where feasible, trigger on the update event rather than create, once related data has settled.</w:t>
            </w:r>
          </w:p>
        </w:tc>
      </w:tr>
    </w:tbl>
    <w:p>
      <w:r>
        <w:br w:type="page"/>
      </w:r>
    </w:p>
    <w:p>
      <w:pPr>
        <w:pStyle w:val="Heading1"/>
        <w:pBdr>
          <w:bottom w:val="single" w:color="B8912F" w:sz="12" w:space="4"/>
        </w:pBdr>
        <w:spacing w:after="240" w:before="480"/>
      </w:pPr>
      <w:r>
        <w:rPr>
          <w:rFonts w:ascii="Cambria" w:cs="Cambria" w:eastAsia="Cambria" w:hAnsi="Cambria"/>
          <w:b/>
          <w:bCs/>
          <w:color w:val="1F3864"/>
          <w:sz w:val="32"/>
          <w:szCs w:val="32"/>
        </w:rPr>
        <w:t xml:space="preserve">Part 6 — Creating and Managing Tasks</w:t>
      </w:r>
    </w:p>
    <w:p>
      <w:pPr>
        <w:spacing w:after="160" w:line="276"/>
      </w:pPr>
      <w:r>
        <w:rPr>
          <w:rFonts w:ascii="Calibri" w:cs="Calibri" w:eastAsia="Calibri" w:hAnsi="Calibri"/>
          <w:color w:val="222222"/>
          <w:sz w:val="22"/>
          <w:szCs w:val="22"/>
        </w:rPr>
        <w:t xml:space="preserve">Many business processes ultimately need to hand someone a task: approve this, review that, procure this item. Flow Designer has first-class support for this.</w:t>
      </w:r>
    </w:p>
    <w:p>
      <w:pPr>
        <w:pStyle w:val="Heading2"/>
        <w:spacing w:after="160" w:before="320"/>
      </w:pPr>
      <w:r>
        <w:rPr>
          <w:rFonts w:ascii="Cambria" w:cs="Cambria" w:eastAsia="Cambria" w:hAnsi="Cambria"/>
          <w:b/>
          <w:bCs/>
          <w:color w:val="127475"/>
          <w:sz w:val="26"/>
          <w:szCs w:val="26"/>
        </w:rPr>
        <w:t xml:space="preserve">6.1 The Create Task Action</w:t>
      </w:r>
    </w:p>
    <w:p>
      <w:pPr>
        <w:spacing w:after="160" w:line="276"/>
      </w:pPr>
      <w:r>
        <w:rPr>
          <w:rFonts w:ascii="Calibri" w:cs="Calibri" w:eastAsia="Calibri" w:hAnsi="Calibri"/>
          <w:color w:val="222222"/>
          <w:sz w:val="22"/>
          <w:szCs w:val="22"/>
        </w:rPr>
        <w:t xml:space="preserve">The Create Task action is a specialized version of Create Record aimed at any table that extends Task (task) — Incident, Change Task, Catalog Task, or a custom task table. Configure:</w:t>
      </w:r>
    </w:p>
    <w:p>
      <w:pPr>
        <w:pStyle w:val="ListParagraph"/>
        <w:numPr>
          <w:ilvl w:val="0"/>
          <w:numId w:val="3"/>
        </w:numPr>
        <w:spacing w:after="90"/>
      </w:pPr>
      <w:r>
        <w:rPr>
          <w:rFonts w:ascii="Calibri" w:cs="Calibri" w:eastAsia="Calibri" w:hAnsi="Calibri"/>
          <w:color w:val="222222"/>
          <w:sz w:val="22"/>
          <w:szCs w:val="22"/>
        </w:rPr>
        <w:t xml:space="preserve">Table — which task-extended table the new task belongs to.</w:t>
      </w:r>
    </w:p>
    <w:p>
      <w:pPr>
        <w:pStyle w:val="ListParagraph"/>
        <w:numPr>
          <w:ilvl w:val="0"/>
          <w:numId w:val="3"/>
        </w:numPr>
        <w:spacing w:after="90"/>
      </w:pPr>
      <w:r>
        <w:rPr>
          <w:rFonts w:ascii="Calibri" w:cs="Calibri" w:eastAsia="Calibri" w:hAnsi="Calibri"/>
          <w:color w:val="222222"/>
          <w:sz w:val="22"/>
          <w:szCs w:val="22"/>
        </w:rPr>
        <w:t xml:space="preserve">Short Description / Description — pulled from data pills for context.</w:t>
      </w:r>
    </w:p>
    <w:p>
      <w:pPr>
        <w:pStyle w:val="ListParagraph"/>
        <w:numPr>
          <w:ilvl w:val="0"/>
          <w:numId w:val="3"/>
        </w:numPr>
        <w:spacing w:after="90"/>
      </w:pPr>
      <w:r>
        <w:rPr>
          <w:rFonts w:ascii="Calibri" w:cs="Calibri" w:eastAsia="Calibri" w:hAnsi="Calibri"/>
          <w:color w:val="222222"/>
          <w:sz w:val="22"/>
          <w:szCs w:val="22"/>
        </w:rPr>
        <w:t xml:space="preserve">Assignment Group / Assigned To — often dot-walked from the parent record.</w:t>
      </w:r>
    </w:p>
    <w:p>
      <w:pPr>
        <w:pStyle w:val="ListParagraph"/>
        <w:numPr>
          <w:ilvl w:val="0"/>
          <w:numId w:val="3"/>
        </w:numPr>
        <w:spacing w:after="90"/>
      </w:pPr>
      <w:r>
        <w:rPr>
          <w:rFonts w:ascii="Calibri" w:cs="Calibri" w:eastAsia="Calibri" w:hAnsi="Calibri"/>
          <w:color w:val="222222"/>
          <w:sz w:val="22"/>
          <w:szCs w:val="22"/>
        </w:rPr>
        <w:t xml:space="preserve">Parent reference field — link the new task back to the record that spawned it (critical for reporting and for related-list visibility on the parent form).</w:t>
      </w:r>
    </w:p>
    <w:p>
      <w:pPr>
        <w:pStyle w:val="ListParagraph"/>
        <w:numPr>
          <w:ilvl w:val="0"/>
          <w:numId w:val="3"/>
        </w:numPr>
        <w:spacing w:after="90"/>
      </w:pPr>
      <w:r>
        <w:rPr>
          <w:rFonts w:ascii="Calibri" w:cs="Calibri" w:eastAsia="Calibri" w:hAnsi="Calibri"/>
          <w:color w:val="222222"/>
          <w:sz w:val="22"/>
          <w:szCs w:val="22"/>
        </w:rPr>
        <w:t xml:space="preserve">Due Date — frequently calculated with a Script step or transform function relative to creation time.</w:t>
      </w:r>
    </w:p>
    <w:p>
      <w:pPr>
        <w:pStyle w:val="Heading2"/>
        <w:spacing w:after="160" w:before="320"/>
      </w:pPr>
      <w:r>
        <w:rPr>
          <w:rFonts w:ascii="Cambria" w:cs="Cambria" w:eastAsia="Cambria" w:hAnsi="Cambria"/>
          <w:b/>
          <w:bCs/>
          <w:color w:val="127475"/>
          <w:sz w:val="26"/>
          <w:szCs w:val="26"/>
        </w:rPr>
        <w:t xml:space="preserve">6.2 Sequencing Multiple Tasks</w:t>
      </w:r>
    </w:p>
    <w:p>
      <w:pPr>
        <w:spacing w:after="160" w:line="276"/>
      </w:pPr>
      <w:r>
        <w:rPr>
          <w:rFonts w:ascii="Calibri" w:cs="Calibri" w:eastAsia="Calibri" w:hAnsi="Calibri"/>
          <w:color w:val="222222"/>
          <w:sz w:val="22"/>
          <w:szCs w:val="22"/>
        </w:rPr>
        <w:t xml:space="preserve">For multi-step fulfillment (e.g. Catalog Task 1: Procure Hardware, Catalog Task 2: Configure Laptop), a common pattern is: Create Task 1 → Wait For Condition (Task 1 state = Closed Complete) → Create Task 2. This produces sequential, dependency-aware task chains without custom scripting.</w:t>
      </w:r>
    </w:p>
    <w:p>
      <w:pPr>
        <w:pStyle w:val="Heading2"/>
        <w:spacing w:after="160" w:before="320"/>
      </w:pPr>
      <w:r>
        <w:rPr>
          <w:rFonts w:ascii="Cambria" w:cs="Cambria" w:eastAsia="Cambria" w:hAnsi="Cambria"/>
          <w:b/>
          <w:bCs/>
          <w:color w:val="127475"/>
          <w:sz w:val="26"/>
          <w:szCs w:val="26"/>
        </w:rPr>
        <w:t xml:space="preserve">6.3 Parallel Tasks</w:t>
      </w:r>
    </w:p>
    <w:p>
      <w:pPr>
        <w:spacing w:after="160" w:line="276"/>
      </w:pPr>
      <w:r>
        <w:rPr>
          <w:rFonts w:ascii="Calibri" w:cs="Calibri" w:eastAsia="Calibri" w:hAnsi="Calibri"/>
          <w:color w:val="222222"/>
          <w:sz w:val="22"/>
          <w:szCs w:val="22"/>
        </w:rPr>
        <w:t xml:space="preserve">If tasks can run independently, create them all up front inside a For Each over a list of definitions (e.g. a list built from a Script step), then use a Wait For Condition or an Ask For Approval-style aggregation step to resume the parent flow once all children are complete.</w:t>
      </w:r>
    </w:p>
    <w:p>
      <w:r>
        <w:br w:type="page"/>
      </w:r>
    </w:p>
    <w:p>
      <w:pPr>
        <w:pStyle w:val="Heading1"/>
        <w:pBdr>
          <w:bottom w:val="single" w:color="B8912F" w:sz="12" w:space="4"/>
        </w:pBdr>
        <w:spacing w:after="240" w:before="480"/>
      </w:pPr>
      <w:r>
        <w:rPr>
          <w:rFonts w:ascii="Cambria" w:cs="Cambria" w:eastAsia="Cambria" w:hAnsi="Cambria"/>
          <w:b/>
          <w:bCs/>
          <w:color w:val="1F3864"/>
          <w:sz w:val="32"/>
          <w:szCs w:val="32"/>
        </w:rPr>
        <w:t xml:space="preserve">Part 7 — Lookup Records and Table/Field Relationships</w:t>
      </w:r>
    </w:p>
    <w:p>
      <w:pPr>
        <w:pStyle w:val="Heading2"/>
        <w:spacing w:after="160" w:before="320"/>
      </w:pPr>
      <w:r>
        <w:rPr>
          <w:rFonts w:ascii="Cambria" w:cs="Cambria" w:eastAsia="Cambria" w:hAnsi="Cambria"/>
          <w:b/>
          <w:bCs/>
          <w:color w:val="127475"/>
          <w:sz w:val="26"/>
          <w:szCs w:val="26"/>
        </w:rPr>
        <w:t xml:space="preserve">7.1 The Look Up Record(s) Action</w:t>
      </w:r>
    </w:p>
    <w:p>
      <w:pPr>
        <w:spacing w:after="160" w:line="276"/>
      </w:pPr>
      <w:r>
        <w:rPr>
          <w:rFonts w:ascii="Calibri" w:cs="Calibri" w:eastAsia="Calibri" w:hAnsi="Calibri"/>
          <w:color w:val="222222"/>
          <w:sz w:val="22"/>
          <w:szCs w:val="22"/>
        </w:rPr>
        <w:t xml:space="preserve">Look Up Record retrieves a single record; Look Up Records (plural) retrieves a list. Both use the same visual condition builder as a list filter: table, conditions built from data pills or static values, and an optional order-by.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27475" w:sz="8"/>
              <w:left w:val="single" w:color="127475" w:sz="8"/>
              <w:bottom w:val="single" w:color="127475" w:sz="8"/>
              <w:right w:val="single" w:color="127475" w:sz="8"/>
            </w:tcBorders>
            <w:shd w:fill="E7F2F2" w:val="clear"/>
            <w:tcMar>
              <w:top w:type="dxa" w:w="160"/>
              <w:left w:type="dxa" w:w="200"/>
              <w:bottom w:type="dxa" w:w="160"/>
              <w:right w:type="dxa" w:w="200"/>
            </w:tcMar>
          </w:tcPr>
          <w:p>
            <w:pPr>
              <w:spacing w:after="80"/>
            </w:pPr>
            <w:r>
              <w:rPr>
                <w:rFonts w:ascii="Cambria" w:cs="Cambria" w:eastAsia="Cambria" w:hAnsi="Cambria"/>
                <w:b/>
                <w:bCs/>
                <w:color w:val="127475"/>
                <w:sz w:val="22"/>
                <w:szCs w:val="22"/>
              </w:rPr>
              <w:t xml:space="preserve">Look Up Record vs. Look Up Records</w:t>
            </w:r>
          </w:p>
          <w:p>
            <w:pPr>
              <w:spacing w:after="60"/>
            </w:pPr>
            <w:r>
              <w:rPr>
                <w:rFonts w:ascii="Calibri" w:cs="Calibri" w:eastAsia="Calibri" w:hAnsi="Calibri"/>
                <w:color w:val="222222"/>
                <w:sz w:val="21"/>
                <w:szCs w:val="21"/>
              </w:rPr>
              <w:t xml:space="preserve">• Look Up Record: returns one record (the first match) — good for 'find the CI by asset tag' scenarios.</w:t>
            </w:r>
          </w:p>
          <w:p>
            <w:pPr>
              <w:spacing w:after="60"/>
            </w:pPr>
            <w:r>
              <w:rPr>
                <w:rFonts w:ascii="Calibri" w:cs="Calibri" w:eastAsia="Calibri" w:hAnsi="Calibri"/>
                <w:color w:val="222222"/>
                <w:sz w:val="21"/>
                <w:szCs w:val="21"/>
              </w:rPr>
              <w:t xml:space="preserve">• Look Up Records: returns a list — pair it with a For Each to process every match.</w:t>
            </w:r>
          </w:p>
          <w:p>
            <w:pPr>
              <w:spacing w:after="60"/>
            </w:pPr>
            <w:r>
              <w:rPr>
                <w:rFonts w:ascii="Calibri" w:cs="Calibri" w:eastAsia="Calibri" w:hAnsi="Calibri"/>
                <w:color w:val="222222"/>
                <w:sz w:val="21"/>
                <w:szCs w:val="21"/>
              </w:rPr>
              <w:t xml:space="preserve">• Both fail silently if no match is found unless you explicitly branch on the record/list being empty — always add an If check afterward.</w:t>
            </w:r>
          </w:p>
        </w:tc>
      </w:tr>
    </w:tbl>
    <w:p>
      <w:pPr>
        <w:pStyle w:val="Heading2"/>
        <w:spacing w:after="160" w:before="320"/>
      </w:pPr>
      <w:r>
        <w:rPr>
          <w:rFonts w:ascii="Cambria" w:cs="Cambria" w:eastAsia="Cambria" w:hAnsi="Cambria"/>
          <w:b/>
          <w:bCs/>
          <w:color w:val="127475"/>
          <w:sz w:val="26"/>
          <w:szCs w:val="26"/>
        </w:rPr>
        <w:t xml:space="preserve">7.2 Understanding Table Relationships</w:t>
      </w:r>
    </w:p>
    <w:p>
      <w:pPr>
        <w:spacing w:after="160" w:line="276"/>
      </w:pPr>
      <w:r>
        <w:rPr>
          <w:rFonts w:ascii="Calibri" w:cs="Calibri" w:eastAsia="Calibri" w:hAnsi="Calibri"/>
          <w:color w:val="222222"/>
          <w:sz w:val="22"/>
          <w:szCs w:val="22"/>
        </w:rPr>
        <w:t xml:space="preserve">Three relationship patterns come up constantly in ServiceNow schema design, and Flow Designer respects all of them:</w:t>
      </w:r>
    </w:p>
    <w:p>
      <w:pPr>
        <w:pStyle w:val="Heading3"/>
        <w:spacing w:after="120" w:before="220"/>
      </w:pPr>
      <w:r>
        <w:rPr>
          <w:rFonts w:ascii="Calibri" w:cs="Calibri" w:eastAsia="Calibri" w:hAnsi="Calibri"/>
          <w:b/>
          <w:bCs/>
          <w:color w:val="1F3864"/>
          <w:sz w:val="23"/>
          <w:szCs w:val="23"/>
        </w:rPr>
        <w:t xml:space="preserve">Reference fields (many-to-one)</w:t>
      </w:r>
    </w:p>
    <w:p>
      <w:pPr>
        <w:spacing w:after="160" w:line="276"/>
      </w:pPr>
      <w:r>
        <w:rPr>
          <w:rFonts w:ascii="Calibri" w:cs="Calibri" w:eastAsia="Calibri" w:hAnsi="Calibri"/>
          <w:color w:val="222222"/>
          <w:sz w:val="22"/>
          <w:szCs w:val="22"/>
        </w:rPr>
        <w:t xml:space="preserve">A field on one table (e.g. Incident.caller_id) points to a single record on another table (sys_user). This is what makes dot-walking possible in a data pill.</w:t>
      </w:r>
    </w:p>
    <w:p>
      <w:pPr>
        <w:pStyle w:val="Heading3"/>
        <w:spacing w:after="120" w:before="220"/>
      </w:pPr>
      <w:r>
        <w:rPr>
          <w:rFonts w:ascii="Calibri" w:cs="Calibri" w:eastAsia="Calibri" w:hAnsi="Calibri"/>
          <w:b/>
          <w:bCs/>
          <w:color w:val="1F3864"/>
          <w:sz w:val="23"/>
          <w:szCs w:val="23"/>
        </w:rPr>
        <w:t xml:space="preserve">Table extension (inheritance)</w:t>
      </w:r>
    </w:p>
    <w:p>
      <w:pPr>
        <w:spacing w:after="160" w:line="276"/>
      </w:pPr>
      <w:r>
        <w:rPr>
          <w:rFonts w:ascii="Calibri" w:cs="Calibri" w:eastAsia="Calibri" w:hAnsi="Calibri"/>
          <w:color w:val="222222"/>
          <w:sz w:val="22"/>
          <w:szCs w:val="22"/>
        </w:rPr>
        <w:t xml:space="preserve">Task is the base table; Incident, Change Request, and Catalog Task all extend it. A flow triggered on Task-level conditions can apply across all of these unless scoped down — be deliberate about which table you actually target.</w:t>
      </w:r>
    </w:p>
    <w:p>
      <w:pPr>
        <w:pStyle w:val="Heading3"/>
        <w:spacing w:after="120" w:before="220"/>
      </w:pPr>
      <w:r>
        <w:rPr>
          <w:rFonts w:ascii="Calibri" w:cs="Calibri" w:eastAsia="Calibri" w:hAnsi="Calibri"/>
          <w:b/>
          <w:bCs/>
          <w:color w:val="1F3864"/>
          <w:sz w:val="23"/>
          <w:szCs w:val="23"/>
        </w:rPr>
        <w:t xml:space="preserve">Related lists (one-to-many / many-to-many)</w:t>
      </w:r>
    </w:p>
    <w:p>
      <w:pPr>
        <w:spacing w:after="160" w:line="276"/>
      </w:pPr>
      <w:r>
        <w:rPr>
          <w:rFonts w:ascii="Calibri" w:cs="Calibri" w:eastAsia="Calibri" w:hAnsi="Calibri"/>
          <w:color w:val="222222"/>
          <w:sz w:val="22"/>
          <w:szCs w:val="22"/>
        </w:rPr>
        <w:t xml:space="preserve">Records on a child table reference a parent (e.g. many Incident records can reference one CI). To retrieve the 'many' side from the 'one' side, use Look Up Records with a condition on the reference field pointing back at the current record, not a direct data pill dot-walk (dot-walking only travels from the 'many' side to the 'one' side).</w:t>
      </w:r>
    </w:p>
    <w:p>
      <w:pPr>
        <w:pStyle w:val="Heading3"/>
        <w:spacing w:after="120" w:before="220"/>
      </w:pPr>
      <w:r>
        <w:rPr>
          <w:rFonts w:ascii="Calibri" w:cs="Calibri" w:eastAsia="Calibri" w:hAnsi="Calibri"/>
          <w:b/>
          <w:bCs/>
          <w:color w:val="1F3864"/>
          <w:sz w:val="23"/>
          <w:szCs w:val="23"/>
        </w:rPr>
        <w:t xml:space="preserve">Relationship pattern quick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900"/>
      </w:tblGrid>
      <w:tr>
        <w:trPr>
          <w:tblHeader/>
        </w:trPr>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Pattern</w:t>
            </w:r>
          </w:p>
        </w:tc>
        <w:tc>
          <w:tcPr>
            <w:tcW w:type="dxa" w:w="30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w:t>
            </w:r>
          </w:p>
        </w:tc>
        <w:tc>
          <w:tcPr>
            <w:tcW w:type="dxa" w:w="39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How to traverse in Flow Designer</w:t>
            </w:r>
          </w:p>
        </w:tc>
      </w:tr>
      <w:tr>
        <w:tc>
          <w:tcPr>
            <w:tcW w:type="dxa" w:w="2600"/>
            <w:shd w:fill="E7F2F2" w:val="clear"/>
            <w:tcMar>
              <w:top w:type="dxa" w:w="100"/>
              <w:left w:type="dxa" w:w="120"/>
              <w:bottom w:type="dxa" w:w="100"/>
              <w:right w:type="dxa" w:w="120"/>
            </w:tcMar>
          </w:tcPr>
          <w:p>
            <w:r>
              <w:rPr>
                <w:rFonts w:ascii="Calibri" w:cs="Calibri" w:eastAsia="Calibri" w:hAnsi="Calibri"/>
                <w:color w:val="222222"/>
                <w:sz w:val="20"/>
                <w:szCs w:val="20"/>
              </w:rPr>
              <w:t xml:space="preserve">Many-to-one (reference field)</w:t>
            </w:r>
          </w:p>
        </w:tc>
        <w:tc>
          <w:tcPr>
            <w:tcW w:type="dxa" w:w="3000"/>
            <w:shd w:fill="E7F2F2" w:val="clear"/>
            <w:tcMar>
              <w:top w:type="dxa" w:w="100"/>
              <w:left w:type="dxa" w:w="120"/>
              <w:bottom w:type="dxa" w:w="100"/>
              <w:right w:type="dxa" w:w="120"/>
            </w:tcMar>
          </w:tcPr>
          <w:p>
            <w:r>
              <w:rPr>
                <w:rFonts w:ascii="Calibri" w:cs="Calibri" w:eastAsia="Calibri" w:hAnsi="Calibri"/>
                <w:color w:val="222222"/>
                <w:sz w:val="20"/>
                <w:szCs w:val="20"/>
              </w:rPr>
              <w:t xml:space="preserve">Incident.caller_id → sys_user</w:t>
            </w:r>
          </w:p>
        </w:tc>
        <w:tc>
          <w:tcPr>
            <w:tcW w:type="dxa" w:w="3900"/>
            <w:shd w:fill="E7F2F2" w:val="clear"/>
            <w:tcMar>
              <w:top w:type="dxa" w:w="100"/>
              <w:left w:type="dxa" w:w="120"/>
              <w:bottom w:type="dxa" w:w="100"/>
              <w:right w:type="dxa" w:w="120"/>
            </w:tcMar>
          </w:tcPr>
          <w:p>
            <w:r>
              <w:rPr>
                <w:rFonts w:ascii="Calibri" w:cs="Calibri" w:eastAsia="Calibri" w:hAnsi="Calibri"/>
                <w:color w:val="222222"/>
                <w:sz w:val="20"/>
                <w:szCs w:val="20"/>
              </w:rPr>
              <w:t xml:space="preserve">Dot-walk the data pill directly</w:t>
            </w:r>
          </w:p>
        </w:tc>
      </w:tr>
      <w:tr>
        <w:tc>
          <w:tcPr>
            <w:tcW w:type="dxa" w:w="2600"/>
            <w:shd w:fill="FFFFFF" w:val="clear"/>
            <w:tcMar>
              <w:top w:type="dxa" w:w="100"/>
              <w:left w:type="dxa" w:w="120"/>
              <w:bottom w:type="dxa" w:w="100"/>
              <w:right w:type="dxa" w:w="120"/>
            </w:tcMar>
          </w:tcPr>
          <w:p>
            <w:r>
              <w:rPr>
                <w:rFonts w:ascii="Calibri" w:cs="Calibri" w:eastAsia="Calibri" w:hAnsi="Calibri"/>
                <w:color w:val="222222"/>
                <w:sz w:val="20"/>
                <w:szCs w:val="20"/>
              </w:rPr>
              <w:t xml:space="preserve">One-to-many (related list)</w:t>
            </w:r>
          </w:p>
        </w:tc>
        <w:tc>
          <w:tcPr>
            <w:tcW w:type="dxa" w:w="3000"/>
            <w:shd w:fill="FFFFFF" w:val="clear"/>
            <w:tcMar>
              <w:top w:type="dxa" w:w="100"/>
              <w:left w:type="dxa" w:w="120"/>
              <w:bottom w:type="dxa" w:w="100"/>
              <w:right w:type="dxa" w:w="120"/>
            </w:tcMar>
          </w:tcPr>
          <w:p>
            <w:r>
              <w:rPr>
                <w:rFonts w:ascii="Calibri" w:cs="Calibri" w:eastAsia="Calibri" w:hAnsi="Calibri"/>
                <w:color w:val="222222"/>
                <w:sz w:val="20"/>
                <w:szCs w:val="20"/>
              </w:rPr>
              <w:t xml:space="preserve">cmdb_ci → many Incidents</w:t>
            </w:r>
          </w:p>
        </w:tc>
        <w:tc>
          <w:tcPr>
            <w:tcW w:type="dxa" w:w="3900"/>
            <w:shd w:fill="FFFFFF" w:val="clear"/>
            <w:tcMar>
              <w:top w:type="dxa" w:w="100"/>
              <w:left w:type="dxa" w:w="120"/>
              <w:bottom w:type="dxa" w:w="100"/>
              <w:right w:type="dxa" w:w="120"/>
            </w:tcMar>
          </w:tcPr>
          <w:p>
            <w:r>
              <w:rPr>
                <w:rFonts w:ascii="Calibri" w:cs="Calibri" w:eastAsia="Calibri" w:hAnsi="Calibri"/>
                <w:color w:val="222222"/>
                <w:sz w:val="20"/>
                <w:szCs w:val="20"/>
              </w:rPr>
              <w:t xml:space="preserve">Look Up Records filtered on the reference field</w:t>
            </w:r>
          </w:p>
        </w:tc>
      </w:tr>
      <w:tr>
        <w:tc>
          <w:tcPr>
            <w:tcW w:type="dxa" w:w="2600"/>
            <w:shd w:fill="E7F2F2" w:val="clear"/>
            <w:tcMar>
              <w:top w:type="dxa" w:w="100"/>
              <w:left w:type="dxa" w:w="120"/>
              <w:bottom w:type="dxa" w:w="100"/>
              <w:right w:type="dxa" w:w="120"/>
            </w:tcMar>
          </w:tcPr>
          <w:p>
            <w:r>
              <w:rPr>
                <w:rFonts w:ascii="Calibri" w:cs="Calibri" w:eastAsia="Calibri" w:hAnsi="Calibri"/>
                <w:color w:val="222222"/>
                <w:sz w:val="20"/>
                <w:szCs w:val="20"/>
              </w:rPr>
              <w:t xml:space="preserve">Table extension</w:t>
            </w:r>
          </w:p>
        </w:tc>
        <w:tc>
          <w:tcPr>
            <w:tcW w:type="dxa" w:w="3000"/>
            <w:shd w:fill="E7F2F2" w:val="clear"/>
            <w:tcMar>
              <w:top w:type="dxa" w:w="100"/>
              <w:left w:type="dxa" w:w="120"/>
              <w:bottom w:type="dxa" w:w="100"/>
              <w:right w:type="dxa" w:w="120"/>
            </w:tcMar>
          </w:tcPr>
          <w:p>
            <w:r>
              <w:rPr>
                <w:rFonts w:ascii="Calibri" w:cs="Calibri" w:eastAsia="Calibri" w:hAnsi="Calibri"/>
                <w:color w:val="222222"/>
                <w:sz w:val="20"/>
                <w:szCs w:val="20"/>
              </w:rPr>
              <w:t xml:space="preserve">task → incident, change_task</w:t>
            </w:r>
          </w:p>
        </w:tc>
        <w:tc>
          <w:tcPr>
            <w:tcW w:type="dxa" w:w="3900"/>
            <w:shd w:fill="E7F2F2" w:val="clear"/>
            <w:tcMar>
              <w:top w:type="dxa" w:w="100"/>
              <w:left w:type="dxa" w:w="120"/>
              <w:bottom w:type="dxa" w:w="100"/>
              <w:right w:type="dxa" w:w="120"/>
            </w:tcMar>
          </w:tcPr>
          <w:p>
            <w:r>
              <w:rPr>
                <w:rFonts w:ascii="Calibri" w:cs="Calibri" w:eastAsia="Calibri" w:hAnsi="Calibri"/>
                <w:color w:val="222222"/>
                <w:sz w:val="20"/>
                <w:szCs w:val="20"/>
              </w:rPr>
              <w:t xml:space="preserve">Target the specific extended table in the trigger/action</w:t>
            </w:r>
          </w:p>
        </w:tc>
      </w:tr>
      <w:tr>
        <w:tc>
          <w:tcPr>
            <w:tcW w:type="dxa" w:w="2600"/>
            <w:shd w:fill="FFFFFF" w:val="clear"/>
            <w:tcMar>
              <w:top w:type="dxa" w:w="100"/>
              <w:left w:type="dxa" w:w="120"/>
              <w:bottom w:type="dxa" w:w="100"/>
              <w:right w:type="dxa" w:w="120"/>
            </w:tcMar>
          </w:tcPr>
          <w:p>
            <w:r>
              <w:rPr>
                <w:rFonts w:ascii="Calibri" w:cs="Calibri" w:eastAsia="Calibri" w:hAnsi="Calibri"/>
                <w:color w:val="222222"/>
                <w:sz w:val="20"/>
                <w:szCs w:val="20"/>
              </w:rPr>
              <w:t xml:space="preserve">Many-to-many</w:t>
            </w:r>
          </w:p>
        </w:tc>
        <w:tc>
          <w:tcPr>
            <w:tcW w:type="dxa" w:w="3000"/>
            <w:shd w:fill="FFFFFF" w:val="clear"/>
            <w:tcMar>
              <w:top w:type="dxa" w:w="100"/>
              <w:left w:type="dxa" w:w="120"/>
              <w:bottom w:type="dxa" w:w="100"/>
              <w:right w:type="dxa" w:w="120"/>
            </w:tcMar>
          </w:tcPr>
          <w:p>
            <w:r>
              <w:rPr>
                <w:rFonts w:ascii="Calibri" w:cs="Calibri" w:eastAsia="Calibri" w:hAnsi="Calibri"/>
                <w:color w:val="222222"/>
                <w:sz w:val="20"/>
                <w:szCs w:val="20"/>
              </w:rPr>
              <w:t xml:space="preserve">sys_user ↔ sys_user_group via m2m table</w:t>
            </w:r>
          </w:p>
        </w:tc>
        <w:tc>
          <w:tcPr>
            <w:tcW w:type="dxa" w:w="3900"/>
            <w:shd w:fill="FFFFFF" w:val="clear"/>
            <w:tcMar>
              <w:top w:type="dxa" w:w="100"/>
              <w:left w:type="dxa" w:w="120"/>
              <w:bottom w:type="dxa" w:w="100"/>
              <w:right w:type="dxa" w:w="120"/>
            </w:tcMar>
          </w:tcPr>
          <w:p>
            <w:r>
              <w:rPr>
                <w:rFonts w:ascii="Calibri" w:cs="Calibri" w:eastAsia="Calibri" w:hAnsi="Calibri"/>
                <w:color w:val="222222"/>
                <w:sz w:val="20"/>
                <w:szCs w:val="20"/>
              </w:rPr>
              <w:t xml:space="preserve">Look Up Records on the m2m table, then dot-walk each result</w:t>
            </w:r>
          </w:p>
        </w:tc>
      </w:tr>
    </w:tbl>
    <w:p>
      <w:pPr>
        <w:spacing w:after="160"/>
      </w:pPr>
    </w:p>
    <w:p>
      <w:r>
        <w:br w:type="page"/>
      </w:r>
    </w:p>
    <w:p>
      <w:pPr>
        <w:pStyle w:val="Heading1"/>
        <w:pBdr>
          <w:bottom w:val="single" w:color="B8912F" w:sz="12" w:space="4"/>
        </w:pBdr>
        <w:spacing w:after="240" w:before="480"/>
      </w:pPr>
      <w:r>
        <w:rPr>
          <w:rFonts w:ascii="Cambria" w:cs="Cambria" w:eastAsia="Cambria" w:hAnsi="Cambria"/>
          <w:b/>
          <w:bCs/>
          <w:color w:val="1F3864"/>
          <w:sz w:val="32"/>
          <w:szCs w:val="32"/>
        </w:rPr>
        <w:t xml:space="preserve">Part 8 — Subflows in Depth</w:t>
      </w:r>
    </w:p>
    <w:p>
      <w:pPr>
        <w:pStyle w:val="Heading2"/>
        <w:spacing w:after="160" w:before="320"/>
      </w:pPr>
      <w:r>
        <w:rPr>
          <w:rFonts w:ascii="Cambria" w:cs="Cambria" w:eastAsia="Cambria" w:hAnsi="Cambria"/>
          <w:b/>
          <w:bCs/>
          <w:color w:val="127475"/>
          <w:sz w:val="26"/>
          <w:szCs w:val="26"/>
        </w:rPr>
        <w:t xml:space="preserve">8.1 When to Build a Subflow</w:t>
      </w:r>
    </w:p>
    <w:p>
      <w:pPr>
        <w:pStyle w:val="ListParagraph"/>
        <w:numPr>
          <w:ilvl w:val="0"/>
          <w:numId w:val="3"/>
        </w:numPr>
        <w:spacing w:after="90"/>
      </w:pPr>
      <w:r>
        <w:rPr>
          <w:rFonts w:ascii="Calibri" w:cs="Calibri" w:eastAsia="Calibri" w:hAnsi="Calibri"/>
          <w:color w:val="222222"/>
          <w:sz w:val="22"/>
          <w:szCs w:val="22"/>
        </w:rPr>
        <w:t xml:space="preserve">The same sequence of steps appears in more than one flow.</w:t>
      </w:r>
    </w:p>
    <w:p>
      <w:pPr>
        <w:pStyle w:val="ListParagraph"/>
        <w:numPr>
          <w:ilvl w:val="0"/>
          <w:numId w:val="3"/>
        </w:numPr>
        <w:spacing w:after="90"/>
      </w:pPr>
      <w:r>
        <w:rPr>
          <w:rFonts w:ascii="Calibri" w:cs="Calibri" w:eastAsia="Calibri" w:hAnsi="Calibri"/>
          <w:color w:val="222222"/>
          <w:sz w:val="22"/>
          <w:szCs w:val="22"/>
        </w:rPr>
        <w:t xml:space="preserve">A sequence is logically self-contained with a clear start, defined inputs, and a defined output.</w:t>
      </w:r>
    </w:p>
    <w:p>
      <w:pPr>
        <w:pStyle w:val="ListParagraph"/>
        <w:numPr>
          <w:ilvl w:val="0"/>
          <w:numId w:val="3"/>
        </w:numPr>
        <w:spacing w:after="90"/>
      </w:pPr>
      <w:r>
        <w:rPr>
          <w:rFonts w:ascii="Calibri" w:cs="Calibri" w:eastAsia="Calibri" w:hAnsi="Calibri"/>
          <w:color w:val="222222"/>
          <w:sz w:val="22"/>
          <w:szCs w:val="22"/>
        </w:rPr>
        <w:t xml:space="preserve">You want to unit-test a piece of logic independently of the flows that will eventually call it.</w:t>
      </w:r>
    </w:p>
    <w:p>
      <w:pPr>
        <w:spacing w:after="160" w:line="276"/>
      </w:pPr>
      <w:r>
        <w:rPr>
          <w:rFonts w:ascii="Calibri" w:cs="Calibri" w:eastAsia="Calibri" w:hAnsi="Calibri"/>
          <w:color w:val="222222"/>
          <w:sz w:val="22"/>
          <w:szCs w:val="22"/>
        </w:rPr>
        <w:t xml:space="preserve">Both criteria come from established Flow Designer practice: if you find yourself building the same notification logic in three different flows, it is time for a dedicated subflow, and something like 'Create Approval Task' makes sense as a subflow even if only one flow calls it today.</w:t>
      </w:r>
    </w:p>
    <w:p>
      <w:pPr>
        <w:pStyle w:val="Heading2"/>
        <w:spacing w:after="160" w:before="320"/>
      </w:pPr>
      <w:r>
        <w:rPr>
          <w:rFonts w:ascii="Cambria" w:cs="Cambria" w:eastAsia="Cambria" w:hAnsi="Cambria"/>
          <w:b/>
          <w:bCs/>
          <w:color w:val="127475"/>
          <w:sz w:val="26"/>
          <w:szCs w:val="26"/>
        </w:rPr>
        <w:t xml:space="preserve">8.2 Inputs and Outputs</w:t>
      </w:r>
    </w:p>
    <w:p>
      <w:pPr>
        <w:spacing w:after="160" w:line="276"/>
      </w:pPr>
      <w:r>
        <w:rPr>
          <w:rFonts w:ascii="Calibri" w:cs="Calibri" w:eastAsia="Calibri" w:hAnsi="Calibri"/>
          <w:color w:val="222222"/>
          <w:sz w:val="22"/>
          <w:szCs w:val="22"/>
        </w:rPr>
        <w:t xml:space="preserve">Define typed Inputs on the subflow (the data it needs to do its job) and typed Outputs (the data it hands back). Good subflow design keeps this interface small and purposeful — resist the urge to pass in an entire record when only two or three fields are actually used.</w:t>
      </w:r>
    </w:p>
    <w:p>
      <w:pPr>
        <w:pStyle w:val="Heading2"/>
        <w:spacing w:after="160" w:before="320"/>
      </w:pPr>
      <w:r>
        <w:rPr>
          <w:rFonts w:ascii="Cambria" w:cs="Cambria" w:eastAsia="Cambria" w:hAnsi="Cambria"/>
          <w:b/>
          <w:bCs/>
          <w:color w:val="127475"/>
          <w:sz w:val="26"/>
          <w:szCs w:val="26"/>
        </w:rPr>
        <w:t xml:space="preserve">8.3 Calling a Subflow</w:t>
      </w:r>
    </w:p>
    <w:p>
      <w:pPr>
        <w:spacing w:after="160" w:line="276"/>
      </w:pPr>
      <w:r>
        <w:rPr>
          <w:rFonts w:ascii="Calibri" w:cs="Calibri" w:eastAsia="Calibri" w:hAnsi="Calibri"/>
          <w:color w:val="222222"/>
          <w:sz w:val="22"/>
          <w:szCs w:val="22"/>
        </w:rPr>
        <w:t xml:space="preserve">In the parent flow, add an Action step, choose Flow Logic &gt; Run Subflow, select the subflow, and the builder will surface all defined inputs so each one can be mapped from a data pill in the parent's context.</w:t>
      </w:r>
    </w:p>
    <w:p>
      <w:pPr>
        <w:spacing w:after="160" w:line="276"/>
      </w:pPr>
      <w:r>
        <w:rPr>
          <w:rFonts w:ascii="Calibri" w:cs="Calibri" w:eastAsia="Calibri" w:hAnsi="Calibri"/>
          <w:color w:val="222222"/>
          <w:sz w:val="22"/>
          <w:szCs w:val="22"/>
        </w:rPr>
        <w:t xml:space="preserve">After the subflow step runs, its output variables become available as new data pills in the parent flow, scoped under that Run Subflow step.</w:t>
      </w:r>
    </w:p>
    <w:p>
      <w:pPr>
        <w:pStyle w:val="Heading2"/>
        <w:spacing w:after="160" w:before="320"/>
      </w:pPr>
      <w:r>
        <w:rPr>
          <w:rFonts w:ascii="Cambria" w:cs="Cambria" w:eastAsia="Cambria" w:hAnsi="Cambria"/>
          <w:b/>
          <w:bCs/>
          <w:color w:val="127475"/>
          <w:sz w:val="26"/>
          <w:szCs w:val="26"/>
        </w:rPr>
        <w:t xml:space="preserve">8.4 Error Handling Inside Subflows</w:t>
      </w:r>
    </w:p>
    <w:p>
      <w:pPr>
        <w:spacing w:after="160" w:line="276"/>
      </w:pPr>
      <w:r>
        <w:rPr>
          <w:rFonts w:ascii="Calibri" w:cs="Calibri" w:eastAsia="Calibri" w:hAnsi="Calibri"/>
          <w:color w:val="222222"/>
          <w:sz w:val="22"/>
          <w:szCs w:val="22"/>
        </w:rPr>
        <w:t xml:space="preserve">Subflows should handle their own errors where possible — wrap risky operations such as REST calls or lookups in Try/Catch blocks inside the subflow itself rather than pushing that responsibility onto every caller.</w:t>
      </w:r>
    </w:p>
    <w:p>
      <w:pPr>
        <w:pStyle w:val="Heading2"/>
        <w:spacing w:after="160" w:before="320"/>
      </w:pPr>
      <w:r>
        <w:rPr>
          <w:rFonts w:ascii="Cambria" w:cs="Cambria" w:eastAsia="Cambria" w:hAnsi="Cambria"/>
          <w:b/>
          <w:bCs/>
          <w:color w:val="127475"/>
          <w:sz w:val="26"/>
          <w:szCs w:val="26"/>
        </w:rPr>
        <w:t xml:space="preserve">8.5 Subflow Design Pattern</w:t>
      </w:r>
    </w:p>
    <w:p>
      <w:pPr>
        <w:spacing w:after="160" w:line="276"/>
      </w:pPr>
      <w:r>
        <w:rPr>
          <w:rFonts w:ascii="Calibri" w:cs="Calibri" w:eastAsia="Calibri" w:hAnsi="Calibri"/>
          <w:color w:val="222222"/>
          <w:sz w:val="22"/>
          <w:szCs w:val="22"/>
        </w:rPr>
        <w:t xml:space="preserve">A well-decomposed parent flow reads almost like pseudocode: a trigger, followed by a call to a subflow that internally creates an approval record, waits for the response, and updates the calling ticket based on the outcome, before the parent continues with its next step. This keeps parent flows short and each subflow independently testable.</w:t>
      </w:r>
    </w:p>
    <w:p>
      <w:r>
        <w:br w:type="page"/>
      </w:r>
    </w:p>
    <w:p>
      <w:pPr>
        <w:pStyle w:val="Heading1"/>
        <w:pBdr>
          <w:bottom w:val="single" w:color="B8912F" w:sz="12" w:space="4"/>
        </w:pBdr>
        <w:spacing w:after="240" w:before="480"/>
      </w:pPr>
      <w:r>
        <w:rPr>
          <w:rFonts w:ascii="Cambria" w:cs="Cambria" w:eastAsia="Cambria" w:hAnsi="Cambria"/>
          <w:b/>
          <w:bCs/>
          <w:color w:val="1F3864"/>
          <w:sz w:val="32"/>
          <w:szCs w:val="32"/>
        </w:rPr>
        <w:t xml:space="preserve">Part 9 — Custom Actions and Action Designer</w:t>
      </w:r>
    </w:p>
    <w:p>
      <w:pPr>
        <w:spacing w:after="160" w:line="276"/>
      </w:pPr>
      <w:r>
        <w:rPr>
          <w:rFonts w:ascii="Calibri" w:cs="Calibri" w:eastAsia="Calibri" w:hAnsi="Calibri"/>
          <w:color w:val="222222"/>
          <w:sz w:val="22"/>
          <w:szCs w:val="22"/>
        </w:rPr>
        <w:t xml:space="preserve">When a core action does not exist for what you need, developers configure Custom Actions using Action Designer, typically wrapping Script Steps or REST steps for integrations.</w:t>
      </w:r>
    </w:p>
    <w:p>
      <w:pPr>
        <w:pStyle w:val="Heading2"/>
        <w:spacing w:after="160" w:before="320"/>
      </w:pPr>
      <w:r>
        <w:rPr>
          <w:rFonts w:ascii="Cambria" w:cs="Cambria" w:eastAsia="Cambria" w:hAnsi="Cambria"/>
          <w:b/>
          <w:bCs/>
          <w:color w:val="127475"/>
          <w:sz w:val="26"/>
          <w:szCs w:val="26"/>
        </w:rPr>
        <w:t xml:space="preserve">9.1 Building a Custom Action</w:t>
      </w:r>
    </w:p>
    <w:p>
      <w:pPr>
        <w:pStyle w:val="ListParagraph"/>
        <w:numPr>
          <w:ilvl w:val="0"/>
          <w:numId w:val="2"/>
        </w:numPr>
        <w:spacing w:after="90"/>
      </w:pPr>
      <w:r>
        <w:rPr>
          <w:rFonts w:ascii="Calibri" w:cs="Calibri" w:eastAsia="Calibri" w:hAnsi="Calibri"/>
          <w:color w:val="222222"/>
          <w:sz w:val="22"/>
          <w:szCs w:val="22"/>
        </w:rPr>
        <w:t xml:space="preserve">Define Inputs (typed variables the action will need).</w:t>
      </w:r>
    </w:p>
    <w:p>
      <w:pPr>
        <w:pStyle w:val="ListParagraph"/>
        <w:numPr>
          <w:ilvl w:val="0"/>
          <w:numId w:val="2"/>
        </w:numPr>
        <w:spacing w:after="90"/>
      </w:pPr>
      <w:r>
        <w:rPr>
          <w:rFonts w:ascii="Calibri" w:cs="Calibri" w:eastAsia="Calibri" w:hAnsi="Calibri"/>
          <w:color w:val="222222"/>
          <w:sz w:val="22"/>
          <w:szCs w:val="22"/>
        </w:rPr>
        <w:t xml:space="preserve">Add one or more steps inside the action — most commonly a Script step for logic that the visual palette cannot express.</w:t>
      </w:r>
    </w:p>
    <w:p>
      <w:pPr>
        <w:pStyle w:val="ListParagraph"/>
        <w:numPr>
          <w:ilvl w:val="0"/>
          <w:numId w:val="2"/>
        </w:numPr>
        <w:spacing w:after="90"/>
      </w:pPr>
      <w:r>
        <w:rPr>
          <w:rFonts w:ascii="Calibri" w:cs="Calibri" w:eastAsia="Calibri" w:hAnsi="Calibri"/>
          <w:color w:val="222222"/>
          <w:sz w:val="22"/>
          <w:szCs w:val="22"/>
        </w:rPr>
        <w:t xml:space="preserve">Define Outputs — what the action hands back to any flow that calls it.</w:t>
      </w:r>
    </w:p>
    <w:p>
      <w:pPr>
        <w:pStyle w:val="ListParagraph"/>
        <w:numPr>
          <w:ilvl w:val="0"/>
          <w:numId w:val="2"/>
        </w:numPr>
        <w:spacing w:after="90"/>
      </w:pPr>
      <w:r>
        <w:rPr>
          <w:rFonts w:ascii="Calibri" w:cs="Calibri" w:eastAsia="Calibri" w:hAnsi="Calibri"/>
          <w:color w:val="222222"/>
          <w:sz w:val="22"/>
          <w:szCs w:val="22"/>
        </w:rPr>
        <w:t xml:space="preserve">Publish the action so it becomes selectable inside any flow's action palette, just like a core action.</w:t>
      </w:r>
    </w:p>
    <w:p>
      <w:pPr>
        <w:pStyle w:val="Heading2"/>
        <w:spacing w:after="160" w:before="320"/>
      </w:pPr>
      <w:r>
        <w:rPr>
          <w:rFonts w:ascii="Cambria" w:cs="Cambria" w:eastAsia="Cambria" w:hAnsi="Cambria"/>
          <w:b/>
          <w:bCs/>
          <w:color w:val="127475"/>
          <w:sz w:val="26"/>
          <w:szCs w:val="26"/>
        </w:rPr>
        <w:t xml:space="preserve">9.2 Custom Action vs. Subflow — when to choose which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600"/>
        <w:gridCol w:w="3900"/>
      </w:tblGrid>
      <w:tr>
        <w:trPr>
          <w:tblHeader/>
        </w:trPr>
        <w:tc>
          <w:tcPr>
            <w:tcW w:type="dxa" w:w="5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Situation</w:t>
            </w:r>
          </w:p>
        </w:tc>
        <w:tc>
          <w:tcPr>
            <w:tcW w:type="dxa" w:w="39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Choose</w:t>
            </w:r>
          </w:p>
        </w:tc>
      </w:tr>
      <w:tr>
        <w:tc>
          <w:tcPr>
            <w:tcW w:type="dxa" w:w="5600"/>
            <w:shd w:fill="E7F2F2" w:val="clear"/>
            <w:tcMar>
              <w:top w:type="dxa" w:w="100"/>
              <w:left w:type="dxa" w:w="120"/>
              <w:bottom w:type="dxa" w:w="100"/>
              <w:right w:type="dxa" w:w="120"/>
            </w:tcMar>
          </w:tcPr>
          <w:p>
            <w:r>
              <w:rPr>
                <w:rFonts w:ascii="Calibri" w:cs="Calibri" w:eastAsia="Calibri" w:hAnsi="Calibri"/>
                <w:color w:val="222222"/>
                <w:sz w:val="20"/>
                <w:szCs w:val="20"/>
              </w:rPr>
              <w:t xml:space="preserve">Reusable logic is a single atomic step (e.g. one script transformation)</w:t>
            </w:r>
          </w:p>
        </w:tc>
        <w:tc>
          <w:tcPr>
            <w:tcW w:type="dxa" w:w="3900"/>
            <w:shd w:fill="E7F2F2" w:val="clear"/>
            <w:tcMar>
              <w:top w:type="dxa" w:w="100"/>
              <w:left w:type="dxa" w:w="120"/>
              <w:bottom w:type="dxa" w:w="100"/>
              <w:right w:type="dxa" w:w="120"/>
            </w:tcMar>
          </w:tcPr>
          <w:p>
            <w:r>
              <w:rPr>
                <w:rFonts w:ascii="Calibri" w:cs="Calibri" w:eastAsia="Calibri" w:hAnsi="Calibri"/>
                <w:color w:val="222222"/>
                <w:sz w:val="20"/>
                <w:szCs w:val="20"/>
              </w:rPr>
              <w:t xml:space="preserve">Custom Action</w:t>
            </w:r>
          </w:p>
        </w:tc>
      </w:tr>
      <w:tr>
        <w:tc>
          <w:tcPr>
            <w:tcW w:type="dxa" w:w="5600"/>
            <w:shd w:fill="FFFFFF" w:val="clear"/>
            <w:tcMar>
              <w:top w:type="dxa" w:w="100"/>
              <w:left w:type="dxa" w:w="120"/>
              <w:bottom w:type="dxa" w:w="100"/>
              <w:right w:type="dxa" w:w="120"/>
            </w:tcMar>
          </w:tcPr>
          <w:p>
            <w:r>
              <w:rPr>
                <w:rFonts w:ascii="Calibri" w:cs="Calibri" w:eastAsia="Calibri" w:hAnsi="Calibri"/>
                <w:color w:val="222222"/>
                <w:sz w:val="20"/>
                <w:szCs w:val="20"/>
              </w:rPr>
              <w:t xml:space="preserve">Reusable logic spans multiple steps with its own branching</w:t>
            </w:r>
          </w:p>
        </w:tc>
        <w:tc>
          <w:tcPr>
            <w:tcW w:type="dxa" w:w="3900"/>
            <w:shd w:fill="FFFFFF" w:val="clear"/>
            <w:tcMar>
              <w:top w:type="dxa" w:w="100"/>
              <w:left w:type="dxa" w:w="120"/>
              <w:bottom w:type="dxa" w:w="100"/>
              <w:right w:type="dxa" w:w="120"/>
            </w:tcMar>
          </w:tcPr>
          <w:p>
            <w:r>
              <w:rPr>
                <w:rFonts w:ascii="Calibri" w:cs="Calibri" w:eastAsia="Calibri" w:hAnsi="Calibri"/>
                <w:color w:val="222222"/>
                <w:sz w:val="20"/>
                <w:szCs w:val="20"/>
              </w:rPr>
              <w:t xml:space="preserve">Subflow</w:t>
            </w:r>
          </w:p>
        </w:tc>
      </w:tr>
      <w:tr>
        <w:tc>
          <w:tcPr>
            <w:tcW w:type="dxa" w:w="5600"/>
            <w:shd w:fill="E7F2F2" w:val="clear"/>
            <w:tcMar>
              <w:top w:type="dxa" w:w="100"/>
              <w:left w:type="dxa" w:w="120"/>
              <w:bottom w:type="dxa" w:w="100"/>
              <w:right w:type="dxa" w:w="120"/>
            </w:tcMar>
          </w:tcPr>
          <w:p>
            <w:r>
              <w:rPr>
                <w:rFonts w:ascii="Calibri" w:cs="Calibri" w:eastAsia="Calibri" w:hAnsi="Calibri"/>
                <w:color w:val="222222"/>
                <w:sz w:val="20"/>
                <w:szCs w:val="20"/>
              </w:rPr>
              <w:t xml:space="preserve">You need it to behave exactly like a built-in action in the palette</w:t>
            </w:r>
          </w:p>
        </w:tc>
        <w:tc>
          <w:tcPr>
            <w:tcW w:type="dxa" w:w="3900"/>
            <w:shd w:fill="E7F2F2" w:val="clear"/>
            <w:tcMar>
              <w:top w:type="dxa" w:w="100"/>
              <w:left w:type="dxa" w:w="120"/>
              <w:bottom w:type="dxa" w:w="100"/>
              <w:right w:type="dxa" w:w="120"/>
            </w:tcMar>
          </w:tcPr>
          <w:p>
            <w:r>
              <w:rPr>
                <w:rFonts w:ascii="Calibri" w:cs="Calibri" w:eastAsia="Calibri" w:hAnsi="Calibri"/>
                <w:color w:val="222222"/>
                <w:sz w:val="20"/>
                <w:szCs w:val="20"/>
              </w:rPr>
              <w:t xml:space="preserve">Custom Action</w:t>
            </w:r>
          </w:p>
        </w:tc>
      </w:tr>
      <w:tr>
        <w:tc>
          <w:tcPr>
            <w:tcW w:type="dxa" w:w="5600"/>
            <w:shd w:fill="FFFFFF" w:val="clear"/>
            <w:tcMar>
              <w:top w:type="dxa" w:w="100"/>
              <w:left w:type="dxa" w:w="120"/>
              <w:bottom w:type="dxa" w:w="100"/>
              <w:right w:type="dxa" w:w="120"/>
            </w:tcMar>
          </w:tcPr>
          <w:p>
            <w:r>
              <w:rPr>
                <w:rFonts w:ascii="Calibri" w:cs="Calibri" w:eastAsia="Calibri" w:hAnsi="Calibri"/>
                <w:color w:val="222222"/>
                <w:sz w:val="20"/>
                <w:szCs w:val="20"/>
              </w:rPr>
              <w:t xml:space="preserve">The logic needs to call other subflows or wait on conditions</w:t>
            </w:r>
          </w:p>
        </w:tc>
        <w:tc>
          <w:tcPr>
            <w:tcW w:type="dxa" w:w="3900"/>
            <w:shd w:fill="FFFFFF" w:val="clear"/>
            <w:tcMar>
              <w:top w:type="dxa" w:w="100"/>
              <w:left w:type="dxa" w:w="120"/>
              <w:bottom w:type="dxa" w:w="100"/>
              <w:right w:type="dxa" w:w="120"/>
            </w:tcMar>
          </w:tcPr>
          <w:p>
            <w:r>
              <w:rPr>
                <w:rFonts w:ascii="Calibri" w:cs="Calibri" w:eastAsia="Calibri" w:hAnsi="Calibri"/>
                <w:color w:val="222222"/>
                <w:sz w:val="20"/>
                <w:szCs w:val="20"/>
              </w:rPr>
              <w:t xml:space="preserve">Subflow</w:t>
            </w:r>
          </w:p>
        </w:tc>
      </w:tr>
    </w:tbl>
    <w:p>
      <w:pPr>
        <w:spacing w:after="160"/>
      </w:pPr>
    </w:p>
    <w:p>
      <w:r>
        <w:br w:type="page"/>
      </w:r>
    </w:p>
    <w:p>
      <w:pPr>
        <w:pStyle w:val="Heading1"/>
        <w:pBdr>
          <w:bottom w:val="single" w:color="B8912F" w:sz="12" w:space="4"/>
        </w:pBdr>
        <w:spacing w:after="240" w:before="480"/>
      </w:pPr>
      <w:r>
        <w:rPr>
          <w:rFonts w:ascii="Cambria" w:cs="Cambria" w:eastAsia="Cambria" w:hAnsi="Cambria"/>
          <w:b/>
          <w:bCs/>
          <w:color w:val="1F3864"/>
          <w:sz w:val="32"/>
          <w:szCs w:val="32"/>
        </w:rPr>
        <w:t xml:space="preserve">Part 10 — Integration Hub, Spokes, and External Systems</w:t>
      </w:r>
    </w:p>
    <w:p>
      <w:pPr>
        <w:spacing w:after="160" w:line="276"/>
      </w:pPr>
      <w:r>
        <w:rPr>
          <w:rFonts w:ascii="Calibri" w:cs="Calibri" w:eastAsia="Calibri" w:hAnsi="Calibri"/>
          <w:color w:val="222222"/>
          <w:sz w:val="22"/>
          <w:szCs w:val="22"/>
        </w:rPr>
        <w:t xml:space="preserve">Flows can be extended beyond ServiceNow by connecting to third-party applications such as Slack, Microsoft Teams, or Jira using ready-made connectors called spokes, available through Integration Hub, which is a licensed feature.</w:t>
      </w:r>
    </w:p>
    <w:p>
      <w:pPr>
        <w:spacing w:after="160" w:line="276"/>
      </w:pPr>
      <w:r>
        <w:rPr>
          <w:rFonts w:ascii="Calibri" w:cs="Calibri" w:eastAsia="Calibri" w:hAnsi="Calibri"/>
          <w:color w:val="222222"/>
          <w:sz w:val="22"/>
          <w:szCs w:val="22"/>
        </w:rPr>
        <w:t xml:space="preserve">These spoke connectors handle the complex API calls behind the scenes, giving low-code, seamless integration instead of hand-written RESTMessageV2 scripts.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27475" w:sz="8"/>
              <w:left w:val="single" w:color="127475" w:sz="8"/>
              <w:bottom w:val="single" w:color="127475" w:sz="8"/>
              <w:right w:val="single" w:color="127475" w:sz="8"/>
            </w:tcBorders>
            <w:shd w:fill="E7F2F2" w:val="clear"/>
            <w:tcMar>
              <w:top w:type="dxa" w:w="160"/>
              <w:left w:type="dxa" w:w="200"/>
              <w:bottom w:type="dxa" w:w="160"/>
              <w:right w:type="dxa" w:w="200"/>
            </w:tcMar>
          </w:tcPr>
          <w:p>
            <w:pPr>
              <w:spacing w:after="80"/>
            </w:pPr>
            <w:r>
              <w:rPr>
                <w:rFonts w:ascii="Cambria" w:cs="Cambria" w:eastAsia="Cambria" w:hAnsi="Cambria"/>
                <w:b/>
                <w:bCs/>
                <w:color w:val="127475"/>
                <w:sz w:val="22"/>
                <w:szCs w:val="22"/>
              </w:rPr>
              <w:t xml:space="preserve">Practical notes</w:t>
            </w:r>
          </w:p>
          <w:p>
            <w:pPr>
              <w:spacing w:after="60"/>
            </w:pPr>
            <w:r>
              <w:rPr>
                <w:rFonts w:ascii="Calibri" w:cs="Calibri" w:eastAsia="Calibri" w:hAnsi="Calibri"/>
                <w:color w:val="222222"/>
                <w:sz w:val="21"/>
                <w:szCs w:val="21"/>
              </w:rPr>
              <w:t xml:space="preserve">• Spokes appear in the action palette exactly like core actions once the plugin/entitlement is active.</w:t>
            </w:r>
          </w:p>
          <w:p>
            <w:pPr>
              <w:spacing w:after="60"/>
            </w:pPr>
            <w:r>
              <w:rPr>
                <w:rFonts w:ascii="Calibri" w:cs="Calibri" w:eastAsia="Calibri" w:hAnsi="Calibri"/>
                <w:color w:val="222222"/>
                <w:sz w:val="21"/>
                <w:szCs w:val="21"/>
              </w:rPr>
              <w:t xml:space="preserve">• For systems without a spoke, use the native REST Step action and wrap it in Try/Catch for resilience.</w:t>
            </w:r>
          </w:p>
          <w:p>
            <w:pPr>
              <w:spacing w:after="60"/>
            </w:pPr>
            <w:r>
              <w:rPr>
                <w:rFonts w:ascii="Calibri" w:cs="Calibri" w:eastAsia="Calibri" w:hAnsi="Calibri"/>
                <w:color w:val="222222"/>
                <w:sz w:val="21"/>
                <w:szCs w:val="21"/>
              </w:rPr>
              <w:t xml:space="preserve">• License Integration Hub usage carefully — spoke actions typically consume transaction entitlements; monitor usage in production.</w:t>
            </w:r>
          </w:p>
        </w:tc>
      </w:tr>
    </w:tbl>
    <w:p>
      <w:r>
        <w:br w:type="page"/>
      </w:r>
    </w:p>
    <w:p>
      <w:pPr>
        <w:pStyle w:val="Heading1"/>
        <w:pBdr>
          <w:bottom w:val="single" w:color="B8912F" w:sz="12" w:space="4"/>
        </w:pBdr>
        <w:spacing w:after="240" w:before="480"/>
      </w:pPr>
      <w:r>
        <w:rPr>
          <w:rFonts w:ascii="Cambria" w:cs="Cambria" w:eastAsia="Cambria" w:hAnsi="Cambria"/>
          <w:b/>
          <w:bCs/>
          <w:color w:val="1F3864"/>
          <w:sz w:val="32"/>
          <w:szCs w:val="32"/>
        </w:rPr>
        <w:t xml:space="preserve">Part 11 — Testing, Debugging, and Execution</w:t>
      </w:r>
    </w:p>
    <w:p>
      <w:pPr>
        <w:pStyle w:val="Heading2"/>
        <w:spacing w:after="160" w:before="320"/>
      </w:pPr>
      <w:r>
        <w:rPr>
          <w:rFonts w:ascii="Cambria" w:cs="Cambria" w:eastAsia="Cambria" w:hAnsi="Cambria"/>
          <w:b/>
          <w:bCs/>
          <w:color w:val="127475"/>
          <w:sz w:val="26"/>
          <w:szCs w:val="26"/>
        </w:rPr>
        <w:t xml:space="preserve">11.1 Execution Log</w:t>
      </w:r>
    </w:p>
    <w:p>
      <w:pPr>
        <w:spacing w:after="160" w:line="276"/>
      </w:pPr>
      <w:r>
        <w:rPr>
          <w:rFonts w:ascii="Calibri" w:cs="Calibri" w:eastAsia="Calibri" w:hAnsi="Calibri"/>
          <w:color w:val="222222"/>
          <w:sz w:val="22"/>
          <w:szCs w:val="22"/>
        </w:rPr>
        <w:t xml:space="preserve">The Execution Log tab on each flow shows every run with timestamps, inputs, outputs, and any errors — this is the first place to look when debugging a failed or unexpected flow result.</w:t>
      </w:r>
    </w:p>
    <w:p>
      <w:pPr>
        <w:pStyle w:val="Heading2"/>
        <w:spacing w:after="160" w:before="320"/>
      </w:pPr>
      <w:r>
        <w:rPr>
          <w:rFonts w:ascii="Cambria" w:cs="Cambria" w:eastAsia="Cambria" w:hAnsi="Cambria"/>
          <w:b/>
          <w:bCs/>
          <w:color w:val="127475"/>
          <w:sz w:val="26"/>
          <w:szCs w:val="26"/>
        </w:rPr>
        <w:t xml:space="preserve">11.2 Correlation IDs for Multi-Step Tracing</w:t>
      </w:r>
    </w:p>
    <w:p>
      <w:pPr>
        <w:spacing w:after="160" w:line="276"/>
      </w:pPr>
      <w:r>
        <w:rPr>
          <w:rFonts w:ascii="Calibri" w:cs="Calibri" w:eastAsia="Calibri" w:hAnsi="Calibri"/>
          <w:color w:val="222222"/>
          <w:sz w:val="22"/>
          <w:szCs w:val="22"/>
        </w:rPr>
        <w:t xml:space="preserve">For complex flows involving asynchronous downstream actions, generate a correlation ID at the start (for example with gs.generateUUID()), log it, and include it in the context of all downstream async actions so scattered log entries become a reconstructable execution trace.</w:t>
      </w:r>
    </w:p>
    <w:p>
      <w:pPr>
        <w:pStyle w:val="Heading2"/>
        <w:spacing w:after="160" w:before="320"/>
      </w:pPr>
      <w:r>
        <w:rPr>
          <w:rFonts w:ascii="Cambria" w:cs="Cambria" w:eastAsia="Cambria" w:hAnsi="Cambria"/>
          <w:b/>
          <w:bCs/>
          <w:color w:val="127475"/>
          <w:sz w:val="26"/>
          <w:szCs w:val="26"/>
        </w:rPr>
        <w:t xml:space="preserve">11.3 Flow Metrics</w:t>
      </w:r>
    </w:p>
    <w:p>
      <w:pPr>
        <w:spacing w:after="160" w:line="276"/>
      </w:pPr>
      <w:r>
        <w:rPr>
          <w:rFonts w:ascii="Calibri" w:cs="Calibri" w:eastAsia="Calibri" w:hAnsi="Calibri"/>
          <w:color w:val="222222"/>
          <w:sz w:val="22"/>
          <w:szCs w:val="22"/>
        </w:rPr>
        <w:t xml:space="preserve">For ongoing production monitoring, build a dashboard pulling from the sys_flow_execution table to track failure rates over time — a high failure rate on a specific flow is often a leading indicator of a deeper issue, such as a reference field that changed, an external system's API changing, or data quality problems in the triggering conditions.</w:t>
      </w:r>
    </w:p>
    <w:p>
      <w:pPr>
        <w:pStyle w:val="Heading2"/>
        <w:spacing w:after="160" w:before="320"/>
      </w:pPr>
      <w:r>
        <w:rPr>
          <w:rFonts w:ascii="Cambria" w:cs="Cambria" w:eastAsia="Cambria" w:hAnsi="Cambria"/>
          <w:b/>
          <w:bCs/>
          <w:color w:val="127475"/>
          <w:sz w:val="26"/>
          <w:szCs w:val="26"/>
        </w:rPr>
        <w:t xml:space="preserve">11.4 Manual Testing Workflow</w:t>
      </w:r>
    </w:p>
    <w:p>
      <w:pPr>
        <w:pStyle w:val="ListParagraph"/>
        <w:numPr>
          <w:ilvl w:val="0"/>
          <w:numId w:val="3"/>
        </w:numPr>
        <w:spacing w:after="90"/>
      </w:pPr>
      <w:r>
        <w:rPr>
          <w:rFonts w:ascii="Calibri" w:cs="Calibri" w:eastAsia="Calibri" w:hAnsi="Calibri"/>
          <w:color w:val="222222"/>
          <w:sz w:val="22"/>
          <w:szCs w:val="22"/>
        </w:rPr>
        <w:t xml:space="preserve">Use the Test button inside the flow editor to run against a specific triggering record without waiting for a real event.</w:t>
      </w:r>
    </w:p>
    <w:p>
      <w:pPr>
        <w:pStyle w:val="ListParagraph"/>
        <w:numPr>
          <w:ilvl w:val="0"/>
          <w:numId w:val="3"/>
        </w:numPr>
        <w:spacing w:after="90"/>
      </w:pPr>
      <w:r>
        <w:rPr>
          <w:rFonts w:ascii="Calibri" w:cs="Calibri" w:eastAsia="Calibri" w:hAnsi="Calibri"/>
          <w:color w:val="222222"/>
          <w:sz w:val="22"/>
          <w:szCs w:val="22"/>
        </w:rPr>
        <w:t xml:space="preserve">Check every branch — an If/Else If/Else with untested branches is a common source of production surprises.</w:t>
      </w:r>
    </w:p>
    <w:p>
      <w:pPr>
        <w:pStyle w:val="ListParagraph"/>
        <w:numPr>
          <w:ilvl w:val="0"/>
          <w:numId w:val="3"/>
        </w:numPr>
        <w:spacing w:after="90"/>
      </w:pPr>
      <w:r>
        <w:rPr>
          <w:rFonts w:ascii="Calibri" w:cs="Calibri" w:eastAsia="Calibri" w:hAnsi="Calibri"/>
          <w:color w:val="222222"/>
          <w:sz w:val="22"/>
          <w:szCs w:val="22"/>
        </w:rPr>
        <w:t xml:space="preserve">Validate subflow outputs independently before wiring them into a parent flow.</w:t>
      </w:r>
    </w:p>
    <w:p>
      <w:r>
        <w:br w:type="page"/>
      </w:r>
    </w:p>
    <w:p>
      <w:pPr>
        <w:pStyle w:val="Heading1"/>
        <w:pBdr>
          <w:bottom w:val="single" w:color="B8912F" w:sz="12" w:space="4"/>
        </w:pBdr>
        <w:spacing w:after="240" w:before="480"/>
      </w:pPr>
      <w:r>
        <w:rPr>
          <w:rFonts w:ascii="Cambria" w:cs="Cambria" w:eastAsia="Cambria" w:hAnsi="Cambria"/>
          <w:b/>
          <w:bCs/>
          <w:color w:val="1F3864"/>
          <w:sz w:val="32"/>
          <w:szCs w:val="32"/>
        </w:rPr>
        <w:t xml:space="preserve">Part 12 — Advanced Patterns and Best Practices</w:t>
      </w:r>
    </w:p>
    <w:p>
      <w:pPr>
        <w:pStyle w:val="Heading2"/>
        <w:spacing w:after="160" w:before="320"/>
      </w:pPr>
      <w:r>
        <w:rPr>
          <w:rFonts w:ascii="Cambria" w:cs="Cambria" w:eastAsia="Cambria" w:hAnsi="Cambria"/>
          <w:b/>
          <w:bCs/>
          <w:color w:val="127475"/>
          <w:sz w:val="26"/>
          <w:szCs w:val="26"/>
        </w:rPr>
        <w:t xml:space="preserve">12.1 Decompose, Don't Monolith</w:t>
      </w:r>
    </w:p>
    <w:p>
      <w:pPr>
        <w:spacing w:after="160" w:line="276"/>
      </w:pPr>
      <w:r>
        <w:rPr>
          <w:rFonts w:ascii="Calibri" w:cs="Calibri" w:eastAsia="Calibri" w:hAnsi="Calibri"/>
          <w:color w:val="222222"/>
          <w:sz w:val="22"/>
          <w:szCs w:val="22"/>
        </w:rPr>
        <w:t xml:space="preserve">The single biggest mistake in Flow Designer is building everything as one monolithic flow instead of decomposing reusable logic into subflows. This makes flows modular and dramatically easier to test — a subflow is validated once and trusted everywhere it is used.</w:t>
      </w:r>
    </w:p>
    <w:p>
      <w:pPr>
        <w:pStyle w:val="Heading2"/>
        <w:spacing w:after="160" w:before="320"/>
      </w:pPr>
      <w:r>
        <w:rPr>
          <w:rFonts w:ascii="Cambria" w:cs="Cambria" w:eastAsia="Cambria" w:hAnsi="Cambria"/>
          <w:b/>
          <w:bCs/>
          <w:color w:val="127475"/>
          <w:sz w:val="26"/>
          <w:szCs w:val="26"/>
        </w:rPr>
        <w:t xml:space="preserve">12.2 Keep Flows Focused</w:t>
      </w:r>
    </w:p>
    <w:p>
      <w:pPr>
        <w:spacing w:after="160" w:line="276"/>
      </w:pPr>
      <w:r>
        <w:rPr>
          <w:rFonts w:ascii="Calibri" w:cs="Calibri" w:eastAsia="Calibri" w:hAnsi="Calibri"/>
          <w:color w:val="222222"/>
          <w:sz w:val="22"/>
          <w:szCs w:val="22"/>
        </w:rPr>
        <w:t xml:space="preserve">A flow should encapsulate one specific automation; avoid adding side-effects such as extra logging, ad-hoc notifications, or defensive lookups that are not part of the core business logic — push those into dedicated subflows if they are genuinely needed.</w:t>
      </w:r>
    </w:p>
    <w:p>
      <w:pPr>
        <w:pStyle w:val="Heading2"/>
        <w:spacing w:after="160" w:before="320"/>
      </w:pPr>
      <w:r>
        <w:rPr>
          <w:rFonts w:ascii="Cambria" w:cs="Cambria" w:eastAsia="Cambria" w:hAnsi="Cambria"/>
          <w:b/>
          <w:bCs/>
          <w:color w:val="127475"/>
          <w:sz w:val="26"/>
          <w:szCs w:val="26"/>
        </w:rPr>
        <w:t xml:space="preserve">12.3 One Trigger Rule</w:t>
      </w:r>
    </w:p>
    <w:p>
      <w:pPr>
        <w:spacing w:after="160" w:line="276"/>
      </w:pPr>
      <w:r>
        <w:rPr>
          <w:rFonts w:ascii="Calibri" w:cs="Calibri" w:eastAsia="Calibri" w:hAnsi="Calibri"/>
          <w:color w:val="222222"/>
          <w:sz w:val="22"/>
          <w:szCs w:val="22"/>
        </w:rPr>
        <w:t xml:space="preserve">Every flow has exactly one trigger, and subflows never have a trigger of their own since they are only invoked by another flow — if you find yourself wanting two different starting conditions, that is a sign you need two flows (possibly sharing a common subflow), not one flow with two triggers.</w:t>
      </w:r>
    </w:p>
    <w:p>
      <w:pPr>
        <w:pStyle w:val="Heading2"/>
        <w:spacing w:after="160" w:before="320"/>
      </w:pPr>
      <w:r>
        <w:rPr>
          <w:rFonts w:ascii="Cambria" w:cs="Cambria" w:eastAsia="Cambria" w:hAnsi="Cambria"/>
          <w:b/>
          <w:bCs/>
          <w:color w:val="127475"/>
          <w:sz w:val="26"/>
          <w:szCs w:val="26"/>
        </w:rPr>
        <w:t xml:space="preserve">12.4 Background Execution by Default</w:t>
      </w:r>
    </w:p>
    <w:p>
      <w:pPr>
        <w:spacing w:after="160" w:line="276"/>
      </w:pPr>
      <w:r>
        <w:rPr>
          <w:rFonts w:ascii="Calibri" w:cs="Calibri" w:eastAsia="Calibri" w:hAnsi="Calibri"/>
          <w:color w:val="222222"/>
          <w:sz w:val="22"/>
          <w:szCs w:val="22"/>
        </w:rPr>
        <w:t xml:space="preserve">Setting run_flow_in to background on triggers that support it is the recommended default, so long-running logic does not hold up the user transaction that fired it.</w:t>
      </w:r>
    </w:p>
    <w:p>
      <w:pPr>
        <w:pStyle w:val="Heading2"/>
        <w:spacing w:after="160" w:before="320"/>
      </w:pPr>
      <w:r>
        <w:rPr>
          <w:rFonts w:ascii="Cambria" w:cs="Cambria" w:eastAsia="Cambria" w:hAnsi="Cambria"/>
          <w:b/>
          <w:bCs/>
          <w:color w:val="127475"/>
          <w:sz w:val="26"/>
          <w:szCs w:val="26"/>
        </w:rPr>
        <w:t xml:space="preserve">12.5 Data Pill Interpolation in Scripted Conditions</w:t>
      </w:r>
    </w:p>
    <w:p>
      <w:pPr>
        <w:spacing w:after="160" w:line="276"/>
      </w:pPr>
      <w:r>
        <w:rPr>
          <w:rFonts w:ascii="Calibri" w:cs="Calibri" w:eastAsia="Calibri" w:hAnsi="Calibri"/>
          <w:color w:val="222222"/>
          <w:sz w:val="22"/>
          <w:szCs w:val="22"/>
        </w:rPr>
        <w:t xml:space="preserve">When a condition needs to interpolate a data pill into an encoded query string, the template literal syntax is required — for example building a condition string with the pill's value embedded via a template literal rather than string concatenation. This matters most when building flows through the Fluent SDK rather than the visual builder.</w:t>
      </w:r>
    </w:p>
    <w:p>
      <w:r>
        <w:br w:type="page"/>
      </w:r>
    </w:p>
    <w:p>
      <w:pPr>
        <w:pStyle w:val="Heading1"/>
        <w:pBdr>
          <w:bottom w:val="single" w:color="B8912F" w:sz="12" w:space="4"/>
        </w:pBdr>
        <w:spacing w:after="240" w:before="480"/>
      </w:pPr>
      <w:r>
        <w:rPr>
          <w:rFonts w:ascii="Cambria" w:cs="Cambria" w:eastAsia="Cambria" w:hAnsi="Cambria"/>
          <w:b/>
          <w:bCs/>
          <w:color w:val="1F3864"/>
          <w:sz w:val="32"/>
          <w:szCs w:val="32"/>
        </w:rPr>
        <w:t xml:space="preserve">Part 13 — Common Pitfalls Checklist</w:t>
      </w:r>
    </w:p>
    <w:p>
      <w:pPr>
        <w:spacing w:after="160" w:line="276"/>
      </w:pPr>
      <w:r>
        <w:rPr>
          <w:rFonts w:ascii="Calibri" w:cs="Calibri" w:eastAsia="Calibri" w:hAnsi="Calibri"/>
          <w:color w:val="222222"/>
          <w:sz w:val="22"/>
          <w:szCs w:val="22"/>
        </w:rPr>
        <w:t xml:space="preserve">Run through this checklist before publishing any flow to production.</w:t>
      </w:r>
    </w:p>
    <w:p>
      <w:pPr>
        <w:pStyle w:val="ListParagraph"/>
        <w:numPr>
          <w:ilvl w:val="0"/>
          <w:numId w:val="3"/>
        </w:numPr>
        <w:spacing w:after="90"/>
      </w:pPr>
      <w:r>
        <w:rPr>
          <w:rFonts w:ascii="Calibri" w:cs="Calibri" w:eastAsia="Calibri" w:hAnsi="Calibri"/>
          <w:color w:val="222222"/>
          <w:sz w:val="22"/>
          <w:szCs w:val="22"/>
        </w:rPr>
        <w:t xml:space="preserve">Did you check Look Up Record results for 'no match found' instead of assuming a record always exists?</w:t>
      </w:r>
    </w:p>
    <w:p>
      <w:pPr>
        <w:pStyle w:val="ListParagraph"/>
        <w:numPr>
          <w:ilvl w:val="0"/>
          <w:numId w:val="3"/>
        </w:numPr>
        <w:spacing w:after="90"/>
      </w:pPr>
      <w:r>
        <w:rPr>
          <w:rFonts w:ascii="Calibri" w:cs="Calibri" w:eastAsia="Calibri" w:hAnsi="Calibri"/>
          <w:color w:val="222222"/>
          <w:sz w:val="22"/>
          <w:szCs w:val="22"/>
        </w:rPr>
        <w:t xml:space="preserve">Are you reading back a just-created record too early? Add a delay, Wait For Condition, or reload with Look Up Record.</w:t>
      </w:r>
    </w:p>
    <w:p>
      <w:pPr>
        <w:pStyle w:val="ListParagraph"/>
        <w:numPr>
          <w:ilvl w:val="0"/>
          <w:numId w:val="3"/>
        </w:numPr>
        <w:spacing w:after="90"/>
      </w:pPr>
      <w:r>
        <w:rPr>
          <w:rFonts w:ascii="Calibri" w:cs="Calibri" w:eastAsia="Calibri" w:hAnsi="Calibri"/>
          <w:color w:val="222222"/>
          <w:sz w:val="22"/>
          <w:szCs w:val="22"/>
        </w:rPr>
        <w:t xml:space="preserve">Is the flow doing too much? If the same block of steps exists elsewhere, extract it into a Subflow.</w:t>
      </w:r>
    </w:p>
    <w:p>
      <w:pPr>
        <w:pStyle w:val="ListParagraph"/>
        <w:numPr>
          <w:ilvl w:val="0"/>
          <w:numId w:val="3"/>
        </w:numPr>
        <w:spacing w:after="90"/>
      </w:pPr>
      <w:r>
        <w:rPr>
          <w:rFonts w:ascii="Calibri" w:cs="Calibri" w:eastAsia="Calibri" w:hAnsi="Calibri"/>
          <w:color w:val="222222"/>
          <w:sz w:val="22"/>
          <w:szCs w:val="22"/>
        </w:rPr>
        <w:t xml:space="preserve">Did every If/Else If/Else branch get tested, including the 'nobody expected this' Else path?</w:t>
      </w:r>
    </w:p>
    <w:p>
      <w:pPr>
        <w:pStyle w:val="ListParagraph"/>
        <w:numPr>
          <w:ilvl w:val="0"/>
          <w:numId w:val="3"/>
        </w:numPr>
        <w:spacing w:after="90"/>
      </w:pPr>
      <w:r>
        <w:rPr>
          <w:rFonts w:ascii="Calibri" w:cs="Calibri" w:eastAsia="Calibri" w:hAnsi="Calibri"/>
          <w:color w:val="222222"/>
          <w:sz w:val="22"/>
          <w:szCs w:val="22"/>
        </w:rPr>
        <w:t xml:space="preserve">Are risky steps (REST calls, updates under contention) wrapped in Try/Catch?</w:t>
      </w:r>
    </w:p>
    <w:p>
      <w:pPr>
        <w:pStyle w:val="ListParagraph"/>
        <w:numPr>
          <w:ilvl w:val="0"/>
          <w:numId w:val="3"/>
        </w:numPr>
        <w:spacing w:after="90"/>
      </w:pPr>
      <w:r>
        <w:rPr>
          <w:rFonts w:ascii="Calibri" w:cs="Calibri" w:eastAsia="Calibri" w:hAnsi="Calibri"/>
          <w:color w:val="222222"/>
          <w:sz w:val="22"/>
          <w:szCs w:val="22"/>
        </w:rPr>
        <w:t xml:space="preserve">Is the trigger scoped tightly enough (table + condition), or will it fire far more often than intended?</w:t>
      </w:r>
    </w:p>
    <w:p>
      <w:pPr>
        <w:pStyle w:val="ListParagraph"/>
        <w:numPr>
          <w:ilvl w:val="0"/>
          <w:numId w:val="3"/>
        </w:numPr>
        <w:spacing w:after="90"/>
      </w:pPr>
      <w:r>
        <w:rPr>
          <w:rFonts w:ascii="Calibri" w:cs="Calibri" w:eastAsia="Calibri" w:hAnsi="Calibri"/>
          <w:color w:val="222222"/>
          <w:sz w:val="22"/>
          <w:szCs w:val="22"/>
        </w:rPr>
        <w:t xml:space="preserve">Is run_flow_in set to background where the transaction does not need to wait?</w:t>
      </w:r>
    </w:p>
    <w:p>
      <w:pPr>
        <w:pStyle w:val="ListParagraph"/>
        <w:numPr>
          <w:ilvl w:val="0"/>
          <w:numId w:val="3"/>
        </w:numPr>
        <w:spacing w:after="90"/>
      </w:pPr>
      <w:r>
        <w:rPr>
          <w:rFonts w:ascii="Calibri" w:cs="Calibri" w:eastAsia="Calibri" w:hAnsi="Calibri"/>
          <w:color w:val="222222"/>
          <w:sz w:val="22"/>
          <w:szCs w:val="22"/>
        </w:rPr>
        <w:t xml:space="preserve">Are Subflow inputs/outputs minimal and clearly named, not an entire dumped record?</w:t>
      </w:r>
    </w:p>
    <w:p>
      <w:pPr>
        <w:pStyle w:val="ListParagraph"/>
        <w:numPr>
          <w:ilvl w:val="0"/>
          <w:numId w:val="3"/>
        </w:numPr>
        <w:spacing w:after="90"/>
      </w:pPr>
      <w:r>
        <w:rPr>
          <w:rFonts w:ascii="Calibri" w:cs="Calibri" w:eastAsia="Calibri" w:hAnsi="Calibri"/>
          <w:color w:val="222222"/>
          <w:sz w:val="22"/>
          <w:szCs w:val="22"/>
        </w:rPr>
        <w:t xml:space="preserve">Is there an Execution Log / correlation ID strategy in place for anything with multiple async steps?</w:t>
      </w:r>
    </w:p>
    <w:p>
      <w:pPr>
        <w:pStyle w:val="ListParagraph"/>
        <w:numPr>
          <w:ilvl w:val="0"/>
          <w:numId w:val="3"/>
        </w:numPr>
        <w:spacing w:after="90"/>
      </w:pPr>
      <w:r>
        <w:rPr>
          <w:rFonts w:ascii="Calibri" w:cs="Calibri" w:eastAsia="Calibri" w:hAnsi="Calibri"/>
          <w:color w:val="222222"/>
          <w:sz w:val="22"/>
          <w:szCs w:val="22"/>
        </w:rPr>
        <w:t xml:space="preserve">For task-creating flows, is the parent reference field always populated so the task shows up on the correct related list?</w:t>
      </w:r>
    </w:p>
    <w:p>
      <w:r>
        <w:br w:type="page"/>
      </w:r>
    </w:p>
    <w:p>
      <w:pPr>
        <w:pStyle w:val="Heading1"/>
        <w:pBdr>
          <w:bottom w:val="single" w:color="B8912F" w:sz="12" w:space="4"/>
        </w:pBdr>
        <w:spacing w:after="240" w:before="480"/>
      </w:pPr>
      <w:r>
        <w:rPr>
          <w:rFonts w:ascii="Cambria" w:cs="Cambria" w:eastAsia="Cambria" w:hAnsi="Cambria"/>
          <w:b/>
          <w:bCs/>
          <w:color w:val="1F3864"/>
          <w:sz w:val="32"/>
          <w:szCs w:val="32"/>
        </w:rPr>
        <w:t xml:space="preserve">Part 14 — Certification Path and Study Plan</w:t>
      </w:r>
    </w:p>
    <w:p>
      <w:pPr>
        <w:pStyle w:val="Heading2"/>
        <w:spacing w:after="160" w:before="320"/>
      </w:pPr>
      <w:r>
        <w:rPr>
          <w:rFonts w:ascii="Cambria" w:cs="Cambria" w:eastAsia="Cambria" w:hAnsi="Cambria"/>
          <w:b/>
          <w:bCs/>
          <w:color w:val="127475"/>
          <w:sz w:val="26"/>
          <w:szCs w:val="26"/>
        </w:rPr>
        <w:t xml:space="preserve">14.1 Recommended Learning Sequence</w:t>
      </w:r>
    </w:p>
    <w:p>
      <w:pPr>
        <w:pStyle w:val="ListParagraph"/>
        <w:numPr>
          <w:ilvl w:val="0"/>
          <w:numId w:val="2"/>
        </w:numPr>
        <w:spacing w:after="90"/>
      </w:pPr>
      <w:r>
        <w:rPr>
          <w:rFonts w:ascii="Calibri" w:cs="Calibri" w:eastAsia="Calibri" w:hAnsi="Calibri"/>
          <w:color w:val="222222"/>
          <w:sz w:val="22"/>
          <w:szCs w:val="22"/>
        </w:rPr>
        <w:t xml:space="preserve">Week 1 — Foundations: navigate Flow Designer, build 3-5 simple record-triggered flows using only core actions (Create Record, Update Record, Send Email).</w:t>
      </w:r>
    </w:p>
    <w:p>
      <w:pPr>
        <w:pStyle w:val="ListParagraph"/>
        <w:numPr>
          <w:ilvl w:val="0"/>
          <w:numId w:val="2"/>
        </w:numPr>
        <w:spacing w:after="90"/>
      </w:pPr>
      <w:r>
        <w:rPr>
          <w:rFonts w:ascii="Calibri" w:cs="Calibri" w:eastAsia="Calibri" w:hAnsi="Calibri"/>
          <w:color w:val="222222"/>
          <w:sz w:val="22"/>
          <w:szCs w:val="22"/>
        </w:rPr>
        <w:t xml:space="preserve">Week 2 — Data mastery: practice dot-walking, transform functions, and Look Up Record(s) against real table relationships in a PDI.</w:t>
      </w:r>
    </w:p>
    <w:p>
      <w:pPr>
        <w:pStyle w:val="ListParagraph"/>
        <w:numPr>
          <w:ilvl w:val="0"/>
          <w:numId w:val="2"/>
        </w:numPr>
        <w:spacing w:after="90"/>
      </w:pPr>
      <w:r>
        <w:rPr>
          <w:rFonts w:ascii="Calibri" w:cs="Calibri" w:eastAsia="Calibri" w:hAnsi="Calibri"/>
          <w:color w:val="222222"/>
          <w:sz w:val="22"/>
          <w:szCs w:val="22"/>
        </w:rPr>
        <w:t xml:space="preserve">Week 3 — Flow Logic: build flows using If/Else If/Else, For Each over a Look Up Records result, and Wait For Condition.</w:t>
      </w:r>
    </w:p>
    <w:p>
      <w:pPr>
        <w:pStyle w:val="ListParagraph"/>
        <w:numPr>
          <w:ilvl w:val="0"/>
          <w:numId w:val="2"/>
        </w:numPr>
        <w:spacing w:after="90"/>
      </w:pPr>
      <w:r>
        <w:rPr>
          <w:rFonts w:ascii="Calibri" w:cs="Calibri" w:eastAsia="Calibri" w:hAnsi="Calibri"/>
          <w:color w:val="222222"/>
          <w:sz w:val="22"/>
          <w:szCs w:val="22"/>
        </w:rPr>
        <w:t xml:space="preserve">Week 4 — Tasks and approvals: build a multi-task fulfillment flow with sequential and parallel task patterns, plus an Ask For Approval branch.</w:t>
      </w:r>
    </w:p>
    <w:p>
      <w:pPr>
        <w:pStyle w:val="ListParagraph"/>
        <w:numPr>
          <w:ilvl w:val="0"/>
          <w:numId w:val="2"/>
        </w:numPr>
        <w:spacing w:after="90"/>
      </w:pPr>
      <w:r>
        <w:rPr>
          <w:rFonts w:ascii="Calibri" w:cs="Calibri" w:eastAsia="Calibri" w:hAnsi="Calibri"/>
          <w:color w:val="222222"/>
          <w:sz w:val="22"/>
          <w:szCs w:val="22"/>
        </w:rPr>
        <w:t xml:space="preserve">Week 5 — Reusability: extract a Subflow from an existing flow; build a Custom Action in Action Designer for one script-heavy step.</w:t>
      </w:r>
    </w:p>
    <w:p>
      <w:pPr>
        <w:pStyle w:val="ListParagraph"/>
        <w:numPr>
          <w:ilvl w:val="0"/>
          <w:numId w:val="2"/>
        </w:numPr>
        <w:spacing w:after="90"/>
      </w:pPr>
      <w:r>
        <w:rPr>
          <w:rFonts w:ascii="Calibri" w:cs="Calibri" w:eastAsia="Calibri" w:hAnsi="Calibri"/>
          <w:color w:val="222222"/>
          <w:sz w:val="22"/>
          <w:szCs w:val="22"/>
        </w:rPr>
        <w:t xml:space="preserve">Week 6 — Production readiness: add Try/Catch error handling, correlation-ID logging, and review the Common Pitfalls checklist against every flow you built.</w:t>
      </w:r>
    </w:p>
    <w:p>
      <w:pPr>
        <w:pStyle w:val="Heading2"/>
        <w:spacing w:after="160" w:before="320"/>
      </w:pPr>
      <w:r>
        <w:rPr>
          <w:rFonts w:ascii="Cambria" w:cs="Cambria" w:eastAsia="Cambria" w:hAnsi="Cambria"/>
          <w:b/>
          <w:bCs/>
          <w:color w:val="127475"/>
          <w:sz w:val="26"/>
          <w:szCs w:val="26"/>
        </w:rPr>
        <w:t xml:space="preserve">14.2 Hands-On Practice Ideas</w:t>
      </w:r>
    </w:p>
    <w:p>
      <w:pPr>
        <w:pStyle w:val="ListParagraph"/>
        <w:numPr>
          <w:ilvl w:val="0"/>
          <w:numId w:val="3"/>
        </w:numPr>
        <w:spacing w:after="90"/>
      </w:pPr>
      <w:r>
        <w:rPr>
          <w:rFonts w:ascii="Calibri" w:cs="Calibri" w:eastAsia="Calibri" w:hAnsi="Calibri"/>
          <w:color w:val="222222"/>
          <w:sz w:val="22"/>
          <w:szCs w:val="22"/>
        </w:rPr>
        <w:t xml:space="preserve">Auto-create a Problem record and linked Change Task when an Incident is marked Critical and unresolved after 4 hours.</w:t>
      </w:r>
    </w:p>
    <w:p>
      <w:pPr>
        <w:pStyle w:val="ListParagraph"/>
        <w:numPr>
          <w:ilvl w:val="0"/>
          <w:numId w:val="3"/>
        </w:numPr>
        <w:spacing w:after="90"/>
      </w:pPr>
      <w:r>
        <w:rPr>
          <w:rFonts w:ascii="Calibri" w:cs="Calibri" w:eastAsia="Calibri" w:hAnsi="Calibri"/>
          <w:color w:val="222222"/>
          <w:sz w:val="22"/>
          <w:szCs w:val="22"/>
        </w:rPr>
        <w:t xml:space="preserve">A catalog item request flow: approval → parallel provisioning tasks → notification on completion.</w:t>
      </w:r>
    </w:p>
    <w:p>
      <w:pPr>
        <w:pStyle w:val="ListParagraph"/>
        <w:numPr>
          <w:ilvl w:val="0"/>
          <w:numId w:val="3"/>
        </w:numPr>
        <w:spacing w:after="90"/>
      </w:pPr>
      <w:r>
        <w:rPr>
          <w:rFonts w:ascii="Calibri" w:cs="Calibri" w:eastAsia="Calibri" w:hAnsi="Calibri"/>
          <w:color w:val="222222"/>
          <w:sz w:val="22"/>
          <w:szCs w:val="22"/>
        </w:rPr>
        <w:t xml:space="preserve">A subflow-based escalation library reused across Incident, Change, and a custom HR case table.</w:t>
      </w:r>
    </w:p>
    <w:p>
      <w:pPr>
        <w:pStyle w:val="Heading2"/>
        <w:spacing w:after="160" w:before="320"/>
      </w:pPr>
      <w:r>
        <w:rPr>
          <w:rFonts w:ascii="Cambria" w:cs="Cambria" w:eastAsia="Cambria" w:hAnsi="Cambria"/>
          <w:b/>
          <w:bCs/>
          <w:color w:val="127475"/>
          <w:sz w:val="26"/>
          <w:szCs w:val="26"/>
        </w:rPr>
        <w:t xml:space="preserve">14.3 Where This Fits Certification-wise</w:t>
      </w:r>
    </w:p>
    <w:p>
      <w:pPr>
        <w:spacing w:after="160" w:line="276"/>
      </w:pPr>
      <w:r>
        <w:rPr>
          <w:rFonts w:ascii="Calibri" w:cs="Calibri" w:eastAsia="Calibri" w:hAnsi="Calibri"/>
          <w:color w:val="222222"/>
          <w:sz w:val="22"/>
          <w:szCs w:val="22"/>
        </w:rPr>
        <w:t xml:space="preserve">Flow Designer proficiency is core material within the ServiceNow Certified Application Developer (CAD) track and is also exercised in Certified System Administrator (CSA) material at a foundational level. Hands-on PDI practice, not passive reading, is the fastest path from familiarity to real confidence — build every example in this guide yourself before moving to the next part.</w:t>
      </w:r>
    </w:p>
    <w:p>
      <w:pPr>
        <w:spacing w:after="300"/>
      </w:pPr>
    </w:p>
    <w:p>
      <w:pPr>
        <w:pBdr>
          <w:top w:val="single" w:color="B8912F" w:sz="8" w:space="8"/>
        </w:pBdr>
        <w:spacing w:before="200"/>
        <w:jc w:val="center"/>
      </w:pPr>
      <w:r>
        <w:rPr>
          <w:rFonts w:ascii="Calibri" w:cs="Calibri" w:eastAsia="Calibri" w:hAnsi="Calibri"/>
          <w:i/>
          <w:iCs/>
          <w:color w:val="1F3864"/>
          <w:sz w:val="20"/>
          <w:szCs w:val="20"/>
        </w:rPr>
        <w:t xml:space="preserve">Guide compiled and maintained by V. Mahamadh Basha — ServiceNow CSA &amp; CAD Certified</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27475" w:sz="6" w:space="4"/>
      </w:pBdr>
      <w:jc w:val="center"/>
    </w:pPr>
    <w:r>
      <w:rPr>
        <w:rFonts w:ascii="Calibri" w:cs="Calibri" w:eastAsia="Calibri" w:hAnsi="Calibri"/>
        <w:color w:val="222222"/>
        <w:sz w:val="16"/>
        <w:szCs w:val="16"/>
      </w:rPr>
      <w:t xml:space="preserve">Page </w:t>
    </w:r>
    <w:r>
      <w:rPr>
        <w:rFonts w:ascii="Calibri" w:cs="Calibri" w:eastAsia="Calibri" w:hAnsi="Calibri"/>
        <w:color w:val="222222"/>
        <w:sz w:val="16"/>
        <w:szCs w:val="16"/>
      </w:rPr>
      <w:fldChar w:fldCharType="begin"/>
      <w:instrText xml:space="preserve">PAGE</w:instrText>
      <w:fldChar w:fldCharType="separate"/>
      <w:fldChar w:fldCharType="end"/>
    </w:r>
    <w:r>
      <w:rPr>
        <w:rFonts w:ascii="Calibri" w:cs="Calibri" w:eastAsia="Calibri" w:hAnsi="Calibri"/>
        <w:color w:val="222222"/>
        <w:sz w:val="16"/>
        <w:szCs w:val="16"/>
      </w:rPr>
      <w:t xml:space="preserve"> of </w:t>
    </w:r>
    <w:r>
      <w:rPr>
        <w:rFonts w:ascii="Calibri" w:cs="Calibri" w:eastAsia="Calibri" w:hAnsi="Calibri"/>
        <w:color w:val="222222"/>
        <w:sz w:val="16"/>
        <w:szCs w:val="16"/>
      </w:rPr>
      <w:fldChar w:fldCharType="begin"/>
      <w:instrText xml:space="preserve">NUMPAGES</w:instrText>
      <w:fldChar w:fldCharType="separate"/>
      <w:fldChar w:fldCharType="end"/>
    </w:r>
    <w:r>
      <w:rPr>
        <w:rFonts w:ascii="Calibri" w:cs="Calibri" w:eastAsia="Calibri" w:hAnsi="Calibri"/>
        <w:i/>
        <w:iCs/>
        <w:color w:val="B8912F"/>
        <w:sz w:val="16"/>
        <w:szCs w:val="16"/>
      </w:rPr>
      <w:t xml:space="preserve">   |   Navy · Teal · Gold Edition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27475" w:sz="6" w:space="4"/>
      </w:pBdr>
      <w:tabs>
        <w:tab w:val="right" w:pos="9026"/>
      </w:tabs>
    </w:pPr>
    <w:r>
      <w:rPr>
        <w:rFonts w:ascii="Calibri" w:cs="Calibri" w:eastAsia="Calibri" w:hAnsi="Calibri"/>
        <w:b/>
        <w:bCs/>
        <w:color w:val="1F3864"/>
        <w:sz w:val="16"/>
        <w:szCs w:val="16"/>
      </w:rPr>
      <w:t xml:space="preserve">ServiceNow Flow Designer — Complete Mastery Guide</w:t>
    </w:r>
    <w:r>
      <w:t xml:space="preserve">	</w:t>
    </w:r>
    <w:r>
      <w:rPr>
        <w:rFonts w:ascii="Calibri" w:cs="Calibri" w:eastAsia="Calibri" w:hAnsi="Calibri"/>
        <w:color w:val="127475"/>
        <w:sz w:val="16"/>
        <w:szCs w:val="16"/>
      </w:rPr>
      <w:t xml:space="preserve">V. Mahamadh Basha | CSA · CAD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2026-07-10T14:46:29.886Z</dcterms:created>
  <dcterms:modified xsi:type="dcterms:W3CDTF">2026-07-10T14:46:29.899Z</dcterms:modified>
</cp:coreProperties>
</file>

<file path=docProps/custom.xml><?xml version="1.0" encoding="utf-8"?>
<Properties xmlns="http://schemas.openxmlformats.org/officeDocument/2006/custom-properties" xmlns:vt="http://schemas.openxmlformats.org/officeDocument/2006/docPropsVTypes"/>
</file>