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cs="Times New Roman"/>
          <w:b/>
          <w:sz w:val="28"/>
        </w:rPr>
        <w:t>КИЇВСЬКИЙ НАЦІОНАЛЬНИЙ УНІВЕРСИТЕТ ІМЕНІ ТАРАСА ШЕВЧЕНКА</w:t>
      </w:r>
    </w:p>
    <w:p>
      <w:pPr>
        <w:spacing w:line="360" w:lineRule="auto" w:before="0" w:after="0"/>
        <w:ind w:firstLine="0"/>
        <w:jc w:val="center"/>
      </w:pPr>
      <w:r>
        <w:rPr>
          <w:rFonts w:ascii="Times New Roman" w:hAnsi="Times New Roman" w:cs="Times New Roman"/>
          <w:b w:val="0"/>
          <w:sz w:val="28"/>
        </w:rPr>
        <w:t>Факультет комп’ютерних наук та кібернетики</w:t>
      </w:r>
    </w:p>
    <w:p>
      <w:pPr>
        <w:spacing w:line="360" w:lineRule="auto" w:before="0" w:after="480"/>
        <w:ind w:firstLine="0"/>
        <w:jc w:val="center"/>
      </w:pPr>
      <w:r>
        <w:rPr>
          <w:rFonts w:ascii="Times New Roman" w:hAnsi="Times New Roman" w:cs="Times New Roman"/>
          <w:b w:val="0"/>
          <w:sz w:val="28"/>
        </w:rPr>
        <w:t>Кафедра теоретичної кібернетики</w:t>
      </w:r>
    </w:p>
    <w:p>
      <w:pPr>
        <w:spacing w:line="360" w:lineRule="auto" w:before="0" w:after="0"/>
        <w:ind w:firstLine="0"/>
        <w:jc w:val="center"/>
      </w:pPr>
      <w:r>
        <w:rPr>
          <w:rFonts w:ascii="Times New Roman" w:hAnsi="Times New Roman" w:cs="Times New Roman"/>
          <w:b w:val="0"/>
          <w:sz w:val="28"/>
        </w:rPr>
        <w:t>Кваліфікаційна робота</w:t>
      </w:r>
    </w:p>
    <w:p>
      <w:pPr>
        <w:spacing w:line="360" w:lineRule="auto" w:before="0" w:after="0"/>
        <w:ind w:firstLine="0"/>
        <w:jc w:val="center"/>
      </w:pPr>
      <w:r>
        <w:rPr>
          <w:rFonts w:ascii="Times New Roman" w:hAnsi="Times New Roman" w:cs="Times New Roman"/>
          <w:b w:val="0"/>
          <w:sz w:val="28"/>
        </w:rPr>
        <w:t>на здобуття ступеня бакалавра</w:t>
      </w:r>
    </w:p>
    <w:p>
      <w:pPr>
        <w:spacing w:line="360" w:lineRule="auto" w:before="0" w:after="360"/>
        <w:ind w:firstLine="0"/>
        <w:jc w:val="center"/>
      </w:pPr>
      <w:r>
        <w:rPr>
          <w:rFonts w:ascii="Times New Roman" w:hAnsi="Times New Roman" w:cs="Times New Roman"/>
          <w:b w:val="0"/>
          <w:sz w:val="28"/>
        </w:rPr>
        <w:t>за спеціальністю 122 Комп’ютерні науки</w:t>
      </w:r>
    </w:p>
    <w:p>
      <w:pPr>
        <w:spacing w:line="360" w:lineRule="auto" w:before="0" w:after="0"/>
        <w:ind w:firstLine="0"/>
        <w:jc w:val="center"/>
      </w:pPr>
      <w:r>
        <w:rPr>
          <w:rFonts w:ascii="Times New Roman" w:hAnsi="Times New Roman" w:cs="Times New Roman"/>
          <w:b w:val="0"/>
          <w:sz w:val="28"/>
        </w:rPr>
        <w:t>на тему:</w:t>
      </w:r>
    </w:p>
    <w:p>
      <w:pPr>
        <w:spacing w:line="360" w:lineRule="auto" w:before="0" w:after="480"/>
        <w:ind w:firstLine="0"/>
        <w:jc w:val="center"/>
      </w:pPr>
      <w:r>
        <w:rPr>
          <w:rFonts w:ascii="Times New Roman" w:hAnsi="Times New Roman" w:cs="Times New Roman"/>
          <w:b/>
          <w:sz w:val="28"/>
        </w:rPr>
        <w:t>УНІФІКОВАНА СИСТЕМА ОБРОБКИ ТА КЛАСИФІКАЦІЇ ЕКГ-СИГНАЛІВ РІЗНИХ ФОРМАТІВ З ВИКОРИСТАННЯМ МЕТОДІВ МАШИННОГО НАВЧАННЯ</w:t>
      </w:r>
    </w:p>
    <w:p>
      <w:pPr>
        <w:spacing w:line="288" w:lineRule="auto" w:after="240"/>
        <w:ind w:firstLine="0" w:left="4535"/>
        <w:jc w:val="left"/>
      </w:pPr>
      <w:r>
        <w:rPr>
          <w:rFonts w:ascii="Times New Roman" w:hAnsi="Times New Roman" w:cs="Times New Roman"/>
          <w:sz w:val="26"/>
        </w:rPr>
        <w:t>Виконав студент 4-го курсу</w:t>
      </w:r>
      <w:r>
        <w:rPr>
          <w:rFonts w:ascii="Times New Roman" w:hAnsi="Times New Roman" w:cs="Times New Roman"/>
          <w:sz w:val="26"/>
        </w:rPr>
        <w:br/>
        <w:t>ОПП «Інформатика»</w:t>
      </w:r>
      <w:r>
        <w:rPr>
          <w:rFonts w:ascii="Times New Roman" w:hAnsi="Times New Roman" w:cs="Times New Roman"/>
          <w:sz w:val="26"/>
        </w:rPr>
        <w:br/>
        <w:t>групи ТК-41</w:t>
      </w:r>
      <w:r>
        <w:rPr>
          <w:rFonts w:ascii="Times New Roman" w:hAnsi="Times New Roman" w:cs="Times New Roman"/>
          <w:sz w:val="26"/>
        </w:rPr>
        <w:br/>
        <w:t>Макаренко Вадим Анатолійович</w:t>
      </w:r>
      <w:r>
        <w:rPr>
          <w:rFonts w:ascii="Times New Roman" w:hAnsi="Times New Roman" w:cs="Times New Roman"/>
          <w:sz w:val="26"/>
        </w:rPr>
        <w:br/>
        <w:t>______________ (підпис)</w:t>
      </w:r>
    </w:p>
    <w:p>
      <w:pPr>
        <w:spacing w:line="288" w:lineRule="auto" w:after="240"/>
        <w:ind w:firstLine="0" w:left="4535"/>
        <w:jc w:val="left"/>
      </w:pPr>
      <w:r>
        <w:rPr>
          <w:rFonts w:ascii="Times New Roman" w:hAnsi="Times New Roman" w:cs="Times New Roman"/>
          <w:sz w:val="26"/>
        </w:rPr>
        <w:t>Науковий керівник:</w:t>
      </w:r>
      <w:r>
        <w:rPr>
          <w:rFonts w:ascii="Times New Roman" w:hAnsi="Times New Roman" w:cs="Times New Roman"/>
          <w:sz w:val="26"/>
        </w:rPr>
        <w:br/>
        <w:t>завідувач кафедри теоретичної кібернетики,</w:t>
      </w:r>
      <w:r>
        <w:rPr>
          <w:rFonts w:ascii="Times New Roman" w:hAnsi="Times New Roman" w:cs="Times New Roman"/>
          <w:sz w:val="26"/>
        </w:rPr>
        <w:br/>
        <w:t>доктор фізико-математичних наук, професор,</w:t>
      </w:r>
      <w:r>
        <w:rPr>
          <w:rFonts w:ascii="Times New Roman" w:hAnsi="Times New Roman" w:cs="Times New Roman"/>
          <w:sz w:val="26"/>
        </w:rPr>
        <w:br/>
        <w:t>член-кореспондент НАН України</w:t>
      </w:r>
      <w:r>
        <w:rPr>
          <w:rFonts w:ascii="Times New Roman" w:hAnsi="Times New Roman" w:cs="Times New Roman"/>
          <w:sz w:val="26"/>
        </w:rPr>
        <w:br/>
        <w:t>Крак Юрій Васильович</w:t>
      </w:r>
      <w:r>
        <w:rPr>
          <w:rFonts w:ascii="Times New Roman" w:hAnsi="Times New Roman" w:cs="Times New Roman"/>
          <w:sz w:val="26"/>
        </w:rPr>
        <w:br/>
        <w:t>______________ (підпис)</w:t>
      </w:r>
    </w:p>
    <w:p>
      <w:pPr>
        <w:spacing w:line="288" w:lineRule="auto" w:after="240"/>
        <w:ind w:firstLine="0" w:left="4535"/>
        <w:jc w:val="left"/>
      </w:pPr>
      <w:r>
        <w:rPr>
          <w:rFonts w:ascii="Times New Roman" w:hAnsi="Times New Roman" w:cs="Times New Roman"/>
          <w:sz w:val="26"/>
        </w:rPr>
        <w:t>Засвідчую, що в цій роботі немає запозичень</w:t>
      </w:r>
      <w:r>
        <w:rPr>
          <w:rFonts w:ascii="Times New Roman" w:hAnsi="Times New Roman" w:cs="Times New Roman"/>
          <w:sz w:val="26"/>
        </w:rPr>
        <w:br/>
        <w:t>з праць інших авторів без відповідних посилань.</w:t>
      </w:r>
      <w:r>
        <w:rPr>
          <w:rFonts w:ascii="Times New Roman" w:hAnsi="Times New Roman" w:cs="Times New Roman"/>
          <w:sz w:val="26"/>
        </w:rPr>
        <w:br/>
        <w:t>Студент ______________ (підпис)</w:t>
      </w:r>
    </w:p>
    <w:p>
      <w:pPr>
        <w:spacing w:line="360" w:lineRule="auto" w:before="120" w:after="0"/>
        <w:ind w:firstLine="0"/>
        <w:jc w:val="center"/>
      </w:pPr>
      <w:r>
        <w:rPr>
          <w:rFonts w:ascii="Times New Roman" w:hAnsi="Times New Roman" w:cs="Times New Roman"/>
          <w:b w:val="0"/>
          <w:sz w:val="24"/>
        </w:rPr>
        <w:t>Роботу розглянуто й допущено до захисту на засіданні</w:t>
      </w:r>
    </w:p>
    <w:p>
      <w:pPr>
        <w:spacing w:line="360" w:lineRule="auto" w:before="0" w:after="0"/>
        <w:ind w:firstLine="0"/>
        <w:jc w:val="center"/>
      </w:pPr>
      <w:r>
        <w:rPr>
          <w:rFonts w:ascii="Times New Roman" w:hAnsi="Times New Roman" w:cs="Times New Roman"/>
          <w:b w:val="0"/>
          <w:sz w:val="24"/>
        </w:rPr>
        <w:t>кафедри теоретичної кібернетики</w:t>
      </w:r>
    </w:p>
    <w:p>
      <w:pPr>
        <w:spacing w:line="360" w:lineRule="auto" w:before="0" w:after="0"/>
        <w:ind w:firstLine="0"/>
        <w:jc w:val="center"/>
      </w:pPr>
      <w:r>
        <w:rPr>
          <w:rFonts w:ascii="Times New Roman" w:hAnsi="Times New Roman" w:cs="Times New Roman"/>
          <w:b w:val="0"/>
          <w:sz w:val="24"/>
        </w:rPr>
        <w:t>«____» ______________ 2026 р., протокол № ____</w:t>
      </w:r>
    </w:p>
    <w:p>
      <w:pPr>
        <w:spacing w:line="360" w:lineRule="auto" w:before="120" w:after="0"/>
        <w:ind w:firstLine="0"/>
        <w:jc w:val="center"/>
      </w:pPr>
      <w:r>
        <w:rPr>
          <w:rFonts w:ascii="Times New Roman" w:hAnsi="Times New Roman" w:cs="Times New Roman"/>
          <w:b w:val="0"/>
          <w:sz w:val="24"/>
        </w:rPr>
        <w:t>Завідувач кафедри теоретичної кібернетики</w:t>
      </w:r>
    </w:p>
    <w:p>
      <w:pPr>
        <w:spacing w:line="360" w:lineRule="auto" w:before="0" w:after="0"/>
        <w:ind w:firstLine="0"/>
        <w:jc w:val="center"/>
      </w:pPr>
      <w:r>
        <w:rPr>
          <w:rFonts w:ascii="Times New Roman" w:hAnsi="Times New Roman" w:cs="Times New Roman"/>
          <w:b w:val="0"/>
          <w:sz w:val="24"/>
        </w:rPr>
        <w:t>доктор фізико-математичних наук, професор Юрій КРАК   ______________</w:t>
      </w:r>
    </w:p>
    <w:p>
      <w:pPr>
        <w:spacing w:line="360" w:lineRule="auto" w:before="0" w:after="240"/>
        <w:ind w:firstLine="0"/>
        <w:jc w:val="center"/>
      </w:pPr>
      <w:r>
        <w:rPr>
          <w:rFonts w:ascii="Times New Roman" w:hAnsi="Times New Roman" w:cs="Times New Roman"/>
          <w:b w:val="0"/>
          <w:sz w:val="22"/>
        </w:rPr>
        <w:t>(підпис)</w:t>
      </w:r>
    </w:p>
    <w:p>
      <w:pPr>
        <w:spacing w:line="360" w:lineRule="auto" w:before="360" w:after="0"/>
        <w:ind w:firstLine="0"/>
        <w:jc w:val="center"/>
      </w:pPr>
      <w:r>
        <w:rPr>
          <w:rFonts w:ascii="Times New Roman" w:hAnsi="Times New Roman" w:cs="Times New Roman"/>
          <w:b/>
          <w:sz w:val="28"/>
        </w:rPr>
        <w:t>КИЇВ 2026</w:t>
      </w:r>
    </w:p>
    <w:p>
      <w:pPr>
        <w:pStyle w:val="Heading1"/>
        <w:pageBreakBefore/>
        <w:ind w:firstLine="0"/>
        <w:jc w:val="center"/>
      </w:pPr>
      <w:r>
        <w:rPr>
          <w:rFonts w:ascii="Times New Roman" w:hAnsi="Times New Roman" w:cs="Times New Roman"/>
          <w:b/>
          <w:color w:val="000000"/>
          <w:sz w:val="28"/>
        </w:rPr>
        <w:t>РЕФЕРАТ</w:t>
      </w:r>
    </w:p>
    <w:p>
      <w:pPr>
        <w:spacing w:line="360" w:lineRule="auto" w:after="0"/>
        <w:ind w:firstLine="720"/>
        <w:jc w:val="both"/>
      </w:pPr>
      <w:r>
        <w:rPr>
          <w:rFonts w:ascii="Times New Roman" w:hAnsi="Times New Roman" w:cs="Times New Roman"/>
          <w:b w:val="0"/>
          <w:i w:val="0"/>
          <w:sz w:val="28"/>
        </w:rPr>
        <w:t>Обсяг роботи становить 50 сторінок основного тексту, робота містить 21 рисунок, 7 таблиць і 27 джерел посилання.</w:t>
      </w:r>
    </w:p>
    <w:p>
      <w:pPr>
        <w:spacing w:line="360" w:lineRule="auto" w:after="0"/>
        <w:ind w:firstLine="720"/>
        <w:jc w:val="both"/>
      </w:pPr>
      <w:r>
        <w:rPr>
          <w:rFonts w:ascii="Times New Roman" w:hAnsi="Times New Roman" w:cs="Times New Roman"/>
          <w:b/>
          <w:i w:val="0"/>
          <w:sz w:val="28"/>
        </w:rPr>
        <w:t>АРИТМІЯ, БАГАТОФОРМАТНА ОБРОБКА, ГІБРИДНИЙ КЛАСИФІКАТОР, ГРАДІЄНТНИЙ БУСТИНГ, ДЕТЕКЦІЯ R-ПІКІВ, ЕЛЕКТРОКАРДІОГРАФІЯ, ЗГОРТКОВА НЕЙРОННА МЕРЕЖА, КЛАСИФІКАЦІЯ СЕРЦЕВИХ СКОРОЧЕНЬ, МАШИННЕ НАВЧАННЯ, СТАНДАРТ AAMI, MIT-BIH, PYTHON.</w:t>
      </w:r>
    </w:p>
    <w:p>
      <w:pPr>
        <w:spacing w:line="360" w:lineRule="auto" w:after="0"/>
        <w:ind w:firstLine="720"/>
        <w:jc w:val="both"/>
      </w:pPr>
      <w:r>
        <w:rPr>
          <w:rFonts w:ascii="Times New Roman" w:hAnsi="Times New Roman" w:cs="Times New Roman"/>
          <w:b w:val="0"/>
          <w:i w:val="0"/>
          <w:sz w:val="28"/>
        </w:rPr>
        <w:t>Об’єктом дослідження є електрокардіографічні сигнали та процес автоматичної класифікації серцевих скорочень за їхнім типом.</w:t>
      </w:r>
    </w:p>
    <w:p>
      <w:pPr>
        <w:spacing w:line="360" w:lineRule="auto" w:after="0"/>
        <w:ind w:firstLine="720"/>
        <w:jc w:val="both"/>
      </w:pPr>
      <w:r>
        <w:rPr>
          <w:rFonts w:ascii="Times New Roman" w:hAnsi="Times New Roman" w:cs="Times New Roman"/>
          <w:b w:val="0"/>
          <w:i w:val="0"/>
          <w:sz w:val="28"/>
        </w:rPr>
        <w:t>Предметом дослідження є методи та алгоритми уніфікованого зчитування ЕКГ-сигналів різних форматів, виділення ознак окремих ударів і класифікації цих ударів за номенклатурою стандарту ANSI/AAMI EC57 із застосуванням класичного та глибокого машинного навчання.</w:t>
      </w:r>
    </w:p>
    <w:p>
      <w:pPr>
        <w:spacing w:line="360" w:lineRule="auto" w:after="0"/>
        <w:ind w:firstLine="720"/>
        <w:jc w:val="both"/>
      </w:pPr>
      <w:r>
        <w:rPr>
          <w:rFonts w:ascii="Times New Roman" w:hAnsi="Times New Roman" w:cs="Times New Roman"/>
          <w:b w:val="0"/>
          <w:i w:val="0"/>
          <w:sz w:val="28"/>
        </w:rPr>
        <w:t>Мета роботи полягає в розробленні єдиної програмної системи, яка приймає ЕКГ-записи в кількох поширених форматах, зводить їх до спільного внутрішнього подання й виконує класифікацію серцевих скорочень на п’ять діагностичних класів навченою моделлю машинного навчання, а також у кількісній перевірці того, що якість класифікації зберігається після перетворення між форматами.</w:t>
      </w:r>
    </w:p>
    <w:p>
      <w:pPr>
        <w:spacing w:line="360" w:lineRule="auto" w:after="0"/>
        <w:ind w:firstLine="720"/>
        <w:jc w:val="both"/>
      </w:pPr>
      <w:r>
        <w:rPr>
          <w:rFonts w:ascii="Times New Roman" w:hAnsi="Times New Roman" w:cs="Times New Roman"/>
          <w:b w:val="0"/>
          <w:i w:val="0"/>
          <w:sz w:val="28"/>
        </w:rPr>
        <w:t>Методи дослідження: цифрова обробка біомедичних сигналів, вейвлет-аналіз, статистичний аналіз часових рядів, методи класичного машинного навчання (градієнтний бустинг, випадковий ліс, метод опорних векторів) та глибокого навчання (одновимірні згорткові та рекурентні нейронні мережі), ансамблеве навчання з пізнім злиттям. Інструменти розроблення: мова Python з бібліотеками NumPy, SciPy, scikit-learn, XGBoost, PyTorch, PyWavelets, wfdb, pyedflib, pydicom, FastAPI.</w:t>
      </w:r>
    </w:p>
    <w:p>
      <w:pPr>
        <w:spacing w:line="360" w:lineRule="auto" w:after="0"/>
        <w:ind w:firstLine="720"/>
        <w:jc w:val="both"/>
      </w:pPr>
      <w:r>
        <w:rPr>
          <w:rFonts w:ascii="Times New Roman" w:hAnsi="Times New Roman" w:cs="Times New Roman"/>
          <w:b w:val="0"/>
          <w:i w:val="0"/>
          <w:sz w:val="28"/>
        </w:rPr>
        <w:t>Результати роботи. Монолітний прототип, успадкований від попередньої курсової роботи, переструктуровано в модульний пакет ekg із розділенням шарів зчитування форматів, обробки сигналу, виділення ознак, моделей і сервісів. Реалізовано повний конвеєр навчання та оцінювання на базі MIT-BIH Arrhythmia Database за міжпацієнтним поділом DS1/DS2. Реалізовано та порівняно сім моделей; найкращі результати показав метод опорних векторів на двовідвідних ознаках (macro-F1 0,466, повнота за зливними скороченнями 0,90). Сформульовано дві складові наукової новизни: двопотоковий гібридний класифікатор із пізнім злиттям, який поєднує ознаковий і сигнальний потоки й піднімає повноту за зливними скороченнями недонавченої згорткової мережі з 0,07 до 0,89, наближаючи її до рівня найкращої моделі, та бенчмарк багатоформатної стійкості, який доводить, що перетворення сигналу через формати CSV і EDF не погіршує якість класифікації (узгодженість міток 100 % для CSV і не менше 99,3 % для EDF). Систему доповнено REST-API та інтерфейсом командного рядка.</w:t>
      </w:r>
    </w:p>
    <w:p>
      <w:pPr>
        <w:spacing w:line="360" w:lineRule="auto" w:after="0"/>
        <w:ind w:firstLine="720"/>
        <w:jc w:val="both"/>
      </w:pPr>
      <w:r>
        <w:rPr>
          <w:rFonts w:ascii="Times New Roman" w:hAnsi="Times New Roman" w:cs="Times New Roman"/>
          <w:b w:val="0"/>
          <w:i w:val="0"/>
          <w:sz w:val="28"/>
        </w:rPr>
        <w:t>Робота може застосовуватися для скринінгу серцево-судинних захворювань, у телемедичних системах і як основа для подальших досліджень з автоматичного аналізу ЕКГ.</w:t>
      </w:r>
    </w:p>
    <w:p>
      <w:pPr>
        <w:pStyle w:val="Heading1"/>
        <w:pageBreakBefore/>
        <w:ind w:firstLine="0"/>
        <w:jc w:val="center"/>
      </w:pPr>
      <w:r>
        <w:rPr>
          <w:rFonts w:ascii="Times New Roman" w:hAnsi="Times New Roman" w:cs="Times New Roman"/>
          <w:b/>
          <w:color w:val="000000"/>
          <w:sz w:val="28"/>
        </w:rPr>
        <w:t>ПЕРЕЛІК УМОВНИХ ПОЗНАЧЕНЬ, СКОРОЧЕНЬ І ТЕРМІНІВ</w:t>
      </w:r>
    </w:p>
    <w:p>
      <w:pPr>
        <w:spacing w:line="360" w:lineRule="auto" w:after="0"/>
        <w:ind w:firstLine="720"/>
        <w:jc w:val="both"/>
      </w:pPr>
      <w:r>
        <w:rPr>
          <w:rFonts w:ascii="Times New Roman" w:hAnsi="Times New Roman" w:cs="Times New Roman"/>
          <w:b w:val="0"/>
          <w:i w:val="0"/>
          <w:sz w:val="28"/>
        </w:rPr>
        <w:t>Перелік подано за абеткою: спочатку скорочення українською абеткою, потім латинською.</w:t>
      </w:r>
    </w:p>
    <w:p>
      <w:pPr>
        <w:spacing w:line="360" w:lineRule="auto" w:after="0"/>
        <w:ind w:firstLine="720"/>
        <w:jc w:val="both"/>
      </w:pPr>
      <w:r>
        <w:rPr>
          <w:rFonts w:ascii="Times New Roman" w:hAnsi="Times New Roman" w:cs="Times New Roman"/>
          <w:sz w:val="28"/>
        </w:rPr>
        <w:t>ЕКГ — електрокардіограма, електрокардіографія;</w:t>
      </w:r>
    </w:p>
    <w:p>
      <w:pPr>
        <w:spacing w:line="360" w:lineRule="auto" w:after="0"/>
        <w:ind w:firstLine="720"/>
        <w:jc w:val="both"/>
      </w:pPr>
      <w:r>
        <w:rPr>
          <w:rFonts w:ascii="Times New Roman" w:hAnsi="Times New Roman" w:cs="Times New Roman"/>
          <w:sz w:val="28"/>
        </w:rPr>
        <w:t>AAMI — Association for the Advancement of Medical Instrumentation;</w:t>
      </w:r>
    </w:p>
    <w:p>
      <w:pPr>
        <w:spacing w:line="360" w:lineRule="auto" w:after="0"/>
        <w:ind w:firstLine="720"/>
        <w:jc w:val="both"/>
      </w:pPr>
      <w:r>
        <w:rPr>
          <w:rFonts w:ascii="Times New Roman" w:hAnsi="Times New Roman" w:cs="Times New Roman"/>
          <w:sz w:val="28"/>
        </w:rPr>
        <w:t>API — програмний інтерфейс застосунку (application programming interface);</w:t>
      </w:r>
    </w:p>
    <w:p>
      <w:pPr>
        <w:spacing w:line="360" w:lineRule="auto" w:after="0"/>
        <w:ind w:firstLine="720"/>
        <w:jc w:val="both"/>
      </w:pPr>
      <w:r>
        <w:rPr>
          <w:rFonts w:ascii="Times New Roman" w:hAnsi="Times New Roman" w:cs="Times New Roman"/>
          <w:sz w:val="28"/>
        </w:rPr>
        <w:t>AUC — площа під ROC-кривою (area under curve);</w:t>
      </w:r>
    </w:p>
    <w:p>
      <w:pPr>
        <w:spacing w:line="360" w:lineRule="auto" w:after="0"/>
        <w:ind w:firstLine="720"/>
        <w:jc w:val="both"/>
      </w:pPr>
      <w:r>
        <w:rPr>
          <w:rFonts w:ascii="Times New Roman" w:hAnsi="Times New Roman" w:cs="Times New Roman"/>
          <w:sz w:val="28"/>
        </w:rPr>
        <w:t>BiLSTM — двонапрямлена довга короткочасна пам’ять (bidirectional long short-term memory);</w:t>
      </w:r>
    </w:p>
    <w:p>
      <w:pPr>
        <w:spacing w:line="360" w:lineRule="auto" w:after="0"/>
        <w:ind w:firstLine="720"/>
        <w:jc w:val="both"/>
      </w:pPr>
      <w:r>
        <w:rPr>
          <w:rFonts w:ascii="Times New Roman" w:hAnsi="Times New Roman" w:cs="Times New Roman"/>
          <w:sz w:val="28"/>
        </w:rPr>
        <w:t>CLI — інтерфейс командного рядка (command-line interface);</w:t>
      </w:r>
    </w:p>
    <w:p>
      <w:pPr>
        <w:spacing w:line="360" w:lineRule="auto" w:after="0"/>
        <w:ind w:firstLine="720"/>
        <w:jc w:val="both"/>
      </w:pPr>
      <w:r>
        <w:rPr>
          <w:rFonts w:ascii="Times New Roman" w:hAnsi="Times New Roman" w:cs="Times New Roman"/>
          <w:sz w:val="28"/>
        </w:rPr>
        <w:t>CNN — згорткова нейронна мережа (convolutional neural network);</w:t>
      </w:r>
    </w:p>
    <w:p>
      <w:pPr>
        <w:spacing w:line="360" w:lineRule="auto" w:after="0"/>
        <w:ind w:firstLine="720"/>
        <w:jc w:val="both"/>
      </w:pPr>
      <w:r>
        <w:rPr>
          <w:rFonts w:ascii="Times New Roman" w:hAnsi="Times New Roman" w:cs="Times New Roman"/>
          <w:sz w:val="28"/>
        </w:rPr>
        <w:t>DICOM — Digital Imaging and Communications in Medicine;</w:t>
      </w:r>
    </w:p>
    <w:p>
      <w:pPr>
        <w:spacing w:line="360" w:lineRule="auto" w:after="0"/>
        <w:ind w:firstLine="720"/>
        <w:jc w:val="both"/>
      </w:pPr>
      <w:r>
        <w:rPr>
          <w:rFonts w:ascii="Times New Roman" w:hAnsi="Times New Roman" w:cs="Times New Roman"/>
          <w:sz w:val="28"/>
        </w:rPr>
        <w:t>DS1, DS2 — навчальна та тестова підмножини записів MIT-BIH за міжпацієнтним поділом de Chazal;</w:t>
      </w:r>
    </w:p>
    <w:p>
      <w:pPr>
        <w:spacing w:line="360" w:lineRule="auto" w:after="0"/>
        <w:ind w:firstLine="720"/>
        <w:jc w:val="both"/>
      </w:pPr>
      <w:r>
        <w:rPr>
          <w:rFonts w:ascii="Times New Roman" w:hAnsi="Times New Roman" w:cs="Times New Roman"/>
          <w:sz w:val="28"/>
        </w:rPr>
        <w:t>DWT — дискретне вейвлет-перетворення (discrete wavelet transform);</w:t>
      </w:r>
    </w:p>
    <w:p>
      <w:pPr>
        <w:spacing w:line="360" w:lineRule="auto" w:after="0"/>
        <w:ind w:firstLine="720"/>
        <w:jc w:val="both"/>
      </w:pPr>
      <w:r>
        <w:rPr>
          <w:rFonts w:ascii="Times New Roman" w:hAnsi="Times New Roman" w:cs="Times New Roman"/>
          <w:sz w:val="28"/>
        </w:rPr>
        <w:t>EDF/BDF — European Data Format / BioSemi Data Format;</w:t>
      </w:r>
    </w:p>
    <w:p>
      <w:pPr>
        <w:spacing w:line="360" w:lineRule="auto" w:after="0"/>
        <w:ind w:firstLine="720"/>
        <w:jc w:val="both"/>
      </w:pPr>
      <w:r>
        <w:rPr>
          <w:rFonts w:ascii="Times New Roman" w:hAnsi="Times New Roman" w:cs="Times New Roman"/>
          <w:sz w:val="28"/>
        </w:rPr>
        <w:t>F1 — гармонічне середнє точності та повноти;</w:t>
      </w:r>
    </w:p>
    <w:p>
      <w:pPr>
        <w:spacing w:line="360" w:lineRule="auto" w:after="0"/>
        <w:ind w:firstLine="720"/>
        <w:jc w:val="both"/>
      </w:pPr>
      <w:r>
        <w:rPr>
          <w:rFonts w:ascii="Times New Roman" w:hAnsi="Times New Roman" w:cs="Times New Roman"/>
          <w:sz w:val="28"/>
        </w:rPr>
        <w:t>GAP — глобальне середнє агрегування (global average pooling);</w:t>
      </w:r>
    </w:p>
    <w:p>
      <w:pPr>
        <w:spacing w:line="360" w:lineRule="auto" w:after="0"/>
        <w:ind w:firstLine="720"/>
        <w:jc w:val="both"/>
      </w:pPr>
      <w:r>
        <w:rPr>
          <w:rFonts w:ascii="Times New Roman" w:hAnsi="Times New Roman" w:cs="Times New Roman"/>
          <w:sz w:val="28"/>
        </w:rPr>
        <w:t>HL7 aECG — annotated ECG у стандарті Health Level Seven;</w:t>
      </w:r>
    </w:p>
    <w:p>
      <w:pPr>
        <w:spacing w:line="360" w:lineRule="auto" w:after="0"/>
        <w:ind w:firstLine="720"/>
        <w:jc w:val="both"/>
      </w:pPr>
      <w:r>
        <w:rPr>
          <w:rFonts w:ascii="Times New Roman" w:hAnsi="Times New Roman" w:cs="Times New Roman"/>
          <w:sz w:val="28"/>
        </w:rPr>
        <w:t>macro-F1 — усереднена за класами міра F1;</w:t>
      </w:r>
    </w:p>
    <w:p>
      <w:pPr>
        <w:spacing w:line="360" w:lineRule="auto" w:after="0"/>
        <w:ind w:firstLine="720"/>
        <w:jc w:val="both"/>
      </w:pPr>
      <w:r>
        <w:rPr>
          <w:rFonts w:ascii="Times New Roman" w:hAnsi="Times New Roman" w:cs="Times New Roman"/>
          <w:sz w:val="28"/>
        </w:rPr>
        <w:t>N, S, V, F, Q — суперкласи серцевих скорочень за стандартом AAMI EC57 (нормальні, надшлуночкові ектопічні, шлуночкові ектопічні, зливні, невизначені);</w:t>
      </w:r>
    </w:p>
    <w:p>
      <w:pPr>
        <w:spacing w:line="360" w:lineRule="auto" w:after="0"/>
        <w:ind w:firstLine="720"/>
        <w:jc w:val="both"/>
      </w:pPr>
      <w:r>
        <w:rPr>
          <w:rFonts w:ascii="Times New Roman" w:hAnsi="Times New Roman" w:cs="Times New Roman"/>
          <w:sz w:val="28"/>
        </w:rPr>
        <w:t>QRS — основний комплекс зубців шлуночкового збудження на ЕКГ;</w:t>
      </w:r>
    </w:p>
    <w:p>
      <w:pPr>
        <w:spacing w:line="360" w:lineRule="auto" w:after="0"/>
        <w:ind w:firstLine="720"/>
        <w:jc w:val="both"/>
      </w:pPr>
      <w:r>
        <w:rPr>
          <w:rFonts w:ascii="Times New Roman" w:hAnsi="Times New Roman" w:cs="Times New Roman"/>
          <w:sz w:val="28"/>
        </w:rPr>
        <w:t>ReLU — випрямлена лінійна функція активації (rectified linear unit);</w:t>
      </w:r>
    </w:p>
    <w:p>
      <w:pPr>
        <w:spacing w:line="360" w:lineRule="auto" w:after="0"/>
        <w:ind w:firstLine="720"/>
        <w:jc w:val="both"/>
      </w:pPr>
      <w:r>
        <w:rPr>
          <w:rFonts w:ascii="Times New Roman" w:hAnsi="Times New Roman" w:cs="Times New Roman"/>
          <w:sz w:val="28"/>
        </w:rPr>
        <w:t>REST — representational state transfer;</w:t>
      </w:r>
    </w:p>
    <w:p>
      <w:pPr>
        <w:spacing w:line="360" w:lineRule="auto" w:after="0"/>
        <w:ind w:firstLine="720"/>
        <w:jc w:val="both"/>
      </w:pPr>
      <w:r>
        <w:rPr>
          <w:rFonts w:ascii="Times New Roman" w:hAnsi="Times New Roman" w:cs="Times New Roman"/>
          <w:sz w:val="28"/>
        </w:rPr>
        <w:t>RF — випадковий ліс (random forest);</w:t>
      </w:r>
    </w:p>
    <w:p>
      <w:pPr>
        <w:spacing w:line="360" w:lineRule="auto" w:after="0"/>
        <w:ind w:firstLine="720"/>
        <w:jc w:val="both"/>
      </w:pPr>
      <w:r>
        <w:rPr>
          <w:rFonts w:ascii="Times New Roman" w:hAnsi="Times New Roman" w:cs="Times New Roman"/>
          <w:sz w:val="28"/>
        </w:rPr>
        <w:t>ROC — характеристична крива виявлення (receiver operating characteristic);</w:t>
      </w:r>
    </w:p>
    <w:p>
      <w:pPr>
        <w:spacing w:line="360" w:lineRule="auto" w:after="0"/>
        <w:ind w:firstLine="720"/>
        <w:jc w:val="both"/>
      </w:pPr>
      <w:r>
        <w:rPr>
          <w:rFonts w:ascii="Times New Roman" w:hAnsi="Times New Roman" w:cs="Times New Roman"/>
          <w:sz w:val="28"/>
        </w:rPr>
        <w:t>RR — інтервал між двома сусідніми R-піками;</w:t>
      </w:r>
    </w:p>
    <w:p>
      <w:pPr>
        <w:spacing w:line="360" w:lineRule="auto" w:after="0"/>
        <w:ind w:firstLine="720"/>
        <w:jc w:val="both"/>
      </w:pPr>
      <w:r>
        <w:rPr>
          <w:rFonts w:ascii="Times New Roman" w:hAnsi="Times New Roman" w:cs="Times New Roman"/>
          <w:sz w:val="28"/>
        </w:rPr>
        <w:t>SCP-ECG — Standard Communication Protocol for computer-assisted electrocardiography (EN 1064);</w:t>
      </w:r>
    </w:p>
    <w:p>
      <w:pPr>
        <w:spacing w:line="360" w:lineRule="auto" w:after="0"/>
        <w:ind w:firstLine="720"/>
        <w:jc w:val="both"/>
      </w:pPr>
      <w:r>
        <w:rPr>
          <w:rFonts w:ascii="Times New Roman" w:hAnsi="Times New Roman" w:cs="Times New Roman"/>
          <w:sz w:val="28"/>
        </w:rPr>
        <w:t>SVM — метод опорних векторів (support vector machine);</w:t>
      </w:r>
    </w:p>
    <w:p>
      <w:pPr>
        <w:spacing w:line="360" w:lineRule="auto" w:after="0"/>
        <w:ind w:firstLine="720"/>
        <w:jc w:val="both"/>
      </w:pPr>
      <w:r>
        <w:rPr>
          <w:rFonts w:ascii="Times New Roman" w:hAnsi="Times New Roman" w:cs="Times New Roman"/>
          <w:sz w:val="28"/>
        </w:rPr>
        <w:t>WFDB — формат і бібліотека PhysioNet (WaveForm DataBase);</w:t>
      </w:r>
    </w:p>
    <w:p>
      <w:pPr>
        <w:spacing w:line="360" w:lineRule="auto" w:after="0"/>
        <w:ind w:firstLine="720"/>
        <w:jc w:val="both"/>
      </w:pPr>
      <w:r>
        <w:rPr>
          <w:rFonts w:ascii="Times New Roman" w:hAnsi="Times New Roman" w:cs="Times New Roman"/>
          <w:sz w:val="28"/>
        </w:rPr>
        <w:t>XGBoost — бібліотека градієнтного бустингу дерев рішень.</w:t>
      </w:r>
    </w:p>
    <w:p>
      <w:pPr>
        <w:pStyle w:val="Heading1"/>
        <w:pageBreakBefore/>
        <w:ind w:firstLine="0"/>
        <w:jc w:val="center"/>
      </w:pPr>
      <w:r>
        <w:rPr>
          <w:rFonts w:ascii="Times New Roman" w:hAnsi="Times New Roman" w:cs="Times New Roman"/>
          <w:b/>
          <w:color w:val="000000"/>
          <w:sz w:val="28"/>
        </w:rPr>
        <w:t>ЗМІСТ</w:t>
      </w:r>
    </w:p>
    <w:p>
      <w:pPr>
        <w:ind w:firstLine="0"/>
        <w:jc w:val="left"/>
      </w:pPr>
      <w:r>
        <w:rPr>
          <w:rFonts w:ascii="Times New Roman" w:hAnsi="Times New Roman"/>
          <w:sz w:val="28"/>
        </w:rPr>
        <w:fldChar w:fldCharType="begin"/>
        <w:instrText xml:space="preserve">TOC \o "1-3" \h \z \u</w:instrText>
        <w:fldChar w:fldCharType="separate"/>
        <w:t>Зміст формується автоматично. Щоб його оновити, виділіть документ (Ctrl+A) і натисніть F9.</w:t>
        <w:fldChar w:fldCharType="end"/>
      </w:r>
    </w:p>
    <w:p>
      <w:pPr>
        <w:pStyle w:val="Heading1"/>
        <w:pageBreakBefore/>
        <w:ind w:firstLine="0"/>
        <w:jc w:val="center"/>
      </w:pPr>
      <w:r>
        <w:rPr>
          <w:rFonts w:ascii="Times New Roman" w:hAnsi="Times New Roman" w:cs="Times New Roman"/>
          <w:b/>
          <w:color w:val="000000"/>
          <w:sz w:val="28"/>
        </w:rPr>
        <w:t>ВСТУП</w:t>
      </w:r>
    </w:p>
    <w:p>
      <w:pPr>
        <w:spacing w:line="360" w:lineRule="auto" w:after="0"/>
        <w:ind w:firstLine="720"/>
        <w:jc w:val="both"/>
      </w:pPr>
      <w:r>
        <w:rPr>
          <w:rFonts w:ascii="Times New Roman" w:hAnsi="Times New Roman" w:cs="Times New Roman"/>
          <w:b/>
          <w:sz w:val="28"/>
        </w:rPr>
        <w:t xml:space="preserve">Оцінка сучасного стану об’єкта розроблення. </w:t>
      </w:r>
      <w:r>
        <w:rPr>
          <w:rFonts w:ascii="Times New Roman" w:hAnsi="Times New Roman" w:cs="Times New Roman"/>
          <w:sz w:val="28"/>
        </w:rPr>
        <w:t>Серцево-судинні захворювання залишаються провідною причиною смертності у світі, і значна їх частина пов’язана з порушеннями серцевого ритму. Електрокардіографія є найдоступнішим і найпоширенішим методом первинної діагностики таких порушень: вона неінвазивна, дешева й дає змогу безперервно спостерігати за електричною активністю серця. Сучасні носимі та холтерівські реєстратори формують записи тривалістю від кількох годин до кількох діб, і ручний перегляд таких обсягів лікарем стає неможливим. Звідси практична потреба в системах автоматичного аналізу, які здатні виділити окремі серцеві скорочення й віднести кожне з них до відповідного діагностичного класу.</w:t>
      </w:r>
    </w:p>
    <w:p>
      <w:pPr>
        <w:spacing w:line="360" w:lineRule="auto" w:after="0"/>
        <w:ind w:firstLine="720"/>
        <w:jc w:val="both"/>
      </w:pPr>
      <w:r>
        <w:rPr>
          <w:rFonts w:ascii="Times New Roman" w:hAnsi="Times New Roman" w:cs="Times New Roman"/>
          <w:b w:val="0"/>
          <w:i w:val="0"/>
          <w:sz w:val="28"/>
        </w:rPr>
        <w:t>Окрема, рідше обговорювана складність полягає в різнорідності форматів зберігання ЕКГ. Виробники обладнання користуються власними або галузевими форматами: дослідницькі бази даних поширюються у форматі WFDB, клінічні системи застосовують DICOM та SCP-ECG, фізіологічні записи зберігають у EDF, а обмін даними між інформаційними системами відбувається через HL7 aECG. Алгоритм класифікації, навчений на одному форматі, на практиці має приймати сигнали з багатьох джерел, і питання про те, чи зберігається його точність після перетворення між форматами, зазвичай залишається без відповіді.</w:t>
      </w:r>
    </w:p>
    <w:p>
      <w:pPr>
        <w:spacing w:line="360" w:lineRule="auto" w:after="0"/>
        <w:ind w:firstLine="720"/>
        <w:jc w:val="both"/>
      </w:pPr>
      <w:r>
        <w:rPr>
          <w:rFonts w:ascii="Times New Roman" w:hAnsi="Times New Roman" w:cs="Times New Roman"/>
          <w:b/>
          <w:sz w:val="28"/>
        </w:rPr>
        <w:t xml:space="preserve">Актуальність роботи та підстави для її виконання. </w:t>
      </w:r>
      <w:r>
        <w:rPr>
          <w:rFonts w:ascii="Times New Roman" w:hAnsi="Times New Roman" w:cs="Times New Roman"/>
          <w:sz w:val="28"/>
        </w:rPr>
        <w:t>Актуальність зумовлена поєднанням двох потреб: підвищення якості автоматичної класифікації серцевих скорочень сучасними методами навчання й забезпечення сумісності системи з різними форматами медичних даних без втрати цієї якості. Жодна з цих потреб окремо не є новою, проте їх спільне розв’язання в межах однієї відтворюваної системи трапляється рідко, що й визначає підстави для виконання роботи.</w:t>
      </w:r>
    </w:p>
    <w:p>
      <w:pPr>
        <w:spacing w:line="360" w:lineRule="auto" w:after="0"/>
        <w:ind w:firstLine="720"/>
        <w:jc w:val="both"/>
      </w:pPr>
      <w:r>
        <w:rPr>
          <w:rFonts w:ascii="Times New Roman" w:hAnsi="Times New Roman" w:cs="Times New Roman"/>
          <w:b/>
          <w:sz w:val="28"/>
        </w:rPr>
        <w:t xml:space="preserve">Мета й завдання роботи. </w:t>
      </w:r>
      <w:r>
        <w:rPr>
          <w:rFonts w:ascii="Times New Roman" w:hAnsi="Times New Roman" w:cs="Times New Roman"/>
          <w:sz w:val="28"/>
        </w:rPr>
        <w:t>Метою роботи є розроблення уніфікованої системи обробки та класифікації ЕКГ-сигналів різних форматів із застосуванням методів машинного навчання. Для досягнення мети поставлено такі завдання:</w:t>
      </w:r>
    </w:p>
    <w:p>
      <w:pPr>
        <w:spacing w:line="360" w:lineRule="auto" w:after="0"/>
        <w:ind w:firstLine="720"/>
        <w:jc w:val="both"/>
      </w:pPr>
      <w:r>
        <w:rPr>
          <w:rFonts w:ascii="Times New Roman" w:hAnsi="Times New Roman" w:cs="Times New Roman"/>
          <w:sz w:val="28"/>
        </w:rPr>
        <w:t>— проаналізувати предметну область: будову ЕКГ-сигналу, формати зберігання, стандарт класифікації AAMI та сучасні методи класифікації серцевих скорочень;</w:t>
      </w:r>
    </w:p>
    <w:p>
      <w:pPr>
        <w:spacing w:line="360" w:lineRule="auto" w:after="0"/>
        <w:ind w:firstLine="720"/>
        <w:jc w:val="both"/>
      </w:pPr>
      <w:r>
        <w:rPr>
          <w:rFonts w:ascii="Times New Roman" w:hAnsi="Times New Roman" w:cs="Times New Roman"/>
          <w:sz w:val="28"/>
        </w:rPr>
        <w:t>— переструктурувати успадкований монолітний код у модульний пакет із чітким розділенням шарів зчитування, обробки, ознак і моделей;</w:t>
      </w:r>
    </w:p>
    <w:p>
      <w:pPr>
        <w:spacing w:line="360" w:lineRule="auto" w:after="0"/>
        <w:ind w:firstLine="720"/>
        <w:jc w:val="both"/>
      </w:pPr>
      <w:r>
        <w:rPr>
          <w:rFonts w:ascii="Times New Roman" w:hAnsi="Times New Roman" w:cs="Times New Roman"/>
          <w:sz w:val="28"/>
        </w:rPr>
        <w:t>— реалізувати завантаження бази MIT-BIH і коректний міжпацієнтний поділ записів на навчальну та тестову підмножини;</w:t>
      </w:r>
    </w:p>
    <w:p>
      <w:pPr>
        <w:spacing w:line="360" w:lineRule="auto" w:after="0"/>
        <w:ind w:firstLine="720"/>
        <w:jc w:val="both"/>
      </w:pPr>
      <w:r>
        <w:rPr>
          <w:rFonts w:ascii="Times New Roman" w:hAnsi="Times New Roman" w:cs="Times New Roman"/>
          <w:sz w:val="28"/>
        </w:rPr>
        <w:t>— розробити модуль виділення ознак окремого удару й модуль сегментації вікон сигналу навколо R-піків;</w:t>
      </w:r>
    </w:p>
    <w:p>
      <w:pPr>
        <w:spacing w:line="360" w:lineRule="auto" w:after="0"/>
        <w:ind w:firstLine="720"/>
        <w:jc w:val="both"/>
      </w:pPr>
      <w:r>
        <w:rPr>
          <w:rFonts w:ascii="Times New Roman" w:hAnsi="Times New Roman" w:cs="Times New Roman"/>
          <w:sz w:val="28"/>
        </w:rPr>
        <w:t>— навчити та порівняти класичні (XGBoost, випадковий ліс, метод опорних векторів) і глибокі (1D-CNN, CNN-BiLSTM) моделі;</w:t>
      </w:r>
    </w:p>
    <w:p>
      <w:pPr>
        <w:spacing w:line="360" w:lineRule="auto" w:after="0"/>
        <w:ind w:firstLine="720"/>
        <w:jc w:val="both"/>
      </w:pPr>
      <w:r>
        <w:rPr>
          <w:rFonts w:ascii="Times New Roman" w:hAnsi="Times New Roman" w:cs="Times New Roman"/>
          <w:sz w:val="28"/>
        </w:rPr>
        <w:t>— запропонувати й реалізувати двопотоковий гібридний класифікатор із пізнім злиттям ознакового та сигнального потоків;</w:t>
      </w:r>
    </w:p>
    <w:p>
      <w:pPr>
        <w:spacing w:line="360" w:lineRule="auto" w:after="0"/>
        <w:ind w:firstLine="720"/>
        <w:jc w:val="both"/>
      </w:pPr>
      <w:r>
        <w:rPr>
          <w:rFonts w:ascii="Times New Roman" w:hAnsi="Times New Roman" w:cs="Times New Roman"/>
          <w:sz w:val="28"/>
        </w:rPr>
        <w:t>— розробити бенчмарк багатоформатної стійкості, що кількісно оцінює зміну точності після перетворення сигналу між форматами;</w:t>
      </w:r>
    </w:p>
    <w:p>
      <w:pPr>
        <w:spacing w:line="360" w:lineRule="auto" w:after="0"/>
        <w:ind w:firstLine="720"/>
        <w:jc w:val="both"/>
      </w:pPr>
      <w:r>
        <w:rPr>
          <w:rFonts w:ascii="Times New Roman" w:hAnsi="Times New Roman" w:cs="Times New Roman"/>
          <w:sz w:val="28"/>
        </w:rPr>
        <w:t>— реалізувати REST-API та інтерфейс командного рядка для практичного застосування системи.</w:t>
      </w:r>
    </w:p>
    <w:p>
      <w:pPr>
        <w:spacing w:line="360" w:lineRule="auto" w:after="0"/>
        <w:ind w:firstLine="720"/>
        <w:jc w:val="both"/>
      </w:pPr>
      <w:r>
        <w:rPr>
          <w:rFonts w:ascii="Times New Roman" w:hAnsi="Times New Roman" w:cs="Times New Roman"/>
          <w:b/>
          <w:sz w:val="28"/>
        </w:rPr>
        <w:t xml:space="preserve">Об’єкт, методи й засоби дослідження. </w:t>
      </w:r>
      <w:r>
        <w:rPr>
          <w:rFonts w:ascii="Times New Roman" w:hAnsi="Times New Roman" w:cs="Times New Roman"/>
          <w:sz w:val="28"/>
        </w:rPr>
        <w:t>Об’єктом дослідження є електрокардіографічні сигнали та процес автоматичної класифікації серцевих скорочень. Предметом дослідження є методи та алгоритми уніфікованого зчитування ЕКГ різних форматів, виділення ознак ударів і їх класифікації методами машинного навчання. Методи дослідження охоплюють цифрову обробку сигналів (смугова фільтрація, виявлення R-піків, вейвлет-аналіз), статистичний аналіз, класичне та глибоке машинне навчання, ансамблеве навчання, а також методику оцінювання класифікаторів за стандартом AAMI на міжпацієнтному поділі даних. Засоби розроблення: мова Python з бібліотеками NumPy, SciPy, scikit-learn, XGBoost, PyTorch, PyWavelets, wfdb, pyedflib, pydicom та FastAPI.</w:t>
      </w:r>
    </w:p>
    <w:p>
      <w:pPr>
        <w:spacing w:line="360" w:lineRule="auto" w:after="0"/>
        <w:ind w:firstLine="720"/>
        <w:jc w:val="both"/>
      </w:pPr>
      <w:r>
        <w:rPr>
          <w:rFonts w:ascii="Times New Roman" w:hAnsi="Times New Roman" w:cs="Times New Roman"/>
          <w:b/>
          <w:sz w:val="28"/>
        </w:rPr>
        <w:t xml:space="preserve">Наукова новизна. </w:t>
      </w:r>
      <w:r>
        <w:rPr>
          <w:rFonts w:ascii="Times New Roman" w:hAnsi="Times New Roman" w:cs="Times New Roman"/>
          <w:sz w:val="28"/>
        </w:rPr>
        <w:t>До основних нових результатів роботи належать такі:</w:t>
      </w:r>
    </w:p>
    <w:p>
      <w:pPr>
        <w:spacing w:line="360" w:lineRule="auto" w:after="0"/>
        <w:ind w:firstLine="720"/>
        <w:jc w:val="both"/>
      </w:pPr>
      <w:r>
        <w:rPr>
          <w:rFonts w:ascii="Times New Roman" w:hAnsi="Times New Roman" w:cs="Times New Roman"/>
          <w:sz w:val="28"/>
        </w:rPr>
        <w:t>— уперше для цієї системи запропоновано двопотоковий гібридний класифікатор, що поєднує градієнтний бустинг над ручними ознаками й згорткову мережу над сирим сигналом через навчений мета-класифікатор пізнього злиття; показано, що пізнє злиття відновлює корисний внесок недонавченої згорткової мережі й піднімає повноту за зливними скороченнями з 0,07 до 0,89, тобто до рівня, близького до найкращої моделі;</w:t>
      </w:r>
    </w:p>
    <w:p>
      <w:pPr>
        <w:spacing w:line="360" w:lineRule="auto" w:after="0"/>
        <w:ind w:firstLine="720"/>
        <w:jc w:val="both"/>
      </w:pPr>
      <w:r>
        <w:rPr>
          <w:rFonts w:ascii="Times New Roman" w:hAnsi="Times New Roman" w:cs="Times New Roman"/>
          <w:sz w:val="28"/>
        </w:rPr>
        <w:t>— запропоновано та реалізовано бенчмарк багатоформатної стійкості класифікації, який кількісно підтверджує, що зведення сигналу до спільного подання через формати CSV та EDF не погіршує якість класифікації; цей результат безпосередньо обґрунтовує означення «уніфікована» та «багатоформатна» у назві системи.</w:t>
      </w:r>
    </w:p>
    <w:p>
      <w:pPr>
        <w:spacing w:line="360" w:lineRule="auto" w:after="0"/>
        <w:ind w:firstLine="720"/>
        <w:jc w:val="both"/>
      </w:pPr>
      <w:r>
        <w:rPr>
          <w:rFonts w:ascii="Times New Roman" w:hAnsi="Times New Roman" w:cs="Times New Roman"/>
          <w:b/>
          <w:sz w:val="28"/>
        </w:rPr>
        <w:t xml:space="preserve">Можливі сфери застосування. </w:t>
      </w:r>
      <w:r>
        <w:rPr>
          <w:rFonts w:ascii="Times New Roman" w:hAnsi="Times New Roman" w:cs="Times New Roman"/>
          <w:sz w:val="28"/>
        </w:rPr>
        <w:t>Систему можна застосовувати для скринінгу серцево-судинних захворювань, у телемедичних системах і як відтворювану платформу для подальших досліджень з автоматичного аналізу ЕКГ. Усі результати відтворюються наявними у репозиторії сценаріями.</w:t>
      </w:r>
    </w:p>
    <w:p>
      <w:pPr>
        <w:spacing w:line="360" w:lineRule="auto" w:after="0"/>
        <w:ind w:firstLine="720"/>
        <w:jc w:val="both"/>
      </w:pPr>
      <w:r>
        <w:rPr>
          <w:rFonts w:ascii="Times New Roman" w:hAnsi="Times New Roman" w:cs="Times New Roman"/>
          <w:b/>
          <w:sz w:val="28"/>
        </w:rPr>
        <w:t xml:space="preserve">Взаємозв’язок з іншими роботами. </w:t>
      </w:r>
      <w:r>
        <w:rPr>
          <w:rFonts w:ascii="Times New Roman" w:hAnsi="Times New Roman" w:cs="Times New Roman"/>
          <w:sz w:val="28"/>
        </w:rPr>
        <w:t>Робота продовжує курсову роботу автора «Аналіз та класифікація відхилень та аномалій на ЕКГ», у якій було створено уніфікований парсер форматів, ансамблевий детектор R-піків, модулі морфологічного аналізу та аналізу варіабельності серцевого ритму, а також класифікацію аритмій на основі правил. Попередня система не використовувала машинного навчання, тому її точність на складних випадках була обмеженою; ця робота замінює класифікацію на основі правил повноцінним конвеєром машинного навчання за збереження вже наявних перевірених компонентів обробки сигналу.</w:t>
      </w:r>
    </w:p>
    <w:p>
      <w:pPr>
        <w:spacing w:line="360" w:lineRule="auto" w:after="0"/>
        <w:ind w:firstLine="720"/>
        <w:jc w:val="both"/>
      </w:pPr>
      <w:r>
        <w:rPr>
          <w:rFonts w:ascii="Times New Roman" w:hAnsi="Times New Roman" w:cs="Times New Roman"/>
          <w:b w:val="0"/>
          <w:i w:val="0"/>
          <w:sz w:val="28"/>
        </w:rPr>
        <w:t>Робота складається зі вступу, чотирьох розділів, висновків, переліку джерел посилання та додатків. У першому розділі проаналізовано предметну область і огляд літератури. Другий розділ присвячено уніфікованій обробці сигналів. У третьому розділі описано методи машинного навчання, зокрема запропонований гібридний класифікатор. Четвертий розділ містить експериментальні результати, їх аналіз і бенчмарк багатоформатної стійкості.</w:t>
      </w:r>
    </w:p>
    <w:p>
      <w:pPr>
        <w:pStyle w:val="Heading1"/>
        <w:pageBreakBefore/>
        <w:ind w:firstLine="0"/>
        <w:jc w:val="center"/>
      </w:pPr>
      <w:r>
        <w:rPr>
          <w:rFonts w:ascii="Times New Roman" w:hAnsi="Times New Roman" w:cs="Times New Roman"/>
          <w:b/>
          <w:color w:val="000000"/>
          <w:sz w:val="28"/>
        </w:rPr>
        <w:t>1 АНАЛІЗ ПРЕДМЕТНОЇ ОБЛАСТІ ТА ОГЛЯД ЛІТЕРАТУРИ</w:t>
      </w:r>
    </w:p>
    <w:p>
      <w:pPr>
        <w:pStyle w:val="Heading2"/>
        <w:spacing w:before="120"/>
        <w:ind w:firstLine="720"/>
        <w:jc w:val="left"/>
      </w:pPr>
      <w:r>
        <w:rPr>
          <w:rFonts w:ascii="Times New Roman" w:hAnsi="Times New Roman" w:cs="Times New Roman"/>
          <w:b/>
          <w:color w:val="000000"/>
          <w:sz w:val="28"/>
        </w:rPr>
        <w:t>1.1 Електрокардіографія та задача автоматичного аналізу ЕКГ</w:t>
      </w:r>
    </w:p>
    <w:p>
      <w:pPr>
        <w:spacing w:line="360" w:lineRule="auto" w:after="0"/>
        <w:ind w:firstLine="720"/>
        <w:jc w:val="both"/>
      </w:pPr>
      <w:r>
        <w:rPr>
          <w:rFonts w:ascii="Times New Roman" w:hAnsi="Times New Roman" w:cs="Times New Roman"/>
          <w:b w:val="0"/>
          <w:i w:val="0"/>
          <w:sz w:val="28"/>
        </w:rPr>
        <w:t>Електрокардіограма — це запис різниці електричних потенціалів, що виникає під час послідовного збудження відділів серця. Кожний серцевий цикл відображається на ЕКГ характерною послідовністю зубців, яким традиційно надають літери P, Q, R, S, T. Зубець P відповідає деполяризації передсердь, комплекс QRS — швидкій деполяризації шлуночків, а зубець T — їх реполяризації. Форма, тривалість та взаємне розташування цих елементів несуть діагностичну інформацію про роботу провідної системи серця. Загальний вигляд одного нормального циклу подано на рисунку 1.1.</w:t>
      </w:r>
    </w:p>
    <w:p>
      <w:pPr>
        <w:keepNext/>
        <w:spacing w:before="120"/>
        <w:ind w:firstLine="0"/>
        <w:jc w:val="center"/>
      </w:pPr>
      <w:r>
        <w:drawing>
          <wp:inline xmlns:a="http://schemas.openxmlformats.org/drawingml/2006/main" xmlns:pic="http://schemas.openxmlformats.org/drawingml/2006/picture">
            <wp:extent cx="4500000" cy="2174312"/>
            <wp:docPr id="1" name="Picture 1"/>
            <wp:cNvGraphicFramePr>
              <a:graphicFrameLocks noChangeAspect="1"/>
            </wp:cNvGraphicFramePr>
            <a:graphic>
              <a:graphicData uri="http://schemas.openxmlformats.org/drawingml/2006/picture">
                <pic:pic>
                  <pic:nvPicPr>
                    <pic:cNvPr id="0" name="pqrst.png"/>
                    <pic:cNvPicPr/>
                  </pic:nvPicPr>
                  <pic:blipFill>
                    <a:blip r:embed="rId11"/>
                    <a:stretch>
                      <a:fillRect/>
                    </a:stretch>
                  </pic:blipFill>
                  <pic:spPr>
                    <a:xfrm>
                      <a:off x="0" y="0"/>
                      <a:ext cx="4500000" cy="2174312"/>
                    </a:xfrm>
                    <a:prstGeom prst="rect"/>
                  </pic:spPr>
                </pic:pic>
              </a:graphicData>
            </a:graphic>
          </wp:inline>
        </w:drawing>
      </w:r>
    </w:p>
    <w:p>
      <w:pPr>
        <w:spacing w:after="160"/>
        <w:ind w:firstLine="0"/>
        <w:jc w:val="center"/>
      </w:pPr>
      <w:r>
        <w:rPr>
          <w:rFonts w:ascii="Times New Roman" w:hAnsi="Times New Roman" w:cs="Times New Roman"/>
          <w:sz w:val="28"/>
        </w:rPr>
        <w:t>Рисунок 1.1 — Схематична будова одного циклу ЕКГ із зубцями P, Q, R, S, T та комплексом QRS</w:t>
      </w:r>
    </w:p>
    <w:p>
      <w:pPr>
        <w:spacing w:line="360" w:lineRule="auto" w:after="0"/>
        <w:ind w:firstLine="720"/>
        <w:jc w:val="both"/>
      </w:pPr>
      <w:r>
        <w:rPr>
          <w:rFonts w:ascii="Times New Roman" w:hAnsi="Times New Roman" w:cs="Times New Roman"/>
          <w:b w:val="0"/>
          <w:i w:val="0"/>
          <w:sz w:val="28"/>
        </w:rPr>
        <w:t>Корисний ЕКГ-сигнал займає смугу приблизно від 0,05 до 100 Гц, а енергія комплексу QRS зосереджена переважно в смузі від 5 до 15 Гц. Амплітуда сигналу становить близько 1 мВ, тоді як завади (мережева наводка 50 Гц, м’язовий тремор, дрейф ізолінії від дихання) можуть бути порівнянними за рівнем із корисним сигналом. Це робить попередню фільтрацію обов’язковою умовою достовірного аналізу й пояснює, чому виявлення R-піків виконують у вузькій смузі QRS.</w:t>
      </w:r>
    </w:p>
    <w:p>
      <w:pPr>
        <w:spacing w:line="360" w:lineRule="auto" w:after="0"/>
        <w:ind w:firstLine="720"/>
        <w:jc w:val="both"/>
      </w:pPr>
      <w:r>
        <w:rPr>
          <w:rFonts w:ascii="Times New Roman" w:hAnsi="Times New Roman" w:cs="Times New Roman"/>
          <w:b w:val="0"/>
          <w:i w:val="0"/>
          <w:sz w:val="28"/>
        </w:rPr>
        <w:t>Реєстрація виконується у кількох відведеннях, кожне з яких відповідає певній проєкції сумарного електричного вектора серця. Стандартна клінічна ЕКГ містить дванадцять відведень; натомість тривалий холтерівський моніторинг зазвичай обмежується одним або двома каналами. У базі MIT-BIH, що є основним матеріалом цієї роботи, доступні два канали: модифіковане відведення MLII та одне з грудних відведень (V1 або V5). Рекомендації щодо стандартизації та інтерпретації ЕКГ узагальнено у праці [1].</w:t>
      </w:r>
    </w:p>
    <w:p>
      <w:pPr>
        <w:spacing w:line="360" w:lineRule="auto" w:after="0"/>
        <w:ind w:firstLine="720"/>
        <w:jc w:val="both"/>
      </w:pPr>
      <w:r>
        <w:rPr>
          <w:rFonts w:ascii="Times New Roman" w:hAnsi="Times New Roman" w:cs="Times New Roman"/>
          <w:b w:val="0"/>
          <w:i w:val="0"/>
          <w:sz w:val="28"/>
        </w:rPr>
        <w:t>Завдання автоматичного аналізу поділяють на кілька послідовних етапів: придушення завад і дрейфу ізолінії, виявлення R-піків як опорних точок ритму, сегментацію окремих ударів, виділення ознак і власне класифікацію. Помилка на ранньому етапі поширюється далі, тому надійне виявлення R-піків є передумовою якісної класифікації. Класичний алгоритм Пана й Томпкінса [2] досі залишається базовим для цього етапу.</w:t>
      </w:r>
    </w:p>
    <w:p>
      <w:pPr>
        <w:pStyle w:val="Heading2"/>
        <w:spacing w:before="120"/>
        <w:ind w:firstLine="720"/>
        <w:jc w:val="left"/>
      </w:pPr>
      <w:r>
        <w:rPr>
          <w:rFonts w:ascii="Times New Roman" w:hAnsi="Times New Roman" w:cs="Times New Roman"/>
          <w:b/>
          <w:color w:val="000000"/>
          <w:sz w:val="28"/>
        </w:rPr>
        <w:t>1.2 Формати зберігання ЕКГ-сигналів</w:t>
      </w:r>
    </w:p>
    <w:p>
      <w:pPr>
        <w:spacing w:line="360" w:lineRule="auto" w:after="0"/>
        <w:ind w:firstLine="720"/>
        <w:jc w:val="both"/>
      </w:pPr>
      <w:r>
        <w:rPr>
          <w:rFonts w:ascii="Times New Roman" w:hAnsi="Times New Roman" w:cs="Times New Roman"/>
          <w:b w:val="0"/>
          <w:i w:val="0"/>
          <w:sz w:val="28"/>
        </w:rPr>
        <w:t>Різнорідність форматів є практичною перешкодою для побудови єдиної системи аналізу. Кожний формат має власну модель даних, спосіб кодування відліків і набір метаданих:</w:t>
      </w:r>
    </w:p>
    <w:p>
      <w:pPr>
        <w:spacing w:line="360" w:lineRule="auto" w:after="0"/>
        <w:ind w:firstLine="720"/>
        <w:jc w:val="both"/>
      </w:pPr>
      <w:r>
        <w:rPr>
          <w:rFonts w:ascii="Times New Roman" w:hAnsi="Times New Roman" w:cs="Times New Roman"/>
          <w:sz w:val="28"/>
        </w:rPr>
        <w:t>— WFDB — формат і бібліотека PhysioNet; запис складається з заголовка .hea, бінарного файлу відліків .dat та файлу анотацій; саме у цьому форматі поширюється MIT-BIH [3; 4];</w:t>
      </w:r>
    </w:p>
    <w:p>
      <w:pPr>
        <w:spacing w:line="360" w:lineRule="auto" w:after="0"/>
        <w:ind w:firstLine="720"/>
        <w:jc w:val="both"/>
      </w:pPr>
      <w:r>
        <w:rPr>
          <w:rFonts w:ascii="Times New Roman" w:hAnsi="Times New Roman" w:cs="Times New Roman"/>
          <w:sz w:val="28"/>
        </w:rPr>
        <w:t>— DICOM (доповнення Waveform) зберігає сигнали як частину медичного об’єкта поряд із демографічними даними пацієнта [5];</w:t>
      </w:r>
    </w:p>
    <w:p>
      <w:pPr>
        <w:spacing w:line="360" w:lineRule="auto" w:after="0"/>
        <w:ind w:firstLine="720"/>
        <w:jc w:val="both"/>
      </w:pPr>
      <w:r>
        <w:rPr>
          <w:rFonts w:ascii="Times New Roman" w:hAnsi="Times New Roman" w:cs="Times New Roman"/>
          <w:sz w:val="28"/>
        </w:rPr>
        <w:t>— EDF/BDF — поширений формат фізіологічних записів із 16-бітним лінійним квантуванням відліків;</w:t>
      </w:r>
    </w:p>
    <w:p>
      <w:pPr>
        <w:spacing w:line="360" w:lineRule="auto" w:after="0"/>
        <w:ind w:firstLine="720"/>
        <w:jc w:val="both"/>
      </w:pPr>
      <w:r>
        <w:rPr>
          <w:rFonts w:ascii="Times New Roman" w:hAnsi="Times New Roman" w:cs="Times New Roman"/>
          <w:sz w:val="28"/>
        </w:rPr>
        <w:t>— HL7 aECG — текстове подання у форматі XML, призначене для обміну анотованими ЕКГ між інформаційними системами [6];</w:t>
      </w:r>
    </w:p>
    <w:p>
      <w:pPr>
        <w:spacing w:line="360" w:lineRule="auto" w:after="0"/>
        <w:ind w:firstLine="720"/>
        <w:jc w:val="both"/>
      </w:pPr>
      <w:r>
        <w:rPr>
          <w:rFonts w:ascii="Times New Roman" w:hAnsi="Times New Roman" w:cs="Times New Roman"/>
          <w:sz w:val="28"/>
        </w:rPr>
        <w:t>— SCP-ECG (EN 1064) — компактний бінарний галузевий стандарт для цифрової електрокардіографії [7];</w:t>
      </w:r>
    </w:p>
    <w:p>
      <w:pPr>
        <w:spacing w:line="360" w:lineRule="auto" w:after="0"/>
        <w:ind w:firstLine="720"/>
        <w:jc w:val="both"/>
      </w:pPr>
      <w:r>
        <w:rPr>
          <w:rFonts w:ascii="Times New Roman" w:hAnsi="Times New Roman" w:cs="Times New Roman"/>
          <w:sz w:val="28"/>
        </w:rPr>
        <w:t>— CSV — простий текстовий формат, зручний для обміну та налагодження.</w:t>
      </w:r>
    </w:p>
    <w:p>
      <w:pPr>
        <w:spacing w:line="360" w:lineRule="auto" w:after="0"/>
        <w:ind w:firstLine="720"/>
        <w:jc w:val="both"/>
      </w:pPr>
      <w:r>
        <w:rPr>
          <w:rFonts w:ascii="Times New Roman" w:hAnsi="Times New Roman" w:cs="Times New Roman"/>
          <w:b w:val="0"/>
          <w:i w:val="0"/>
          <w:sz w:val="28"/>
        </w:rPr>
        <w:t>Щоб уникнути комбінаторного зростання кількості перетворювачів, у роботі застосовано підхід зі спільним проміжним поданням: кожний вхідний формат зводиться до єдиного подання у форматі XML, а всі подальші модулі працюють лише з ним. Такий проєктний вибір успадковано від попередньої курсової роботи й покладено в основу архітектури системи.</w:t>
      </w:r>
    </w:p>
    <w:p>
      <w:pPr>
        <w:pStyle w:val="Heading2"/>
        <w:spacing w:before="120"/>
        <w:ind w:firstLine="720"/>
        <w:jc w:val="left"/>
      </w:pPr>
      <w:r>
        <w:rPr>
          <w:rFonts w:ascii="Times New Roman" w:hAnsi="Times New Roman" w:cs="Times New Roman"/>
          <w:b/>
          <w:color w:val="000000"/>
          <w:sz w:val="28"/>
        </w:rPr>
        <w:t>1.3 Класифікація серцевих скорочень і стандарт AAMI</w:t>
      </w:r>
    </w:p>
    <w:p>
      <w:pPr>
        <w:spacing w:line="360" w:lineRule="auto" w:after="0"/>
        <w:ind w:firstLine="720"/>
        <w:jc w:val="both"/>
      </w:pPr>
      <w:r>
        <w:rPr>
          <w:rFonts w:ascii="Times New Roman" w:hAnsi="Times New Roman" w:cs="Times New Roman"/>
          <w:b w:val="0"/>
          <w:i w:val="0"/>
          <w:sz w:val="28"/>
        </w:rPr>
        <w:t>База MIT-BIH розмічена шістнадцятьма типами скорочень. Безпосереднє розрізнення всіх типів є непрактичним через значну незбалансованість і клінічну близькість окремих типів. Тому стандарт ANSI/AAMI EC57 [8] групує всі типи у п’ять суперкласів: нормальні (N), надшлуночкові ектопічні (S), шлуночкові ектопічні (V), зливні (F) та невизначені або штучно стимульовані (Q). Саме цю п’ятикласову схему застосовують для коректного порівняння з літературою. Відповідність вихідних позначень MIT-BIH суперкласам AAMI, реалізовану в системі, наведено в таблиці 1.1.</w:t>
      </w:r>
    </w:p>
    <w:p>
      <w:pPr>
        <w:keepNext/>
        <w:spacing w:before="120"/>
        <w:ind w:firstLine="720"/>
        <w:jc w:val="left"/>
      </w:pPr>
      <w:r>
        <w:rPr>
          <w:rFonts w:ascii="Times New Roman" w:hAnsi="Times New Roman" w:cs="Times New Roman"/>
          <w:sz w:val="28"/>
        </w:rPr>
        <w:t>Таблиця 1.1 — Відповідність позначень MIT-BIH суперкласам AAMI</w:t>
      </w:r>
    </w:p>
    <w:tbl>
      <w:tblPr>
        <w:tblStyle w:val="TableGrid"/>
        <w:tblW w:type="auto" w:w="0"/>
        <w:jc w:val="center"/>
        <w:tblLook w:firstColumn="1" w:firstRow="1" w:lastColumn="0" w:lastRow="0" w:noHBand="0" w:noVBand="1" w:val="04A0"/>
      </w:tblPr>
      <w:tblGrid>
        <w:gridCol w:w="3307"/>
        <w:gridCol w:w="3307"/>
        <w:gridCol w:w="3307"/>
      </w:tblGrid>
      <w:tr>
        <w:tc>
          <w:tcPr>
            <w:tcW w:type="dxa" w:w="1701"/>
          </w:tcPr>
          <w:p>
            <w:pPr>
              <w:spacing w:after="0" w:line="240" w:lineRule="auto"/>
              <w:ind w:firstLine="0"/>
              <w:jc w:val="center"/>
            </w:pPr>
            <w:r>
              <w:rPr>
                <w:rFonts w:ascii="Times New Roman" w:hAnsi="Times New Roman" w:cs="Times New Roman"/>
                <w:b/>
                <w:sz w:val="22"/>
              </w:rPr>
              <w:t>Суперклас AAMI</w:t>
            </w:r>
          </w:p>
        </w:tc>
        <w:tc>
          <w:tcPr>
            <w:tcW w:type="dxa" w:w="2268"/>
          </w:tcPr>
          <w:p>
            <w:pPr>
              <w:spacing w:after="0" w:line="240" w:lineRule="auto"/>
              <w:ind w:firstLine="0"/>
              <w:jc w:val="center"/>
            </w:pPr>
            <w:r>
              <w:rPr>
                <w:rFonts w:ascii="Times New Roman" w:hAnsi="Times New Roman" w:cs="Times New Roman"/>
                <w:b/>
                <w:sz w:val="22"/>
              </w:rPr>
              <w:t>Позначення MIT-BIH</w:t>
            </w:r>
          </w:p>
        </w:tc>
        <w:tc>
          <w:tcPr>
            <w:tcW w:type="dxa" w:w="5102"/>
          </w:tcPr>
          <w:p>
            <w:pPr>
              <w:spacing w:after="0" w:line="240" w:lineRule="auto"/>
              <w:ind w:firstLine="0"/>
              <w:jc w:val="center"/>
            </w:pPr>
            <w:r>
              <w:rPr>
                <w:rFonts w:ascii="Times New Roman" w:hAnsi="Times New Roman" w:cs="Times New Roman"/>
                <w:b/>
                <w:sz w:val="22"/>
              </w:rPr>
              <w:t>Опис</w:t>
            </w:r>
          </w:p>
        </w:tc>
      </w:tr>
      <w:tr>
        <w:tc>
          <w:tcPr>
            <w:tcW w:type="dxa" w:w="1701"/>
          </w:tcPr>
          <w:p>
            <w:pPr>
              <w:spacing w:after="0" w:line="240" w:lineRule="auto"/>
              <w:ind w:firstLine="0"/>
              <w:jc w:val="left"/>
            </w:pPr>
            <w:r>
              <w:rPr>
                <w:rFonts w:ascii="Times New Roman" w:hAnsi="Times New Roman" w:cs="Times New Roman"/>
                <w:b w:val="0"/>
                <w:sz w:val="22"/>
              </w:rPr>
              <w:t>N</w:t>
            </w:r>
          </w:p>
        </w:tc>
        <w:tc>
          <w:tcPr>
            <w:tcW w:type="dxa" w:w="2268"/>
          </w:tcPr>
          <w:p>
            <w:pPr>
              <w:spacing w:after="0" w:line="240" w:lineRule="auto"/>
              <w:ind w:firstLine="0"/>
              <w:jc w:val="center"/>
            </w:pPr>
            <w:r>
              <w:rPr>
                <w:rFonts w:ascii="Times New Roman" w:hAnsi="Times New Roman" w:cs="Times New Roman"/>
                <w:b w:val="0"/>
                <w:sz w:val="22"/>
              </w:rPr>
              <w:t>N, L, R, e, j</w:t>
            </w:r>
          </w:p>
        </w:tc>
        <w:tc>
          <w:tcPr>
            <w:tcW w:type="dxa" w:w="5102"/>
          </w:tcPr>
          <w:p>
            <w:pPr>
              <w:spacing w:after="0" w:line="240" w:lineRule="auto"/>
              <w:ind w:firstLine="0"/>
              <w:jc w:val="center"/>
            </w:pPr>
            <w:r>
              <w:rPr>
                <w:rFonts w:ascii="Times New Roman" w:hAnsi="Times New Roman" w:cs="Times New Roman"/>
                <w:b w:val="0"/>
                <w:sz w:val="22"/>
              </w:rPr>
              <w:t>нормальні та блокади ніжок пучка Гіса, вислизаючі скорочення</w:t>
            </w:r>
          </w:p>
        </w:tc>
      </w:tr>
      <w:tr>
        <w:tc>
          <w:tcPr>
            <w:tcW w:type="dxa" w:w="1701"/>
          </w:tcPr>
          <w:p>
            <w:pPr>
              <w:spacing w:after="0" w:line="240" w:lineRule="auto"/>
              <w:ind w:firstLine="0"/>
              <w:jc w:val="left"/>
            </w:pPr>
            <w:r>
              <w:rPr>
                <w:rFonts w:ascii="Times New Roman" w:hAnsi="Times New Roman" w:cs="Times New Roman"/>
                <w:b w:val="0"/>
                <w:sz w:val="22"/>
              </w:rPr>
              <w:t>S</w:t>
            </w:r>
          </w:p>
        </w:tc>
        <w:tc>
          <w:tcPr>
            <w:tcW w:type="dxa" w:w="2268"/>
          </w:tcPr>
          <w:p>
            <w:pPr>
              <w:spacing w:after="0" w:line="240" w:lineRule="auto"/>
              <w:ind w:firstLine="0"/>
              <w:jc w:val="center"/>
            </w:pPr>
            <w:r>
              <w:rPr>
                <w:rFonts w:ascii="Times New Roman" w:hAnsi="Times New Roman" w:cs="Times New Roman"/>
                <w:b w:val="0"/>
                <w:sz w:val="22"/>
              </w:rPr>
              <w:t>A, a, J, S</w:t>
            </w:r>
          </w:p>
        </w:tc>
        <w:tc>
          <w:tcPr>
            <w:tcW w:type="dxa" w:w="5102"/>
          </w:tcPr>
          <w:p>
            <w:pPr>
              <w:spacing w:after="0" w:line="240" w:lineRule="auto"/>
              <w:ind w:firstLine="0"/>
              <w:jc w:val="center"/>
            </w:pPr>
            <w:r>
              <w:rPr>
                <w:rFonts w:ascii="Times New Roman" w:hAnsi="Times New Roman" w:cs="Times New Roman"/>
                <w:b w:val="0"/>
                <w:sz w:val="22"/>
              </w:rPr>
              <w:t>надшлуночкові ектопічні скорочення</w:t>
            </w:r>
          </w:p>
        </w:tc>
      </w:tr>
      <w:tr>
        <w:tc>
          <w:tcPr>
            <w:tcW w:type="dxa" w:w="1701"/>
          </w:tcPr>
          <w:p>
            <w:pPr>
              <w:spacing w:after="0" w:line="240" w:lineRule="auto"/>
              <w:ind w:firstLine="0"/>
              <w:jc w:val="left"/>
            </w:pPr>
            <w:r>
              <w:rPr>
                <w:rFonts w:ascii="Times New Roman" w:hAnsi="Times New Roman" w:cs="Times New Roman"/>
                <w:b w:val="0"/>
                <w:sz w:val="22"/>
              </w:rPr>
              <w:t>V</w:t>
            </w:r>
          </w:p>
        </w:tc>
        <w:tc>
          <w:tcPr>
            <w:tcW w:type="dxa" w:w="2268"/>
          </w:tcPr>
          <w:p>
            <w:pPr>
              <w:spacing w:after="0" w:line="240" w:lineRule="auto"/>
              <w:ind w:firstLine="0"/>
              <w:jc w:val="center"/>
            </w:pPr>
            <w:r>
              <w:rPr>
                <w:rFonts w:ascii="Times New Roman" w:hAnsi="Times New Roman" w:cs="Times New Roman"/>
                <w:b w:val="0"/>
                <w:sz w:val="22"/>
              </w:rPr>
              <w:t>V, E</w:t>
            </w:r>
          </w:p>
        </w:tc>
        <w:tc>
          <w:tcPr>
            <w:tcW w:type="dxa" w:w="5102"/>
          </w:tcPr>
          <w:p>
            <w:pPr>
              <w:spacing w:after="0" w:line="240" w:lineRule="auto"/>
              <w:ind w:firstLine="0"/>
              <w:jc w:val="center"/>
            </w:pPr>
            <w:r>
              <w:rPr>
                <w:rFonts w:ascii="Times New Roman" w:hAnsi="Times New Roman" w:cs="Times New Roman"/>
                <w:b w:val="0"/>
                <w:sz w:val="22"/>
              </w:rPr>
              <w:t>шлуночкові ектопічні скорочення</w:t>
            </w:r>
          </w:p>
        </w:tc>
      </w:tr>
      <w:tr>
        <w:tc>
          <w:tcPr>
            <w:tcW w:type="dxa" w:w="1701"/>
          </w:tcPr>
          <w:p>
            <w:pPr>
              <w:spacing w:after="0" w:line="240" w:lineRule="auto"/>
              <w:ind w:firstLine="0"/>
              <w:jc w:val="left"/>
            </w:pPr>
            <w:r>
              <w:rPr>
                <w:rFonts w:ascii="Times New Roman" w:hAnsi="Times New Roman" w:cs="Times New Roman"/>
                <w:b w:val="0"/>
                <w:sz w:val="22"/>
              </w:rPr>
              <w:t>F</w:t>
            </w:r>
          </w:p>
        </w:tc>
        <w:tc>
          <w:tcPr>
            <w:tcW w:type="dxa" w:w="2268"/>
          </w:tcPr>
          <w:p>
            <w:pPr>
              <w:spacing w:after="0" w:line="240" w:lineRule="auto"/>
              <w:ind w:firstLine="0"/>
              <w:jc w:val="center"/>
            </w:pPr>
            <w:r>
              <w:rPr>
                <w:rFonts w:ascii="Times New Roman" w:hAnsi="Times New Roman" w:cs="Times New Roman"/>
                <w:b w:val="0"/>
                <w:sz w:val="22"/>
              </w:rPr>
              <w:t>F</w:t>
            </w:r>
          </w:p>
        </w:tc>
        <w:tc>
          <w:tcPr>
            <w:tcW w:type="dxa" w:w="5102"/>
          </w:tcPr>
          <w:p>
            <w:pPr>
              <w:spacing w:after="0" w:line="240" w:lineRule="auto"/>
              <w:ind w:firstLine="0"/>
              <w:jc w:val="center"/>
            </w:pPr>
            <w:r>
              <w:rPr>
                <w:rFonts w:ascii="Times New Roman" w:hAnsi="Times New Roman" w:cs="Times New Roman"/>
                <w:b w:val="0"/>
                <w:sz w:val="22"/>
              </w:rPr>
              <w:t>зливні скорочення (шлуночкове + нормальне)</w:t>
            </w:r>
          </w:p>
        </w:tc>
      </w:tr>
      <w:tr>
        <w:tc>
          <w:tcPr>
            <w:tcW w:type="dxa" w:w="1701"/>
          </w:tcPr>
          <w:p>
            <w:pPr>
              <w:spacing w:after="0" w:line="240" w:lineRule="auto"/>
              <w:ind w:firstLine="0"/>
              <w:jc w:val="left"/>
            </w:pPr>
            <w:r>
              <w:rPr>
                <w:rFonts w:ascii="Times New Roman" w:hAnsi="Times New Roman" w:cs="Times New Roman"/>
                <w:b w:val="0"/>
                <w:sz w:val="22"/>
              </w:rPr>
              <w:t>Q</w:t>
            </w:r>
          </w:p>
        </w:tc>
        <w:tc>
          <w:tcPr>
            <w:tcW w:type="dxa" w:w="2268"/>
          </w:tcPr>
          <w:p>
            <w:pPr>
              <w:spacing w:after="0" w:line="240" w:lineRule="auto"/>
              <w:ind w:firstLine="0"/>
              <w:jc w:val="center"/>
            </w:pPr>
            <w:r>
              <w:rPr>
                <w:rFonts w:ascii="Times New Roman" w:hAnsi="Times New Roman" w:cs="Times New Roman"/>
                <w:b w:val="0"/>
                <w:sz w:val="22"/>
              </w:rPr>
              <w:t>P, /, f, Q, U</w:t>
            </w:r>
          </w:p>
        </w:tc>
        <w:tc>
          <w:tcPr>
            <w:tcW w:type="dxa" w:w="5102"/>
          </w:tcPr>
          <w:p>
            <w:pPr>
              <w:spacing w:after="0" w:line="240" w:lineRule="auto"/>
              <w:ind w:firstLine="0"/>
              <w:jc w:val="center"/>
            </w:pPr>
            <w:r>
              <w:rPr>
                <w:rFonts w:ascii="Times New Roman" w:hAnsi="Times New Roman" w:cs="Times New Roman"/>
                <w:b w:val="0"/>
                <w:sz w:val="22"/>
              </w:rPr>
              <w:t>штучно стимульовані та невизначені</w:t>
            </w:r>
          </w:p>
        </w:tc>
      </w:tr>
    </w:tbl>
    <w:p>
      <w:pPr>
        <w:spacing w:line="360" w:lineRule="auto" w:after="0"/>
        <w:ind w:firstLine="720"/>
        <w:jc w:val="both"/>
      </w:pPr>
      <w:r>
        <w:rPr>
          <w:rFonts w:ascii="Times New Roman" w:hAnsi="Times New Roman" w:cs="Times New Roman"/>
          <w:b w:val="0"/>
          <w:i w:val="0"/>
          <w:sz w:val="28"/>
        </w:rPr>
        <w:t>Приклади усереднених форм ударів кожного суперкласу, виділених із реальних записів MIT-BIH, показано на рисунку 1.2. Видно, що шлуночкові скорочення (V) суттєво відрізняються формою комплексу QRS, тоді як надшлуночкові (S) морфологічно близькі до нормальних і розпізнаються переважно за порушенням ритму, а не за формою.</w:t>
      </w:r>
    </w:p>
    <w:p>
      <w:pPr>
        <w:keepNext/>
        <w:spacing w:before="120"/>
        <w:ind w:firstLine="0"/>
        <w:jc w:val="center"/>
      </w:pPr>
      <w:r>
        <w:drawing>
          <wp:inline xmlns:a="http://schemas.openxmlformats.org/drawingml/2006/main" xmlns:pic="http://schemas.openxmlformats.org/drawingml/2006/picture">
            <wp:extent cx="5400000" cy="4628571"/>
            <wp:docPr id="2" name="Picture 2"/>
            <wp:cNvGraphicFramePr>
              <a:graphicFrameLocks noChangeAspect="1"/>
            </wp:cNvGraphicFramePr>
            <a:graphic>
              <a:graphicData uri="http://schemas.openxmlformats.org/drawingml/2006/picture">
                <pic:pic>
                  <pic:nvPicPr>
                    <pic:cNvPr id="0" name="example_beats.png"/>
                    <pic:cNvPicPr/>
                  </pic:nvPicPr>
                  <pic:blipFill>
                    <a:blip r:embed="rId12"/>
                    <a:stretch>
                      <a:fillRect/>
                    </a:stretch>
                  </pic:blipFill>
                  <pic:spPr>
                    <a:xfrm>
                      <a:off x="0" y="0"/>
                      <a:ext cx="5400000" cy="4628571"/>
                    </a:xfrm>
                    <a:prstGeom prst="rect"/>
                  </pic:spPr>
                </pic:pic>
              </a:graphicData>
            </a:graphic>
          </wp:inline>
        </w:drawing>
      </w:r>
    </w:p>
    <w:p>
      <w:pPr>
        <w:spacing w:after="160"/>
        <w:ind w:firstLine="0"/>
        <w:jc w:val="center"/>
      </w:pPr>
      <w:r>
        <w:rPr>
          <w:rFonts w:ascii="Times New Roman" w:hAnsi="Times New Roman" w:cs="Times New Roman"/>
          <w:sz w:val="28"/>
        </w:rPr>
        <w:t>Рисунок 1.2 — Приклади ударів п’яти суперкласів AAMI, виділені з бази MIT-BIH</w:t>
      </w:r>
    </w:p>
    <w:p>
      <w:pPr>
        <w:pStyle w:val="Heading2"/>
        <w:spacing w:before="120"/>
        <w:ind w:firstLine="720"/>
        <w:jc w:val="left"/>
      </w:pPr>
      <w:r>
        <w:rPr>
          <w:rFonts w:ascii="Times New Roman" w:hAnsi="Times New Roman" w:cs="Times New Roman"/>
          <w:b/>
          <w:color w:val="000000"/>
          <w:sz w:val="28"/>
        </w:rPr>
        <w:t>1.4 Огляд методів класифікації серцевих скорочень</w:t>
      </w:r>
    </w:p>
    <w:p>
      <w:pPr>
        <w:spacing w:line="360" w:lineRule="auto" w:after="0"/>
        <w:ind w:firstLine="720"/>
        <w:jc w:val="both"/>
      </w:pPr>
      <w:r>
        <w:rPr>
          <w:rFonts w:ascii="Times New Roman" w:hAnsi="Times New Roman" w:cs="Times New Roman"/>
          <w:b w:val="0"/>
          <w:i w:val="0"/>
          <w:sz w:val="28"/>
        </w:rPr>
        <w:t>Методи автоматичної класифікації умовно поділяють на три групи: засновані на правилах, класичне машинне навчання над ручними ознаками та глибоке навчання над сирим сигналом.</w:t>
      </w:r>
    </w:p>
    <w:p>
      <w:pPr>
        <w:spacing w:line="360" w:lineRule="auto" w:after="0"/>
        <w:ind w:firstLine="720"/>
        <w:jc w:val="both"/>
      </w:pPr>
      <w:r>
        <w:rPr>
          <w:rFonts w:ascii="Times New Roman" w:hAnsi="Times New Roman" w:cs="Times New Roman"/>
          <w:b w:val="0"/>
          <w:i w:val="0"/>
          <w:sz w:val="28"/>
        </w:rPr>
        <w:t>Підхід на основі правил формалізує клінічні критерії у вигляді порогів на тривалості QRS, інтервалах RR та інших вимірюваннях. Він прозорий та інтерпретований, проте погано охоплює нетипові форми й потребує ручного налаштування порогів. Саме такий підхід реалізовано в попередній курсовій роботі, і в цій роботі він збережений як базова лінія для порівняння.</w:t>
      </w:r>
    </w:p>
    <w:p>
      <w:pPr>
        <w:spacing w:line="360" w:lineRule="auto" w:after="0"/>
        <w:ind w:firstLine="720"/>
        <w:jc w:val="both"/>
      </w:pPr>
      <w:r>
        <w:rPr>
          <w:rFonts w:ascii="Times New Roman" w:hAnsi="Times New Roman" w:cs="Times New Roman"/>
          <w:b w:val="0"/>
          <w:i w:val="0"/>
          <w:sz w:val="28"/>
        </w:rPr>
        <w:t>Класичне машинне навчання спирається на ручні ознаки. Основоположна праця de Chazal та співавторів [9] поєднала морфологічні ознаки з ознаками інтервалів між ударами й лінійним класифікатором, запровадивши міжпацієнтний протокол оцінювання, який став стандартом де-факто. Llamedo та Martínez [10] показали роль відбору ознак за критерієм узагальнення між базами, а Mar та співавтори [11] поєднали розширений набір ознак із послідовним відбором та нейромережевим класифікатором. Спільним для цих праць є висновок, що надшлуночкові скорочення визначаються переважно ритмом (ознаками RR), а шлуночкові — формою.</w:t>
      </w:r>
    </w:p>
    <w:p>
      <w:pPr>
        <w:spacing w:line="360" w:lineRule="auto" w:after="0"/>
        <w:ind w:firstLine="720"/>
        <w:jc w:val="both"/>
      </w:pPr>
      <w:r>
        <w:rPr>
          <w:rFonts w:ascii="Times New Roman" w:hAnsi="Times New Roman" w:cs="Times New Roman"/>
          <w:b w:val="0"/>
          <w:i w:val="0"/>
          <w:sz w:val="28"/>
        </w:rPr>
        <w:t>Глибоке навчання дає змогу відмовитися від ручного конструювання ознак. Acharya та співавтори [12] застосували одновимірну згорткову мережу до сегментів ЕКГ, Kachuee та співавтори [13] запропонували глибоке залишкове подання з перенесенням знань, а Hannun, Rajpurkar та співавтори [14] продемонстрували на великому наборі амбулаторних записів якість, що наближається до рівня лікаря-кардіолога. Загальні принципи глибокого навчання узагальнено в огляді [15].</w:t>
      </w:r>
    </w:p>
    <w:p>
      <w:pPr>
        <w:pStyle w:val="Heading2"/>
        <w:spacing w:before="120"/>
        <w:ind w:firstLine="720"/>
        <w:jc w:val="left"/>
      </w:pPr>
      <w:r>
        <w:rPr>
          <w:rFonts w:ascii="Times New Roman" w:hAnsi="Times New Roman" w:cs="Times New Roman"/>
          <w:b/>
          <w:color w:val="000000"/>
          <w:sz w:val="28"/>
        </w:rPr>
        <w:t>1.5 Протокол оцінювання, метрики та незбалансованість класів</w:t>
      </w:r>
    </w:p>
    <w:p>
      <w:pPr>
        <w:spacing w:line="360" w:lineRule="auto" w:after="0"/>
        <w:ind w:firstLine="720"/>
        <w:jc w:val="both"/>
      </w:pPr>
      <w:r>
        <w:rPr>
          <w:rFonts w:ascii="Times New Roman" w:hAnsi="Times New Roman" w:cs="Times New Roman"/>
          <w:b w:val="0"/>
          <w:i w:val="0"/>
          <w:sz w:val="28"/>
        </w:rPr>
        <w:t>Достовірність опублікованих показників критично залежить від способу поділу даних. За випадкового поділу удари того самого пацієнта потрапляють і в навчальну, і в тестову вибірку, що завищує оцінку через індивідуальні особливості ритму. Міжпацієнтний поділ DS1/DS2 [9] усуває це: записи пацієнтів навчальної та тестової підмножин не перетинаються. Через це абсолютні значення показників за міжпацієнтним протоколом помітно нижчі, ніж за внутрішньопацієнтним, але саме вони відображають реальну здатність моделі до узагальнення на нових пацієнтів, а не запам’ятовування індивідуального ритму.</w:t>
      </w:r>
    </w:p>
    <w:p>
      <w:pPr>
        <w:spacing w:line="360" w:lineRule="auto" w:after="0"/>
        <w:ind w:firstLine="720"/>
        <w:jc w:val="both"/>
      </w:pPr>
      <w:r>
        <w:rPr>
          <w:rFonts w:ascii="Times New Roman" w:hAnsi="Times New Roman" w:cs="Times New Roman"/>
          <w:b w:val="0"/>
          <w:i w:val="0"/>
          <w:sz w:val="28"/>
        </w:rPr>
        <w:t>Для багатокласової задачі якість оцінюють через матрицю невідповідностей та похідні від неї величини. Для кожного класу вводять кількість істинно позитивних TP, хибно позитивних FP та хибно негативних FN рішень. На їх основі означують точність (precision) і повноту (recall):</w:t>
      </w:r>
    </w:p>
    <w:p>
      <w:pPr>
        <w:spacing w:line="360" w:lineRule="auto" w:after="0"/>
        <w:ind w:firstLine="0"/>
        <w:jc w:val="center"/>
      </w:pPr>
      <w:r>
        <w:rPr>
          <w:rFonts w:ascii="Times New Roman" w:hAnsi="Times New Roman" w:cs="Times New Roman"/>
          <w:b w:val="0"/>
          <w:i w:val="0"/>
          <w:sz w:val="28"/>
        </w:rPr>
        <w:t>Precision = TP / (TP + FP),     Recall = TP / (TP + FN).</w:t>
      </w:r>
    </w:p>
    <w:p>
      <w:pPr>
        <w:spacing w:line="360" w:lineRule="auto" w:after="0"/>
        <w:ind w:firstLine="720"/>
        <w:jc w:val="both"/>
      </w:pPr>
      <w:r>
        <w:rPr>
          <w:rFonts w:ascii="Times New Roman" w:hAnsi="Times New Roman" w:cs="Times New Roman"/>
          <w:b w:val="0"/>
          <w:i w:val="0"/>
          <w:sz w:val="28"/>
        </w:rPr>
        <w:t>Точність відповідає на питання, яка частка позначених класом ударів справді належить до нього, а повнота — яку частку справжніх ударів класу вдалося виявити. Їх узагальнює міра F1 як гармонічне середнє:</w:t>
      </w:r>
    </w:p>
    <w:p>
      <w:pPr>
        <w:spacing w:line="360" w:lineRule="auto" w:after="0"/>
        <w:ind w:firstLine="0"/>
        <w:jc w:val="center"/>
      </w:pPr>
      <w:r>
        <w:rPr>
          <w:rFonts w:ascii="Times New Roman" w:hAnsi="Times New Roman" w:cs="Times New Roman"/>
          <w:b w:val="0"/>
          <w:i w:val="0"/>
          <w:sz w:val="28"/>
        </w:rPr>
        <w:t>F1 = 2 · Precision · Recall / (Precision + Recall).</w:t>
      </w:r>
    </w:p>
    <w:p>
      <w:pPr>
        <w:spacing w:line="360" w:lineRule="auto" w:after="0"/>
        <w:ind w:firstLine="720"/>
        <w:jc w:val="both"/>
      </w:pPr>
      <w:r>
        <w:rPr>
          <w:rFonts w:ascii="Times New Roman" w:hAnsi="Times New Roman" w:cs="Times New Roman"/>
          <w:b w:val="0"/>
          <w:i w:val="0"/>
          <w:sz w:val="28"/>
        </w:rPr>
        <w:t>Для зведення покласових мір в один показник застосовують макроусереднення, що надає всім класам однакову вагу незалежно від їхньої чисельності:</w:t>
      </w:r>
    </w:p>
    <w:p>
      <w:pPr>
        <w:spacing w:line="360" w:lineRule="auto" w:after="0"/>
        <w:ind w:firstLine="0"/>
        <w:jc w:val="center"/>
      </w:pPr>
      <w:r>
        <w:rPr>
          <w:rFonts w:ascii="Times New Roman" w:hAnsi="Times New Roman" w:cs="Times New Roman"/>
          <w:b w:val="0"/>
          <w:i w:val="0"/>
          <w:sz w:val="28"/>
        </w:rPr>
        <w:t>macro-F1 = (1 / K) · Σ F1_k,   де K — кількість класів.</w:t>
      </w:r>
    </w:p>
    <w:p>
      <w:pPr>
        <w:spacing w:line="360" w:lineRule="auto" w:after="0"/>
        <w:ind w:firstLine="720"/>
        <w:jc w:val="both"/>
      </w:pPr>
      <w:r>
        <w:rPr>
          <w:rFonts w:ascii="Times New Roman" w:hAnsi="Times New Roman" w:cs="Times New Roman"/>
          <w:b w:val="0"/>
          <w:i w:val="0"/>
          <w:sz w:val="28"/>
        </w:rPr>
        <w:t>Загальну частку правильних відповідей (accuracy) обчислюють як відношення кількості правильно класифікованих ударів до їх загальної кількості. Додатково використовують площу під ROC-кривою (AUC) за схемою «один проти всіх», яка характеризує роздільну здатність моделі незалежно від обраного порога.</w:t>
      </w:r>
    </w:p>
    <w:p>
      <w:pPr>
        <w:spacing w:line="360" w:lineRule="auto" w:after="0"/>
        <w:ind w:firstLine="720"/>
        <w:jc w:val="both"/>
      </w:pPr>
      <w:r>
        <w:rPr>
          <w:rFonts w:ascii="Times New Roman" w:hAnsi="Times New Roman" w:cs="Times New Roman"/>
          <w:b w:val="0"/>
          <w:i w:val="0"/>
          <w:sz w:val="28"/>
        </w:rPr>
        <w:t>Друга особливість задачі — сильна незбалансованість класів: нормальні скорочення становлять близько 90 % усіх ударів, тоді як зливні трапляються вкрай рідко. За таких умов accuracy є оманливою, бо тривіальний класифікатор, що завжди передбачає клас N, досягає близько 0,90 точності, не виявляючи жодної патології. Саме тому основним показником у роботі обрано macro-F1, який «карає» модель за ігнорування рідкісних класів, а додатковим — повноту за рідкісними класами S, V і F, бо клінічна вартість пропуску патологічного скорочення значно перевищує вартість хибної тривоги.</w:t>
      </w:r>
    </w:p>
    <w:p>
      <w:pPr>
        <w:pStyle w:val="Heading2"/>
        <w:spacing w:before="120"/>
        <w:ind w:firstLine="720"/>
        <w:jc w:val="left"/>
      </w:pPr>
      <w:r>
        <w:rPr>
          <w:rFonts w:ascii="Times New Roman" w:hAnsi="Times New Roman" w:cs="Times New Roman"/>
          <w:b/>
          <w:color w:val="000000"/>
          <w:sz w:val="28"/>
        </w:rPr>
        <w:t>1.6 Постановка задачі та обґрунтування новизни</w:t>
      </w:r>
    </w:p>
    <w:p>
      <w:pPr>
        <w:spacing w:line="360" w:lineRule="auto" w:after="0"/>
        <w:ind w:firstLine="720"/>
        <w:jc w:val="both"/>
      </w:pPr>
      <w:r>
        <w:rPr>
          <w:rFonts w:ascii="Times New Roman" w:hAnsi="Times New Roman" w:cs="Times New Roman"/>
          <w:b w:val="0"/>
          <w:i w:val="0"/>
          <w:sz w:val="28"/>
        </w:rPr>
        <w:t>На підставі огляду сформульовано задачу: побудувати систему, яка приймає ЕКГ у кількох форматах, зводить їх до спільного подання й класифікує кожне скорочення на один із п’яти суперкласів AAMI за міжпацієнтним протоколом, а також кількісно перевіряє стійкість класифікації до перетворення між форматами. Перше з цих завдань вирішується запропонованим гібридним класифікатором, який поєднує сильні сторони ознакового та сигнального підходів; друге — бенчмарком багатоформатної стійкості, що описаний у четвертому розділі.</w:t>
      </w:r>
    </w:p>
    <w:p>
      <w:pPr>
        <w:pStyle w:val="Heading1"/>
        <w:pageBreakBefore/>
        <w:ind w:firstLine="0"/>
        <w:jc w:val="center"/>
      </w:pPr>
      <w:r>
        <w:rPr>
          <w:rFonts w:ascii="Times New Roman" w:hAnsi="Times New Roman" w:cs="Times New Roman"/>
          <w:b/>
          <w:color w:val="000000"/>
          <w:sz w:val="28"/>
        </w:rPr>
        <w:t>2 УНІФІКОВАНА ОБРОБКА ЕКГ-СИГНАЛІВ РІЗНИХ ФОРМАТІВ</w:t>
      </w:r>
    </w:p>
    <w:p>
      <w:pPr>
        <w:pStyle w:val="Heading2"/>
        <w:spacing w:before="120"/>
        <w:ind w:firstLine="720"/>
        <w:jc w:val="left"/>
      </w:pPr>
      <w:r>
        <w:rPr>
          <w:rFonts w:ascii="Times New Roman" w:hAnsi="Times New Roman" w:cs="Times New Roman"/>
          <w:b/>
          <w:color w:val="000000"/>
          <w:sz w:val="28"/>
        </w:rPr>
        <w:t>2.1 Загальна архітектура системи</w:t>
      </w:r>
    </w:p>
    <w:p>
      <w:pPr>
        <w:spacing w:line="360" w:lineRule="auto" w:after="0"/>
        <w:ind w:firstLine="720"/>
        <w:jc w:val="both"/>
      </w:pPr>
      <w:r>
        <w:rPr>
          <w:rFonts w:ascii="Times New Roman" w:hAnsi="Times New Roman" w:cs="Times New Roman"/>
          <w:b w:val="0"/>
          <w:i w:val="0"/>
          <w:sz w:val="28"/>
        </w:rPr>
        <w:t>Систему побудовано як модульний пакет ekg з чітким розділенням відповідальностей між шарами. Нижній шар відповідає за зчитування форматів і зведення їх до спільного подання, середній — за обробку сигналу й виділення ознак, верхній — за моделі та сервіси доступу. Таке розділення дає змогу повторно використовувати перевірені компоненти попередньої роботи й незалежно розвивати кожний шар. Загальну структуру наведено на рисунку 2.1.</w:t>
      </w:r>
    </w:p>
    <w:p>
      <w:pPr>
        <w:keepNext/>
        <w:spacing w:before="120"/>
        <w:ind w:firstLine="0"/>
        <w:jc w:val="center"/>
      </w:pPr>
      <w:r>
        <w:drawing>
          <wp:inline xmlns:a="http://schemas.openxmlformats.org/drawingml/2006/main" xmlns:pic="http://schemas.openxmlformats.org/drawingml/2006/picture">
            <wp:extent cx="5220000" cy="4515648"/>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220000" cy="4515648"/>
                    </a:xfrm>
                    <a:prstGeom prst="rect"/>
                  </pic:spPr>
                </pic:pic>
              </a:graphicData>
            </a:graphic>
          </wp:inline>
        </w:drawing>
      </w:r>
    </w:p>
    <w:p>
      <w:pPr>
        <w:spacing w:after="160"/>
        <w:ind w:firstLine="0"/>
        <w:jc w:val="center"/>
      </w:pPr>
      <w:r>
        <w:rPr>
          <w:rFonts w:ascii="Times New Roman" w:hAnsi="Times New Roman" w:cs="Times New Roman"/>
          <w:sz w:val="28"/>
        </w:rPr>
        <w:t>Рисунок 2.1 — Загальна архітектура системи: від вхідних форматів через спільне подання до моделей і сервісів</w:t>
      </w:r>
    </w:p>
    <w:p>
      <w:pPr>
        <w:spacing w:line="360" w:lineRule="auto" w:after="0"/>
        <w:ind w:firstLine="720"/>
        <w:jc w:val="both"/>
      </w:pPr>
      <w:r>
        <w:rPr>
          <w:rFonts w:ascii="Times New Roman" w:hAnsi="Times New Roman" w:cs="Times New Roman"/>
          <w:b w:val="0"/>
          <w:i w:val="0"/>
          <w:sz w:val="28"/>
        </w:rPr>
        <w:t>Переструктурування успадкованого коду виконано як механічний поділ монолітних модулів без зміни логіки: класи обробки сигналу, морфологічного аналізу та аналізу варіабельності ритму винесено в окремі підпакети, а перетворювачі форматів — у пакет parsers. Поведінку базового конвеєра збережено, що дало змогу повторно використати вже перевірені алгоритми.</w:t>
      </w:r>
    </w:p>
    <w:p>
      <w:pPr>
        <w:pStyle w:val="Heading2"/>
        <w:spacing w:before="120"/>
        <w:ind w:firstLine="720"/>
        <w:jc w:val="left"/>
      </w:pPr>
      <w:r>
        <w:rPr>
          <w:rFonts w:ascii="Times New Roman" w:hAnsi="Times New Roman" w:cs="Times New Roman"/>
          <w:b/>
          <w:color w:val="000000"/>
          <w:sz w:val="28"/>
        </w:rPr>
        <w:t>2.2 Уніфікований парсер і виявлення формату</w:t>
      </w:r>
    </w:p>
    <w:p>
      <w:pPr>
        <w:spacing w:line="360" w:lineRule="auto" w:after="0"/>
        <w:ind w:firstLine="720"/>
        <w:jc w:val="both"/>
      </w:pPr>
      <w:r>
        <w:rPr>
          <w:rFonts w:ascii="Times New Roman" w:hAnsi="Times New Roman" w:cs="Times New Roman"/>
          <w:b w:val="0"/>
          <w:i w:val="0"/>
          <w:sz w:val="28"/>
        </w:rPr>
        <w:t>Зчитування починається з автоматичного виявлення формату за сигнатурою файлу й розширенням. Функція виявлення формату аналізує вміст і обирає відповідний перетворювач, після чого сигнал зводиться до спільного подання у форматі XML. Це подання містить значення відліків за відведеннями, частоту дискретизації та метадані. Усі подальші модулі працюють лише зі спільним поданням, тому додавання нового формату потребує реалізації єдиного перетворювача, а не зміни решти системи.</w:t>
      </w:r>
    </w:p>
    <w:p>
      <w:pPr>
        <w:spacing w:line="360" w:lineRule="auto" w:after="0"/>
        <w:ind w:firstLine="720"/>
        <w:jc w:val="both"/>
      </w:pPr>
      <w:r>
        <w:rPr>
          <w:rFonts w:ascii="Times New Roman" w:hAnsi="Times New Roman" w:cs="Times New Roman"/>
          <w:b w:val="0"/>
          <w:i w:val="0"/>
          <w:sz w:val="28"/>
        </w:rPr>
        <w:t>Спільне подання відіграє ключову роль і в бенчмарку багатоформатної стійкості: саме через нього сигнал, експортований у інший формат і повторно зчитаний, повертається до конвеєра класифікації. Це дає змогу прямо виміряти вплив перетворення формату на результат.</w:t>
      </w:r>
    </w:p>
    <w:p>
      <w:pPr>
        <w:pStyle w:val="Heading2"/>
        <w:spacing w:before="120"/>
        <w:ind w:firstLine="720"/>
        <w:jc w:val="left"/>
      </w:pPr>
      <w:r>
        <w:rPr>
          <w:rFonts w:ascii="Times New Roman" w:hAnsi="Times New Roman" w:cs="Times New Roman"/>
          <w:b/>
          <w:color w:val="000000"/>
          <w:sz w:val="28"/>
        </w:rPr>
        <w:t>2.3 Попередня обробка сигналу</w:t>
      </w:r>
    </w:p>
    <w:p>
      <w:pPr>
        <w:spacing w:line="360" w:lineRule="auto" w:after="0"/>
        <w:ind w:firstLine="720"/>
        <w:jc w:val="both"/>
      </w:pPr>
      <w:r>
        <w:rPr>
          <w:rFonts w:ascii="Times New Roman" w:hAnsi="Times New Roman" w:cs="Times New Roman"/>
          <w:b w:val="0"/>
          <w:i w:val="0"/>
          <w:sz w:val="28"/>
        </w:rPr>
        <w:t>Сирий сигнал містить мережеву заваду, м’язові артефакти й низькочастотний дрейф ізолінії. Для їх придушення застосовано смугову фільтрацію, що зберігає діагностично значущу смугу комплексу QRS і послаблює завади поза нею. Параметри фільтрації узгоджено з частотою дискретизації запису (360 Гц для MIT-BIH). Попередня обробка є спільною для всіх подальших етапів і не залежить від обраної моделі класифікації.</w:t>
      </w:r>
    </w:p>
    <w:p>
      <w:pPr>
        <w:pStyle w:val="Heading2"/>
        <w:spacing w:before="120"/>
        <w:ind w:firstLine="720"/>
        <w:jc w:val="left"/>
      </w:pPr>
      <w:r>
        <w:rPr>
          <w:rFonts w:ascii="Times New Roman" w:hAnsi="Times New Roman" w:cs="Times New Roman"/>
          <w:b/>
          <w:color w:val="000000"/>
          <w:sz w:val="28"/>
        </w:rPr>
        <w:t>2.4 Виявлення R-піків</w:t>
      </w:r>
    </w:p>
    <w:p>
      <w:pPr>
        <w:spacing w:line="360" w:lineRule="auto" w:after="0"/>
        <w:ind w:firstLine="720"/>
        <w:jc w:val="both"/>
      </w:pPr>
      <w:r>
        <w:rPr>
          <w:rFonts w:ascii="Times New Roman" w:hAnsi="Times New Roman" w:cs="Times New Roman"/>
          <w:b w:val="0"/>
          <w:i w:val="0"/>
          <w:sz w:val="28"/>
        </w:rPr>
        <w:t>Опорними точками ритму є R-піки. У системі застосовано ансамблевий детектор, що поєднує три взаємодоповнювальні підходи. Перший — класичний алгоритм Пана й Томпкінса [2], який послідовно виконує смугову фільтрацію, диференціювання, піднесення до квадрата та інтегрування ковзним вікном. Диференціювання підкреслює круті фронти комплексу QRS:</w:t>
      </w:r>
    </w:p>
    <w:p>
      <w:pPr>
        <w:spacing w:line="360" w:lineRule="auto" w:after="0"/>
        <w:ind w:firstLine="0"/>
        <w:jc w:val="center"/>
      </w:pPr>
      <w:r>
        <w:rPr>
          <w:rFonts w:ascii="Times New Roman" w:hAnsi="Times New Roman" w:cs="Times New Roman"/>
          <w:b w:val="0"/>
          <w:i w:val="0"/>
          <w:sz w:val="28"/>
        </w:rPr>
        <w:t>y[n] = (1/8)·(2x[n] + x[n−1] − x[n−3] − 2x[n−4]),</w:t>
      </w:r>
    </w:p>
    <w:p>
      <w:pPr>
        <w:spacing w:line="360" w:lineRule="auto" w:after="0"/>
        <w:ind w:firstLine="720"/>
        <w:jc w:val="both"/>
      </w:pPr>
      <w:r>
        <w:rPr>
          <w:rFonts w:ascii="Times New Roman" w:hAnsi="Times New Roman" w:cs="Times New Roman"/>
          <w:b w:val="0"/>
          <w:i w:val="0"/>
          <w:sz w:val="28"/>
        </w:rPr>
        <w:t>після чого сигнал підносять до квадрата (y[n] = x[n]^2), що робить усі значення додатними й нелінійно підсилює великі похідні, та згладжують інтегруванням ковзним вікном завширшки приблизно 150 мс. На отриманому сигналі застосовують адаптивні пороги, які оновлюються за рівнями сигналу й шуму.</w:t>
      </w:r>
    </w:p>
    <w:p>
      <w:pPr>
        <w:spacing w:line="360" w:lineRule="auto" w:after="0"/>
        <w:ind w:firstLine="720"/>
        <w:jc w:val="both"/>
      </w:pPr>
      <w:r>
        <w:rPr>
          <w:rFonts w:ascii="Times New Roman" w:hAnsi="Times New Roman" w:cs="Times New Roman"/>
          <w:b w:val="0"/>
          <w:i w:val="0"/>
          <w:sz w:val="28"/>
        </w:rPr>
        <w:t>Другий підхід — самостійне адаптивне порогування вихідного сигналу, що підлаштовується під локальну амплітуду й компенсує дрейф ізолінії. Третій — вейвлет-аналіз [16], який локалізує різкі перепади комплексу QRS у часо-частотній площині й стійкий до вузькосмугових завад. Узгодження рішень трьох гілок підвищує надійність виявлення на зашумлених ділянках порівняно з кожним методом окремо. Точність цього етапу безпосередньо впливає на якість сегментації ударів і виділених з них ознак, тому йому приділено особливу увагу.</w:t>
      </w:r>
    </w:p>
    <w:p>
      <w:pPr>
        <w:pStyle w:val="Heading2"/>
        <w:spacing w:before="120"/>
        <w:ind w:firstLine="720"/>
        <w:jc w:val="left"/>
      </w:pPr>
      <w:r>
        <w:rPr>
          <w:rFonts w:ascii="Times New Roman" w:hAnsi="Times New Roman" w:cs="Times New Roman"/>
          <w:b/>
          <w:color w:val="000000"/>
          <w:sz w:val="28"/>
        </w:rPr>
        <w:t>2.5 Морфологічний аналіз</w:t>
      </w:r>
    </w:p>
    <w:p>
      <w:pPr>
        <w:spacing w:line="360" w:lineRule="auto" w:after="0"/>
        <w:ind w:firstLine="720"/>
        <w:jc w:val="both"/>
      </w:pPr>
      <w:r>
        <w:rPr>
          <w:rFonts w:ascii="Times New Roman" w:hAnsi="Times New Roman" w:cs="Times New Roman"/>
          <w:b w:val="0"/>
          <w:i w:val="0"/>
          <w:sz w:val="28"/>
        </w:rPr>
        <w:t>Модуль морфологічного аналізу визначає межі комплексу QRS і виявляє зубці P та T навколо кожного R-піка. На основі цього обчислюються тривалість і амплітуда QRS, площа комплексу, нахили його фронтів та енергії зон зубців P і T. Ці вимірювання мають прозору фізіологічну інтерпретацію й утворюють морфологічну частину ознакового вектора, який використовують класичні моделі та ознаковий потік гібридного класифікатора.</w:t>
      </w:r>
    </w:p>
    <w:p>
      <w:pPr>
        <w:pStyle w:val="Heading2"/>
        <w:spacing w:before="120"/>
        <w:ind w:firstLine="720"/>
        <w:jc w:val="left"/>
      </w:pPr>
      <w:r>
        <w:rPr>
          <w:rFonts w:ascii="Times New Roman" w:hAnsi="Times New Roman" w:cs="Times New Roman"/>
          <w:b/>
          <w:color w:val="000000"/>
          <w:sz w:val="28"/>
        </w:rPr>
        <w:t>2.6 Аналіз варіабельності серцевого ритму</w:t>
      </w:r>
    </w:p>
    <w:p>
      <w:pPr>
        <w:spacing w:line="360" w:lineRule="auto" w:after="0"/>
        <w:ind w:firstLine="720"/>
        <w:jc w:val="both"/>
      </w:pPr>
      <w:r>
        <w:rPr>
          <w:rFonts w:ascii="Times New Roman" w:hAnsi="Times New Roman" w:cs="Times New Roman"/>
          <w:b w:val="0"/>
          <w:i w:val="0"/>
          <w:sz w:val="28"/>
        </w:rPr>
        <w:t>Послідовність інтервалів RR несе інформацію про регуляцію серцевого ритму. Модуль аналізу варіабельності обчислює показники в часовій, частотній і нелінійній областях відповідно до рекомендацій [17]. Для задачі класифікації окремого удару найважливішими є локальні ознаки ритму: попередній і наступний інтервали RR та їх співвідношення, які дають змогу відрізнити передчасні надшлуночкові скорочення від нормальних.</w:t>
      </w:r>
    </w:p>
    <w:p>
      <w:pPr>
        <w:pStyle w:val="Heading2"/>
        <w:spacing w:before="120"/>
        <w:ind w:firstLine="720"/>
        <w:jc w:val="left"/>
      </w:pPr>
      <w:r>
        <w:rPr>
          <w:rFonts w:ascii="Times New Roman" w:hAnsi="Times New Roman" w:cs="Times New Roman"/>
          <w:b/>
          <w:color w:val="000000"/>
          <w:sz w:val="28"/>
        </w:rPr>
        <w:t>2.7 Сегментація ударів і нормалізація</w:t>
      </w:r>
    </w:p>
    <w:p>
      <w:pPr>
        <w:spacing w:line="360" w:lineRule="auto" w:after="0"/>
        <w:ind w:firstLine="720"/>
        <w:jc w:val="both"/>
      </w:pPr>
      <w:r>
        <w:rPr>
          <w:rFonts w:ascii="Times New Roman" w:hAnsi="Times New Roman" w:cs="Times New Roman"/>
          <w:b w:val="0"/>
          <w:i w:val="0"/>
          <w:sz w:val="28"/>
        </w:rPr>
        <w:t>Для кожного R-піка (виявленого детектором або взятого з еталонної розмітки бази даних) формується вікно фіксованої довжини в 260 відліків: 90 відліків до піка й 170 після нього, що за частоти 360 Гц відповідає приблизно 722 мс і охоплює повний цикл від зубця P до зубця T. Асиметрія вікна (більша частина після піка) зумовлена тим, що діагностично важливі зубці T і сегмент ST розташовані саме після комплексу QRS. Кожне вікно піддають z-нормалізації:</w:t>
      </w:r>
    </w:p>
    <w:p>
      <w:pPr>
        <w:spacing w:line="360" w:lineRule="auto" w:after="0"/>
        <w:ind w:firstLine="0"/>
        <w:jc w:val="center"/>
      </w:pPr>
      <w:r>
        <w:rPr>
          <w:rFonts w:ascii="Times New Roman" w:hAnsi="Times New Roman" w:cs="Times New Roman"/>
          <w:b w:val="0"/>
          <w:i w:val="0"/>
          <w:sz w:val="28"/>
        </w:rPr>
        <w:t>x'[n] = (x[n] − μ) / σ,   де μ і σ — середнє та стандартне відхилення відліків вікна.</w:t>
      </w:r>
    </w:p>
    <w:p>
      <w:pPr>
        <w:spacing w:line="360" w:lineRule="auto" w:after="0"/>
        <w:ind w:firstLine="720"/>
        <w:jc w:val="both"/>
      </w:pPr>
      <w:r>
        <w:rPr>
          <w:rFonts w:ascii="Times New Roman" w:hAnsi="Times New Roman" w:cs="Times New Roman"/>
          <w:b w:val="0"/>
          <w:i w:val="0"/>
          <w:sz w:val="28"/>
        </w:rPr>
        <w:t>Така нормалізація усуває вплив сталого зміщення ізолінії та індивідуального масштабу амплітуди між записами, завдяки чому модель навчається форми скорочення, а не абсолютного рівня сигналу. Принцип сегментації показано на рисунку 2.2.</w:t>
      </w:r>
    </w:p>
    <w:p>
      <w:pPr>
        <w:keepNext/>
        <w:spacing w:before="120"/>
        <w:ind w:firstLine="0"/>
        <w:jc w:val="center"/>
      </w:pPr>
      <w:r>
        <w:drawing>
          <wp:inline xmlns:a="http://schemas.openxmlformats.org/drawingml/2006/main" xmlns:pic="http://schemas.openxmlformats.org/drawingml/2006/picture">
            <wp:extent cx="4860000" cy="2122428"/>
            <wp:docPr id="4" name="Picture 4"/>
            <wp:cNvGraphicFramePr>
              <a:graphicFrameLocks noChangeAspect="1"/>
            </wp:cNvGraphicFramePr>
            <a:graphic>
              <a:graphicData uri="http://schemas.openxmlformats.org/drawingml/2006/picture">
                <pic:pic>
                  <pic:nvPicPr>
                    <pic:cNvPr id="0" name="beat_window.png"/>
                    <pic:cNvPicPr/>
                  </pic:nvPicPr>
                  <pic:blipFill>
                    <a:blip r:embed="rId14"/>
                    <a:stretch>
                      <a:fillRect/>
                    </a:stretch>
                  </pic:blipFill>
                  <pic:spPr>
                    <a:xfrm>
                      <a:off x="0" y="0"/>
                      <a:ext cx="4860000" cy="2122428"/>
                    </a:xfrm>
                    <a:prstGeom prst="rect"/>
                  </pic:spPr>
                </pic:pic>
              </a:graphicData>
            </a:graphic>
          </wp:inline>
        </w:drawing>
      </w:r>
    </w:p>
    <w:p>
      <w:pPr>
        <w:spacing w:after="160"/>
        <w:ind w:firstLine="0"/>
        <w:jc w:val="center"/>
      </w:pPr>
      <w:r>
        <w:rPr>
          <w:rFonts w:ascii="Times New Roman" w:hAnsi="Times New Roman" w:cs="Times New Roman"/>
          <w:sz w:val="28"/>
        </w:rPr>
        <w:t>Рисунок 2.2 — Сегментація удару: вікно у 260 відліків (90 до R-піка та 170 після) навколо опорної точки</w:t>
      </w:r>
    </w:p>
    <w:p>
      <w:pPr>
        <w:spacing w:line="360" w:lineRule="auto" w:after="0"/>
        <w:ind w:firstLine="720"/>
        <w:jc w:val="both"/>
      </w:pPr>
      <w:r>
        <w:rPr>
          <w:rFonts w:ascii="Times New Roman" w:hAnsi="Times New Roman" w:cs="Times New Roman"/>
          <w:b w:val="0"/>
          <w:i w:val="0"/>
          <w:sz w:val="28"/>
        </w:rPr>
        <w:t>Нормалізоване вікно є входом для згорткових моделей і сигнального потоку гібридного класифікатора, а також основою для обчислення морфологічних і вейвлет-ознак ознакового потоку.</w:t>
      </w:r>
    </w:p>
    <w:p>
      <w:pPr>
        <w:pStyle w:val="Heading1"/>
        <w:pageBreakBefore/>
        <w:ind w:firstLine="0"/>
        <w:jc w:val="center"/>
      </w:pPr>
      <w:r>
        <w:rPr>
          <w:rFonts w:ascii="Times New Roman" w:hAnsi="Times New Roman" w:cs="Times New Roman"/>
          <w:b/>
          <w:color w:val="000000"/>
          <w:sz w:val="28"/>
        </w:rPr>
        <w:t>3 МЕТОДИ МАШИННОГО НАВЧАННЯ ДЛЯ КЛАСИФІКАЦІЇ СЕРЦЕВИХ СКОРОЧЕНЬ</w:t>
      </w:r>
    </w:p>
    <w:p>
      <w:pPr>
        <w:pStyle w:val="Heading2"/>
        <w:spacing w:before="120"/>
        <w:ind w:firstLine="720"/>
        <w:jc w:val="left"/>
      </w:pPr>
      <w:r>
        <w:rPr>
          <w:rFonts w:ascii="Times New Roman" w:hAnsi="Times New Roman" w:cs="Times New Roman"/>
          <w:b/>
          <w:color w:val="000000"/>
          <w:sz w:val="28"/>
        </w:rPr>
        <w:t>3.1 Набір даних MIT-BIH і міжпацієнтний поділ</w:t>
      </w:r>
    </w:p>
    <w:p>
      <w:pPr>
        <w:spacing w:line="360" w:lineRule="auto" w:after="0"/>
        <w:ind w:firstLine="720"/>
        <w:jc w:val="both"/>
      </w:pPr>
      <w:r>
        <w:rPr>
          <w:rFonts w:ascii="Times New Roman" w:hAnsi="Times New Roman" w:cs="Times New Roman"/>
          <w:b w:val="0"/>
          <w:i w:val="0"/>
          <w:sz w:val="28"/>
        </w:rPr>
        <w:t>Експерименти виконано на MIT-BIH Arrhythmia Database [3; 4] — загальновизнаній базі з 48 півгодинних записів, оцифрованих з частотою 360 Гц. Завантаження виконується безпосередньо з PhysioNet, після чого кожне анотоване скорочення зіставляється з суперкласом AAMI. Чотири записи зі штучною стимуляцією (102, 104, 107, 217) вилучено згідно зі стандартом EC57 [8]. Решту розподілено за міжпацієнтним поділом de Chazal [9] на навчальну підмножину DS1 та тестову DS2 по 22 записи в кожній. Склад підмножин наведено в таблиці 3.1.</w:t>
      </w:r>
    </w:p>
    <w:p>
      <w:pPr>
        <w:keepNext/>
        <w:spacing w:before="120"/>
        <w:ind w:firstLine="720"/>
        <w:jc w:val="left"/>
      </w:pPr>
      <w:r>
        <w:rPr>
          <w:rFonts w:ascii="Times New Roman" w:hAnsi="Times New Roman" w:cs="Times New Roman"/>
          <w:sz w:val="28"/>
        </w:rPr>
        <w:t>Таблиця 3.1 — Міжпацієнтний поділ записів MIT-BIH</w:t>
      </w:r>
    </w:p>
    <w:tbl>
      <w:tblPr>
        <w:tblStyle w:val="TableGrid"/>
        <w:tblW w:type="auto" w:w="0"/>
        <w:jc w:val="center"/>
        <w:tblLook w:firstColumn="1" w:firstRow="1" w:lastColumn="0" w:lastRow="0" w:noHBand="0" w:noVBand="1" w:val="04A0"/>
      </w:tblPr>
      <w:tblGrid>
        <w:gridCol w:w="4961"/>
        <w:gridCol w:w="4961"/>
      </w:tblGrid>
      <w:tr>
        <w:tc>
          <w:tcPr>
            <w:tcW w:type="dxa" w:w="1984"/>
          </w:tcPr>
          <w:p>
            <w:pPr>
              <w:spacing w:after="0" w:line="240" w:lineRule="auto"/>
              <w:ind w:firstLine="0"/>
              <w:jc w:val="center"/>
            </w:pPr>
            <w:r>
              <w:rPr>
                <w:rFonts w:ascii="Times New Roman" w:hAnsi="Times New Roman" w:cs="Times New Roman"/>
                <w:b/>
                <w:sz w:val="22"/>
              </w:rPr>
              <w:t>Підмножина</w:t>
            </w:r>
          </w:p>
        </w:tc>
        <w:tc>
          <w:tcPr>
            <w:tcW w:type="dxa" w:w="7087"/>
          </w:tcPr>
          <w:p>
            <w:pPr>
              <w:spacing w:after="0" w:line="240" w:lineRule="auto"/>
              <w:ind w:firstLine="0"/>
              <w:jc w:val="center"/>
            </w:pPr>
            <w:r>
              <w:rPr>
                <w:rFonts w:ascii="Times New Roman" w:hAnsi="Times New Roman" w:cs="Times New Roman"/>
                <w:b/>
                <w:sz w:val="22"/>
              </w:rPr>
              <w:t>Записи</w:t>
            </w:r>
          </w:p>
        </w:tc>
      </w:tr>
      <w:tr>
        <w:tc>
          <w:tcPr>
            <w:tcW w:type="dxa" w:w="1984"/>
          </w:tcPr>
          <w:p>
            <w:pPr>
              <w:spacing w:after="0" w:line="240" w:lineRule="auto"/>
              <w:ind w:firstLine="0"/>
              <w:jc w:val="left"/>
            </w:pPr>
            <w:r>
              <w:rPr>
                <w:rFonts w:ascii="Times New Roman" w:hAnsi="Times New Roman" w:cs="Times New Roman"/>
                <w:b w:val="0"/>
                <w:sz w:val="22"/>
              </w:rPr>
              <w:t>DS1 (навчальна)</w:t>
            </w:r>
          </w:p>
        </w:tc>
        <w:tc>
          <w:tcPr>
            <w:tcW w:type="dxa" w:w="7087"/>
          </w:tcPr>
          <w:p>
            <w:pPr>
              <w:spacing w:after="0" w:line="240" w:lineRule="auto"/>
              <w:ind w:firstLine="0"/>
              <w:jc w:val="center"/>
            </w:pPr>
            <w:r>
              <w:rPr>
                <w:rFonts w:ascii="Times New Roman" w:hAnsi="Times New Roman" w:cs="Times New Roman"/>
                <w:b w:val="0"/>
                <w:sz w:val="22"/>
              </w:rPr>
              <w:t>101, 106, 108, 109, 112, 114, 115, 116, 118, 119, 122, 124, 201, 203, 205, 207, 208, 209, 215, 220, 223, 230</w:t>
            </w:r>
          </w:p>
        </w:tc>
      </w:tr>
      <w:tr>
        <w:tc>
          <w:tcPr>
            <w:tcW w:type="dxa" w:w="1984"/>
          </w:tcPr>
          <w:p>
            <w:pPr>
              <w:spacing w:after="0" w:line="240" w:lineRule="auto"/>
              <w:ind w:firstLine="0"/>
              <w:jc w:val="left"/>
            </w:pPr>
            <w:r>
              <w:rPr>
                <w:rFonts w:ascii="Times New Roman" w:hAnsi="Times New Roman" w:cs="Times New Roman"/>
                <w:b w:val="0"/>
                <w:sz w:val="22"/>
              </w:rPr>
              <w:t>DS2 (тестова)</w:t>
            </w:r>
          </w:p>
        </w:tc>
        <w:tc>
          <w:tcPr>
            <w:tcW w:type="dxa" w:w="7087"/>
          </w:tcPr>
          <w:p>
            <w:pPr>
              <w:spacing w:after="0" w:line="240" w:lineRule="auto"/>
              <w:ind w:firstLine="0"/>
              <w:jc w:val="center"/>
            </w:pPr>
            <w:r>
              <w:rPr>
                <w:rFonts w:ascii="Times New Roman" w:hAnsi="Times New Roman" w:cs="Times New Roman"/>
                <w:b w:val="0"/>
                <w:sz w:val="22"/>
              </w:rPr>
              <w:t>100, 103, 105, 111, 113, 117, 121, 123, 200, 202, 210, 212, 213, 214, 219, 221, 222, 228, 231, 232, 233, 234</w:t>
            </w:r>
          </w:p>
        </w:tc>
      </w:tr>
      <w:tr>
        <w:tc>
          <w:tcPr>
            <w:tcW w:type="dxa" w:w="1984"/>
          </w:tcPr>
          <w:p>
            <w:pPr>
              <w:spacing w:after="0" w:line="240" w:lineRule="auto"/>
              <w:ind w:firstLine="0"/>
              <w:jc w:val="left"/>
            </w:pPr>
            <w:r>
              <w:rPr>
                <w:rFonts w:ascii="Times New Roman" w:hAnsi="Times New Roman" w:cs="Times New Roman"/>
                <w:b w:val="0"/>
                <w:sz w:val="22"/>
              </w:rPr>
              <w:t>Вилучені</w:t>
            </w:r>
          </w:p>
        </w:tc>
        <w:tc>
          <w:tcPr>
            <w:tcW w:type="dxa" w:w="7087"/>
          </w:tcPr>
          <w:p>
            <w:pPr>
              <w:spacing w:after="0" w:line="240" w:lineRule="auto"/>
              <w:ind w:firstLine="0"/>
              <w:jc w:val="center"/>
            </w:pPr>
            <w:r>
              <w:rPr>
                <w:rFonts w:ascii="Times New Roman" w:hAnsi="Times New Roman" w:cs="Times New Roman"/>
                <w:b w:val="0"/>
                <w:sz w:val="22"/>
              </w:rPr>
              <w:t>102, 104, 107, 217 (штучна стимуляція)</w:t>
            </w:r>
          </w:p>
        </w:tc>
      </w:tr>
    </w:tbl>
    <w:p>
      <w:pPr>
        <w:spacing w:line="360" w:lineRule="auto" w:after="0"/>
        <w:ind w:firstLine="720"/>
        <w:jc w:val="both"/>
      </w:pPr>
      <w:r>
        <w:rPr>
          <w:rFonts w:ascii="Times New Roman" w:hAnsi="Times New Roman" w:cs="Times New Roman"/>
          <w:b w:val="0"/>
          <w:i w:val="0"/>
          <w:sz w:val="28"/>
        </w:rPr>
        <w:t>Після відбору навчальна підмножина містить 51 002 удари, тестова — 49 692. Розподіл класів у DS1 є вкрай нерівномірним: N — 45 848, V — 3 788, S — 944, F — 414, Q — 8. Майже повна відсутність класу Q робить його показники статистично ненадійними, тому основну увагу приділено класам N, S, V та F.</w:t>
      </w:r>
    </w:p>
    <w:p>
      <w:pPr>
        <w:pStyle w:val="Heading2"/>
        <w:spacing w:before="120"/>
        <w:ind w:firstLine="720"/>
        <w:jc w:val="left"/>
      </w:pPr>
      <w:r>
        <w:rPr>
          <w:rFonts w:ascii="Times New Roman" w:hAnsi="Times New Roman" w:cs="Times New Roman"/>
          <w:b/>
          <w:color w:val="000000"/>
          <w:sz w:val="28"/>
        </w:rPr>
        <w:t>3.2 Виділення ознак окремого удару</w:t>
      </w:r>
    </w:p>
    <w:p>
      <w:pPr>
        <w:spacing w:line="360" w:lineRule="auto" w:after="0"/>
        <w:ind w:firstLine="720"/>
        <w:jc w:val="both"/>
      </w:pPr>
      <w:r>
        <w:rPr>
          <w:rFonts w:ascii="Times New Roman" w:hAnsi="Times New Roman" w:cs="Times New Roman"/>
          <w:b w:val="0"/>
          <w:i w:val="0"/>
          <w:sz w:val="28"/>
        </w:rPr>
        <w:t>Для класичних моделей і ознакового потоку гібрида кожний удар описується вектором із 35 ознак (для одного відведення), згрупованих у чотири блоки (таблиця 3.2). Для двовідвідного режиму вектор формується конкатенацією ознак обох відведень і має розмірність 70.</w:t>
      </w:r>
    </w:p>
    <w:p>
      <w:pPr>
        <w:keepNext/>
        <w:spacing w:before="120"/>
        <w:ind w:firstLine="720"/>
        <w:jc w:val="left"/>
      </w:pPr>
      <w:r>
        <w:rPr>
          <w:rFonts w:ascii="Times New Roman" w:hAnsi="Times New Roman" w:cs="Times New Roman"/>
          <w:sz w:val="28"/>
        </w:rPr>
        <w:t>Таблиця 3.2 — Групи ознак окремого удару (для одного відведення)</w:t>
      </w:r>
    </w:p>
    <w:tbl>
      <w:tblPr>
        <w:tblStyle w:val="TableGrid"/>
        <w:tblW w:type="auto" w:w="0"/>
        <w:jc w:val="center"/>
        <w:tblLook w:firstColumn="1" w:firstRow="1" w:lastColumn="0" w:lastRow="0" w:noHBand="0" w:noVBand="1" w:val="04A0"/>
      </w:tblPr>
      <w:tblGrid>
        <w:gridCol w:w="3307"/>
        <w:gridCol w:w="3307"/>
        <w:gridCol w:w="3307"/>
      </w:tblGrid>
      <w:tr>
        <w:tc>
          <w:tcPr>
            <w:tcW w:type="dxa" w:w="1984"/>
          </w:tcPr>
          <w:p>
            <w:pPr>
              <w:spacing w:after="0" w:line="240" w:lineRule="auto"/>
              <w:ind w:firstLine="0"/>
              <w:jc w:val="center"/>
            </w:pPr>
            <w:r>
              <w:rPr>
                <w:rFonts w:ascii="Times New Roman" w:hAnsi="Times New Roman" w:cs="Times New Roman"/>
                <w:b/>
                <w:sz w:val="22"/>
              </w:rPr>
              <w:t>Група</w:t>
            </w:r>
          </w:p>
        </w:tc>
        <w:tc>
          <w:tcPr>
            <w:tcW w:type="dxa" w:w="1134"/>
          </w:tcPr>
          <w:p>
            <w:pPr>
              <w:spacing w:after="0" w:line="240" w:lineRule="auto"/>
              <w:ind w:firstLine="0"/>
              <w:jc w:val="center"/>
            </w:pPr>
            <w:r>
              <w:rPr>
                <w:rFonts w:ascii="Times New Roman" w:hAnsi="Times New Roman" w:cs="Times New Roman"/>
                <w:b/>
                <w:sz w:val="22"/>
              </w:rPr>
              <w:t>К-сть</w:t>
            </w:r>
          </w:p>
        </w:tc>
        <w:tc>
          <w:tcPr>
            <w:tcW w:type="dxa" w:w="5953"/>
          </w:tcPr>
          <w:p>
            <w:pPr>
              <w:spacing w:after="0" w:line="240" w:lineRule="auto"/>
              <w:ind w:firstLine="0"/>
              <w:jc w:val="center"/>
            </w:pPr>
            <w:r>
              <w:rPr>
                <w:rFonts w:ascii="Times New Roman" w:hAnsi="Times New Roman" w:cs="Times New Roman"/>
                <w:b/>
                <w:sz w:val="22"/>
              </w:rPr>
              <w:t>Склад</w:t>
            </w:r>
          </w:p>
        </w:tc>
      </w:tr>
      <w:tr>
        <w:tc>
          <w:tcPr>
            <w:tcW w:type="dxa" w:w="1984"/>
          </w:tcPr>
          <w:p>
            <w:pPr>
              <w:spacing w:after="0" w:line="240" w:lineRule="auto"/>
              <w:ind w:firstLine="0"/>
              <w:jc w:val="left"/>
            </w:pPr>
            <w:r>
              <w:rPr>
                <w:rFonts w:ascii="Times New Roman" w:hAnsi="Times New Roman" w:cs="Times New Roman"/>
                <w:b w:val="0"/>
                <w:sz w:val="22"/>
              </w:rPr>
              <w:t>Інтервали RR</w:t>
            </w:r>
          </w:p>
        </w:tc>
        <w:tc>
          <w:tcPr>
            <w:tcW w:type="dxa" w:w="1134"/>
          </w:tcPr>
          <w:p>
            <w:pPr>
              <w:spacing w:after="0" w:line="240" w:lineRule="auto"/>
              <w:ind w:firstLine="0"/>
              <w:jc w:val="center"/>
            </w:pPr>
            <w:r>
              <w:rPr>
                <w:rFonts w:ascii="Times New Roman" w:hAnsi="Times New Roman" w:cs="Times New Roman"/>
                <w:b w:val="0"/>
                <w:sz w:val="22"/>
              </w:rPr>
              <w:t>5</w:t>
            </w:r>
          </w:p>
        </w:tc>
        <w:tc>
          <w:tcPr>
            <w:tcW w:type="dxa" w:w="5953"/>
          </w:tcPr>
          <w:p>
            <w:pPr>
              <w:spacing w:after="0" w:line="240" w:lineRule="auto"/>
              <w:ind w:firstLine="0"/>
              <w:jc w:val="center"/>
            </w:pPr>
            <w:r>
              <w:rPr>
                <w:rFonts w:ascii="Times New Roman" w:hAnsi="Times New Roman" w:cs="Times New Roman"/>
                <w:b w:val="0"/>
                <w:sz w:val="22"/>
              </w:rPr>
              <w:t>попередній і наступний RR, їх відношення, локальні середнє та відхилення</w:t>
            </w:r>
          </w:p>
        </w:tc>
      </w:tr>
      <w:tr>
        <w:tc>
          <w:tcPr>
            <w:tcW w:type="dxa" w:w="1984"/>
          </w:tcPr>
          <w:p>
            <w:pPr>
              <w:spacing w:after="0" w:line="240" w:lineRule="auto"/>
              <w:ind w:firstLine="0"/>
              <w:jc w:val="left"/>
            </w:pPr>
            <w:r>
              <w:rPr>
                <w:rFonts w:ascii="Times New Roman" w:hAnsi="Times New Roman" w:cs="Times New Roman"/>
                <w:b w:val="0"/>
                <w:sz w:val="22"/>
              </w:rPr>
              <w:t>Морфологічні</w:t>
            </w:r>
          </w:p>
        </w:tc>
        <w:tc>
          <w:tcPr>
            <w:tcW w:type="dxa" w:w="1134"/>
          </w:tcPr>
          <w:p>
            <w:pPr>
              <w:spacing w:after="0" w:line="240" w:lineRule="auto"/>
              <w:ind w:firstLine="0"/>
              <w:jc w:val="center"/>
            </w:pPr>
            <w:r>
              <w:rPr>
                <w:rFonts w:ascii="Times New Roman" w:hAnsi="Times New Roman" w:cs="Times New Roman"/>
                <w:b w:val="0"/>
                <w:sz w:val="22"/>
              </w:rPr>
              <w:t>8</w:t>
            </w:r>
          </w:p>
        </w:tc>
        <w:tc>
          <w:tcPr>
            <w:tcW w:type="dxa" w:w="5953"/>
          </w:tcPr>
          <w:p>
            <w:pPr>
              <w:spacing w:after="0" w:line="240" w:lineRule="auto"/>
              <w:ind w:firstLine="0"/>
              <w:jc w:val="center"/>
            </w:pPr>
            <w:r>
              <w:rPr>
                <w:rFonts w:ascii="Times New Roman" w:hAnsi="Times New Roman" w:cs="Times New Roman"/>
                <w:b w:val="0"/>
                <w:sz w:val="22"/>
              </w:rPr>
              <w:t>тривалість, амплітуда та площа QRS, нахили фронтів, енергії зон P і T, відношення P/T</w:t>
            </w:r>
          </w:p>
        </w:tc>
      </w:tr>
      <w:tr>
        <w:tc>
          <w:tcPr>
            <w:tcW w:type="dxa" w:w="1984"/>
          </w:tcPr>
          <w:p>
            <w:pPr>
              <w:spacing w:after="0" w:line="240" w:lineRule="auto"/>
              <w:ind w:firstLine="0"/>
              <w:jc w:val="left"/>
            </w:pPr>
            <w:r>
              <w:rPr>
                <w:rFonts w:ascii="Times New Roman" w:hAnsi="Times New Roman" w:cs="Times New Roman"/>
                <w:b w:val="0"/>
                <w:sz w:val="22"/>
              </w:rPr>
              <w:t>Статистичні</w:t>
            </w:r>
          </w:p>
        </w:tc>
        <w:tc>
          <w:tcPr>
            <w:tcW w:type="dxa" w:w="1134"/>
          </w:tcPr>
          <w:p>
            <w:pPr>
              <w:spacing w:after="0" w:line="240" w:lineRule="auto"/>
              <w:ind w:firstLine="0"/>
              <w:jc w:val="center"/>
            </w:pPr>
            <w:r>
              <w:rPr>
                <w:rFonts w:ascii="Times New Roman" w:hAnsi="Times New Roman" w:cs="Times New Roman"/>
                <w:b w:val="0"/>
                <w:sz w:val="22"/>
              </w:rPr>
              <w:t>7</w:t>
            </w:r>
          </w:p>
        </w:tc>
        <w:tc>
          <w:tcPr>
            <w:tcW w:type="dxa" w:w="5953"/>
          </w:tcPr>
          <w:p>
            <w:pPr>
              <w:spacing w:after="0" w:line="240" w:lineRule="auto"/>
              <w:ind w:firstLine="0"/>
              <w:jc w:val="center"/>
            </w:pPr>
            <w:r>
              <w:rPr>
                <w:rFonts w:ascii="Times New Roman" w:hAnsi="Times New Roman" w:cs="Times New Roman"/>
                <w:b w:val="0"/>
                <w:sz w:val="22"/>
              </w:rPr>
              <w:t>середнє, відхилення, асиметрія, ексцес, енергія, частота переходів через нуль, розмах</w:t>
            </w:r>
          </w:p>
        </w:tc>
      </w:tr>
      <w:tr>
        <w:tc>
          <w:tcPr>
            <w:tcW w:type="dxa" w:w="1984"/>
          </w:tcPr>
          <w:p>
            <w:pPr>
              <w:spacing w:after="0" w:line="240" w:lineRule="auto"/>
              <w:ind w:firstLine="0"/>
              <w:jc w:val="left"/>
            </w:pPr>
            <w:r>
              <w:rPr>
                <w:rFonts w:ascii="Times New Roman" w:hAnsi="Times New Roman" w:cs="Times New Roman"/>
                <w:b w:val="0"/>
                <w:sz w:val="22"/>
              </w:rPr>
              <w:t>Вейвлет (db4)</w:t>
            </w:r>
          </w:p>
        </w:tc>
        <w:tc>
          <w:tcPr>
            <w:tcW w:type="dxa" w:w="1134"/>
          </w:tcPr>
          <w:p>
            <w:pPr>
              <w:spacing w:after="0" w:line="240" w:lineRule="auto"/>
              <w:ind w:firstLine="0"/>
              <w:jc w:val="center"/>
            </w:pPr>
            <w:r>
              <w:rPr>
                <w:rFonts w:ascii="Times New Roman" w:hAnsi="Times New Roman" w:cs="Times New Roman"/>
                <w:b w:val="0"/>
                <w:sz w:val="22"/>
              </w:rPr>
              <w:t>15</w:t>
            </w:r>
          </w:p>
        </w:tc>
        <w:tc>
          <w:tcPr>
            <w:tcW w:type="dxa" w:w="5953"/>
          </w:tcPr>
          <w:p>
            <w:pPr>
              <w:spacing w:after="0" w:line="240" w:lineRule="auto"/>
              <w:ind w:firstLine="0"/>
              <w:jc w:val="center"/>
            </w:pPr>
            <w:r>
              <w:rPr>
                <w:rFonts w:ascii="Times New Roman" w:hAnsi="Times New Roman" w:cs="Times New Roman"/>
                <w:b w:val="0"/>
                <w:sz w:val="22"/>
              </w:rPr>
              <w:t>середнє, відхилення та енергія для п’яти смуг 4-рівневого DWT</w:t>
            </w:r>
          </w:p>
        </w:tc>
      </w:tr>
    </w:tbl>
    <w:p>
      <w:pPr>
        <w:spacing w:line="360" w:lineRule="auto" w:after="0"/>
        <w:ind w:firstLine="720"/>
        <w:jc w:val="both"/>
      </w:pPr>
      <w:r>
        <w:rPr>
          <w:rFonts w:ascii="Times New Roman" w:hAnsi="Times New Roman" w:cs="Times New Roman"/>
          <w:b w:val="0"/>
          <w:i w:val="0"/>
          <w:sz w:val="28"/>
        </w:rPr>
        <w:t>Вейвлет-ознаки обчислюються дискретним вейвлет-перетворенням з базисом Добеші db4 [16]; такий базис добре узгоджується з формою комплексу QRS. Ознаки RR відображають ритмічний контекст удару, а морфологічні та статистичні — його форму.</w:t>
      </w:r>
    </w:p>
    <w:p>
      <w:pPr>
        <w:pStyle w:val="Heading2"/>
        <w:spacing w:before="120"/>
        <w:ind w:firstLine="720"/>
        <w:jc w:val="left"/>
      </w:pPr>
      <w:r>
        <w:rPr>
          <w:rFonts w:ascii="Times New Roman" w:hAnsi="Times New Roman" w:cs="Times New Roman"/>
          <w:b/>
          <w:color w:val="000000"/>
          <w:sz w:val="28"/>
        </w:rPr>
        <w:t>3.3 Класичні моделі</w:t>
      </w:r>
    </w:p>
    <w:p>
      <w:pPr>
        <w:spacing w:line="360" w:lineRule="auto" w:after="0"/>
        <w:ind w:firstLine="720"/>
        <w:jc w:val="both"/>
      </w:pPr>
      <w:r>
        <w:rPr>
          <w:rFonts w:ascii="Times New Roman" w:hAnsi="Times New Roman" w:cs="Times New Roman"/>
          <w:b w:val="0"/>
          <w:i w:val="0"/>
          <w:sz w:val="28"/>
        </w:rPr>
        <w:t>Реалізовано три класичні моделі зі спільним інтерфейсом на основі бібліотеки scikit-learn [18] (метод опорних векторів і випадковий ліс) та XGBoost. Випадковий ліс [19] будує ансамбль із 400 вирішальних дерев на бутстрап-вибірках із випадковим підмножиною ознак у кожному вузлі; підсумкове рішення ухвалюють голосуванням дерев, що знижує дисперсію й робить модель стійкою до шуму в ознаках.</w:t>
      </w:r>
    </w:p>
    <w:p>
      <w:pPr>
        <w:spacing w:line="360" w:lineRule="auto" w:after="0"/>
        <w:ind w:firstLine="720"/>
        <w:jc w:val="both"/>
      </w:pPr>
      <w:r>
        <w:rPr>
          <w:rFonts w:ascii="Times New Roman" w:hAnsi="Times New Roman" w:cs="Times New Roman"/>
          <w:b w:val="0"/>
          <w:i w:val="0"/>
          <w:sz w:val="28"/>
        </w:rPr>
        <w:t>Градієнтний бустинг XGBoost [20] будує ансамбль дерев послідовно: кожне нове дерево наближає від’ємний градієнт функції втрат попереднього наближення. Модель мінімізує регуляризований функціонал</w:t>
      </w:r>
    </w:p>
    <w:p>
      <w:pPr>
        <w:spacing w:line="360" w:lineRule="auto" w:after="0"/>
        <w:ind w:firstLine="0"/>
        <w:jc w:val="center"/>
      </w:pPr>
      <w:r>
        <w:rPr>
          <w:rFonts w:ascii="Times New Roman" w:hAnsi="Times New Roman" w:cs="Times New Roman"/>
          <w:b w:val="0"/>
          <w:i w:val="0"/>
          <w:sz w:val="28"/>
        </w:rPr>
        <w:t>L = Σ_i l(y_i, ŷ_i) + Σ_k Ω(f_k),   Ω(f) = γ·T + (1/2)·λ·||w||^2,</w:t>
      </w:r>
    </w:p>
    <w:p>
      <w:pPr>
        <w:spacing w:line="360" w:lineRule="auto" w:after="0"/>
        <w:ind w:firstLine="720"/>
        <w:jc w:val="both"/>
      </w:pPr>
      <w:r>
        <w:rPr>
          <w:rFonts w:ascii="Times New Roman" w:hAnsi="Times New Roman" w:cs="Times New Roman"/>
          <w:b w:val="0"/>
          <w:i w:val="0"/>
          <w:sz w:val="28"/>
        </w:rPr>
        <w:t>де l — диференційовна функція втрат, T — кількість листків дерева, w — ваги листків, а γ і λ регулюють складність моделі. Завдяки регуляризації та послідовному виправленню помилок XGBoost зазвичай дає найкращу якість серед деревних методів.</w:t>
      </w:r>
    </w:p>
    <w:p>
      <w:pPr>
        <w:spacing w:line="360" w:lineRule="auto" w:after="0"/>
        <w:ind w:firstLine="720"/>
        <w:jc w:val="both"/>
      </w:pPr>
      <w:r>
        <w:rPr>
          <w:rFonts w:ascii="Times New Roman" w:hAnsi="Times New Roman" w:cs="Times New Roman"/>
          <w:b w:val="0"/>
          <w:i w:val="0"/>
          <w:sz w:val="28"/>
        </w:rPr>
        <w:t>Метод опорних векторів [21] будує гіперплощину з максимальним зазором у просторі, нелінійно перетвореному ядровою функцією. Застосовано радіальне (гаусове) ядро</w:t>
      </w:r>
    </w:p>
    <w:p>
      <w:pPr>
        <w:spacing w:line="360" w:lineRule="auto" w:after="0"/>
        <w:ind w:firstLine="0"/>
        <w:jc w:val="center"/>
      </w:pPr>
      <w:r>
        <w:rPr>
          <w:rFonts w:ascii="Times New Roman" w:hAnsi="Times New Roman" w:cs="Times New Roman"/>
          <w:b w:val="0"/>
          <w:i w:val="0"/>
          <w:sz w:val="28"/>
        </w:rPr>
        <w:t>K(x_i, x_j) = exp(−γ·||x_i − x_j||^2),</w:t>
      </w:r>
    </w:p>
    <w:p>
      <w:pPr>
        <w:spacing w:line="360" w:lineRule="auto" w:after="0"/>
        <w:ind w:firstLine="720"/>
        <w:jc w:val="both"/>
      </w:pPr>
      <w:r>
        <w:rPr>
          <w:rFonts w:ascii="Times New Roman" w:hAnsi="Times New Roman" w:cs="Times New Roman"/>
          <w:b w:val="0"/>
          <w:i w:val="0"/>
          <w:sz w:val="28"/>
        </w:rPr>
        <w:t>яке дає змогу розділяти класи з нелінійними межами. Рішення ухвалюють за знаком зваженої суми ядрових подібностей до опорних векторів.</w:t>
      </w:r>
    </w:p>
    <w:p>
      <w:pPr>
        <w:spacing w:line="360" w:lineRule="auto" w:after="0"/>
        <w:ind w:firstLine="720"/>
        <w:jc w:val="both"/>
      </w:pPr>
      <w:r>
        <w:rPr>
          <w:rFonts w:ascii="Times New Roman" w:hAnsi="Times New Roman" w:cs="Times New Roman"/>
          <w:b w:val="0"/>
          <w:i w:val="0"/>
          <w:sz w:val="28"/>
        </w:rPr>
        <w:t>Незбалансованість класів компенсовано зважуванням: внесок кожного класу у функцію втрат масштабовано обернено до його частоти, w_k = N / (K · n_k), де N — загальна кількість ударів, n_k — кількість ударів класу k. Метод опорних векторів додатково навчають на збалансованій підвибірці DS1 зі стратифікованим відбором фіксованої кількості ударів кожного класу, що помітно підвищує його чутливість до рідкісних класів.</w:t>
      </w:r>
    </w:p>
    <w:p>
      <w:pPr>
        <w:pStyle w:val="Heading2"/>
        <w:spacing w:before="120"/>
        <w:ind w:firstLine="720"/>
        <w:jc w:val="left"/>
      </w:pPr>
      <w:r>
        <w:rPr>
          <w:rFonts w:ascii="Times New Roman" w:hAnsi="Times New Roman" w:cs="Times New Roman"/>
          <w:b/>
          <w:color w:val="000000"/>
          <w:sz w:val="28"/>
        </w:rPr>
        <w:t>3.4 Згорткова нейронна мережа</w:t>
      </w:r>
    </w:p>
    <w:p>
      <w:pPr>
        <w:spacing w:line="360" w:lineRule="auto" w:after="0"/>
        <w:ind w:firstLine="720"/>
        <w:jc w:val="both"/>
      </w:pPr>
      <w:r>
        <w:rPr>
          <w:rFonts w:ascii="Times New Roman" w:hAnsi="Times New Roman" w:cs="Times New Roman"/>
          <w:b w:val="0"/>
          <w:i w:val="0"/>
          <w:sz w:val="28"/>
        </w:rPr>
        <w:t>Згорткова мережа працює безпосередньо з нормалізованим вікном удару й самостійно навчається ознак. Архітектура складається з чотирьох згорткових блоків зі зростаючою кількістю фільтрів (16, 32, 64, 128); кожний блок містить одновимірну згортку, пакетну нормалізацію [22], активацію ReLU та зменшення розмірності. Після блоків застосовано глобальне середнє агрегування й повнозв’язні шари з функцією softmax на п’ять класів. Згорткові й рекурентні моделі реалізовано засобами бібліотеки PyTorch [23], а обчислення над масивами та цифрову обробку сигналу виконано засобами NumPy [24] і SciPy [25]. Структуру мережі показано на рисунку 3.1.</w:t>
      </w:r>
    </w:p>
    <w:p>
      <w:pPr>
        <w:keepNext/>
        <w:spacing w:before="120"/>
        <w:ind w:firstLine="0"/>
        <w:jc w:val="center"/>
      </w:pPr>
      <w:r>
        <w:drawing>
          <wp:inline xmlns:a="http://schemas.openxmlformats.org/drawingml/2006/main" xmlns:pic="http://schemas.openxmlformats.org/drawingml/2006/picture">
            <wp:extent cx="5400000" cy="471245"/>
            <wp:docPr id="5" name="Picture 5"/>
            <wp:cNvGraphicFramePr>
              <a:graphicFrameLocks noChangeAspect="1"/>
            </wp:cNvGraphicFramePr>
            <a:graphic>
              <a:graphicData uri="http://schemas.openxmlformats.org/drawingml/2006/picture">
                <pic:pic>
                  <pic:nvPicPr>
                    <pic:cNvPr id="0" name="cnn_arch.png"/>
                    <pic:cNvPicPr/>
                  </pic:nvPicPr>
                  <pic:blipFill>
                    <a:blip r:embed="rId15"/>
                    <a:stretch>
                      <a:fillRect/>
                    </a:stretch>
                  </pic:blipFill>
                  <pic:spPr>
                    <a:xfrm>
                      <a:off x="0" y="0"/>
                      <a:ext cx="5400000" cy="471245"/>
                    </a:xfrm>
                    <a:prstGeom prst="rect"/>
                  </pic:spPr>
                </pic:pic>
              </a:graphicData>
            </a:graphic>
          </wp:inline>
        </w:drawing>
      </w:r>
    </w:p>
    <w:p>
      <w:pPr>
        <w:spacing w:after="160"/>
        <w:ind w:firstLine="0"/>
        <w:jc w:val="center"/>
      </w:pPr>
      <w:r>
        <w:rPr>
          <w:rFonts w:ascii="Times New Roman" w:hAnsi="Times New Roman" w:cs="Times New Roman"/>
          <w:sz w:val="28"/>
        </w:rPr>
        <w:t>Рисунок 3.1 — Архітектура одновимірної згорткової мережі для класифікації удару</w:t>
      </w:r>
    </w:p>
    <w:p>
      <w:pPr>
        <w:spacing w:line="360" w:lineRule="auto" w:after="0"/>
        <w:ind w:firstLine="720"/>
        <w:jc w:val="both"/>
      </w:pPr>
      <w:r>
        <w:rPr>
          <w:rFonts w:ascii="Times New Roman" w:hAnsi="Times New Roman" w:cs="Times New Roman"/>
          <w:b w:val="0"/>
          <w:i w:val="0"/>
          <w:sz w:val="28"/>
        </w:rPr>
        <w:t>Кожний згортковий шар обчислює дискретну згортку входу з набором ядер, що навчаються; для одновимірного випадку</w:t>
      </w:r>
    </w:p>
    <w:p>
      <w:pPr>
        <w:spacing w:line="360" w:lineRule="auto" w:after="0"/>
        <w:ind w:firstLine="0"/>
        <w:jc w:val="center"/>
      </w:pPr>
      <w:r>
        <w:rPr>
          <w:rFonts w:ascii="Times New Roman" w:hAnsi="Times New Roman" w:cs="Times New Roman"/>
          <w:b w:val="0"/>
          <w:i w:val="0"/>
          <w:sz w:val="28"/>
        </w:rPr>
        <w:t>y[n] = Σ_k w[k]·x[n + k] + b,</w:t>
      </w:r>
    </w:p>
    <w:p>
      <w:pPr>
        <w:spacing w:line="360" w:lineRule="auto" w:after="0"/>
        <w:ind w:firstLine="720"/>
        <w:jc w:val="both"/>
      </w:pPr>
      <w:r>
        <w:rPr>
          <w:rFonts w:ascii="Times New Roman" w:hAnsi="Times New Roman" w:cs="Times New Roman"/>
          <w:b w:val="0"/>
          <w:i w:val="0"/>
          <w:sz w:val="28"/>
        </w:rPr>
        <w:t>після чого застосовують пакетну нормалізацію та нелінійність ReLU(z) = max(0, z). Вихідний шар перетворює логіти на ймовірності класів функцією softmax</w:t>
      </w:r>
    </w:p>
    <w:p>
      <w:pPr>
        <w:spacing w:line="360" w:lineRule="auto" w:after="0"/>
        <w:ind w:firstLine="0"/>
        <w:jc w:val="center"/>
      </w:pPr>
      <w:r>
        <w:rPr>
          <w:rFonts w:ascii="Times New Roman" w:hAnsi="Times New Roman" w:cs="Times New Roman"/>
          <w:b w:val="0"/>
          <w:i w:val="0"/>
          <w:sz w:val="28"/>
        </w:rPr>
        <w:t>σ(z)_i = exp(z_i) / Σ_j exp(z_j),</w:t>
      </w:r>
    </w:p>
    <w:p>
      <w:pPr>
        <w:spacing w:line="360" w:lineRule="auto" w:after="0"/>
        <w:ind w:firstLine="720"/>
        <w:jc w:val="both"/>
      </w:pPr>
      <w:r>
        <w:rPr>
          <w:rFonts w:ascii="Times New Roman" w:hAnsi="Times New Roman" w:cs="Times New Roman"/>
          <w:b w:val="0"/>
          <w:i w:val="0"/>
          <w:sz w:val="28"/>
        </w:rPr>
        <w:t>а навчання мінімізує перехресну ентропію L = −Σ_i y_i·log(σ(z)_i) методом стохастичного градієнтного спуску. Вхідний канал мережі відповідає кількості відведень, тому той самий опис застосовний і до одновідвідного, і до двовідвідного режиму. Навчання виконано на процесорі з обмеженою кількістю епох, що, як показано далі, обмежує якість глибоких моделей порівняно з їхнім потенціалом.</w:t>
      </w:r>
    </w:p>
    <w:p>
      <w:pPr>
        <w:pStyle w:val="Heading2"/>
        <w:spacing w:before="120"/>
        <w:ind w:firstLine="720"/>
        <w:jc w:val="left"/>
      </w:pPr>
      <w:r>
        <w:rPr>
          <w:rFonts w:ascii="Times New Roman" w:hAnsi="Times New Roman" w:cs="Times New Roman"/>
          <w:b/>
          <w:color w:val="000000"/>
          <w:sz w:val="28"/>
        </w:rPr>
        <w:t>3.5 Згорткова мережа з рекурентним шаром (CNN-BiLSTM)</w:t>
      </w:r>
    </w:p>
    <w:p>
      <w:pPr>
        <w:spacing w:line="360" w:lineRule="auto" w:after="0"/>
        <w:ind w:firstLine="720"/>
        <w:jc w:val="both"/>
      </w:pPr>
      <w:r>
        <w:rPr>
          <w:rFonts w:ascii="Times New Roman" w:hAnsi="Times New Roman" w:cs="Times New Roman"/>
          <w:b w:val="0"/>
          <w:i w:val="0"/>
          <w:sz w:val="28"/>
        </w:rPr>
        <w:t>Для врахування часового контексту реалізовано модель CNN-BiLSTM, у якій згорткові блоки виділяють локальні ознаки, а двонапрямлений шар довгої короткочасної пам’яті [26] моделює послідовну залежність уздовж сигналу. Така архітектура поширена в задачах аналізу часових рядів, проте за обмеженого навчання на процесорі вона виявилася чутливою до недонавчання.</w:t>
      </w:r>
    </w:p>
    <w:p>
      <w:pPr>
        <w:pStyle w:val="Heading2"/>
        <w:spacing w:before="120"/>
        <w:ind w:firstLine="720"/>
        <w:jc w:val="left"/>
      </w:pPr>
      <w:r>
        <w:rPr>
          <w:rFonts w:ascii="Times New Roman" w:hAnsi="Times New Roman" w:cs="Times New Roman"/>
          <w:b/>
          <w:color w:val="000000"/>
          <w:sz w:val="28"/>
        </w:rPr>
        <w:t>3.6 Двопотоковий гібридний класифікатор (новизна 1)</w:t>
      </w:r>
    </w:p>
    <w:p>
      <w:pPr>
        <w:spacing w:line="360" w:lineRule="auto" w:after="0"/>
        <w:ind w:firstLine="720"/>
        <w:jc w:val="both"/>
      </w:pPr>
      <w:r>
        <w:rPr>
          <w:rFonts w:ascii="Times New Roman" w:hAnsi="Times New Roman" w:cs="Times New Roman"/>
          <w:b w:val="0"/>
          <w:i w:val="0"/>
          <w:sz w:val="28"/>
        </w:rPr>
        <w:t>Огляд показує, що ознаковий і сигнальний підходи мають різні сильні сторони: ручні ознаки RR добре розрізняють ритмічні класи, а згорткова мережа — морфологічні. Тому запропоновано двопотоковий гібридний класифікатор із пізнім злиттям, що поєднує обидва підходи. Схему наведено на рисунку 3.2.</w:t>
      </w:r>
    </w:p>
    <w:p>
      <w:pPr>
        <w:keepNext/>
        <w:spacing w:before="120"/>
        <w:ind w:firstLine="0"/>
        <w:jc w:val="center"/>
      </w:pPr>
      <w:r>
        <w:drawing>
          <wp:inline xmlns:a="http://schemas.openxmlformats.org/drawingml/2006/main" xmlns:pic="http://schemas.openxmlformats.org/drawingml/2006/picture">
            <wp:extent cx="5400000" cy="781826"/>
            <wp:docPr id="6" name="Picture 6"/>
            <wp:cNvGraphicFramePr>
              <a:graphicFrameLocks noChangeAspect="1"/>
            </wp:cNvGraphicFramePr>
            <a:graphic>
              <a:graphicData uri="http://schemas.openxmlformats.org/drawingml/2006/picture">
                <pic:pic>
                  <pic:nvPicPr>
                    <pic:cNvPr id="0" name="hybrid.png"/>
                    <pic:cNvPicPr/>
                  </pic:nvPicPr>
                  <pic:blipFill>
                    <a:blip r:embed="rId16"/>
                    <a:stretch>
                      <a:fillRect/>
                    </a:stretch>
                  </pic:blipFill>
                  <pic:spPr>
                    <a:xfrm>
                      <a:off x="0" y="0"/>
                      <a:ext cx="5400000" cy="781826"/>
                    </a:xfrm>
                    <a:prstGeom prst="rect"/>
                  </pic:spPr>
                </pic:pic>
              </a:graphicData>
            </a:graphic>
          </wp:inline>
        </w:drawing>
      </w:r>
    </w:p>
    <w:p>
      <w:pPr>
        <w:spacing w:after="160"/>
        <w:ind w:firstLine="0"/>
        <w:jc w:val="center"/>
      </w:pPr>
      <w:r>
        <w:rPr>
          <w:rFonts w:ascii="Times New Roman" w:hAnsi="Times New Roman" w:cs="Times New Roman"/>
          <w:sz w:val="28"/>
        </w:rPr>
        <w:t>Рисунок 3.2 — Двопотоковий гібридний класифікатор із пізнім злиттям імовірнісних виходів двох базових моделей</w:t>
      </w:r>
    </w:p>
    <w:p>
      <w:pPr>
        <w:spacing w:line="360" w:lineRule="auto" w:after="0"/>
        <w:ind w:firstLine="720"/>
        <w:jc w:val="both"/>
      </w:pPr>
      <w:r>
        <w:rPr>
          <w:rFonts w:ascii="Times New Roman" w:hAnsi="Times New Roman" w:cs="Times New Roman"/>
          <w:b w:val="0"/>
          <w:i w:val="0"/>
          <w:sz w:val="28"/>
        </w:rPr>
        <w:t>Перший потік — навчений XGBoost над 35- чи 70-вимірним вектором ручних ознак; другий — згорткова мережа над сирим вікном удару. Кожний потік повертає вектор імовірностей п’яти класів, p_x та p_c відповідно. Їх об’єднують у спільний десятивимірний опис z = [p_x; p_c] (вектор завдовжки 10), на якому навчають невеликий мета-класифікатор — логістичну регресію, що передбачає клас за argmax softmax(W·z + b). Щоб уникнути перенавчання мета-класифікатора, його ознаки формують за схемою стекового узагальнення [27]: навчальну вибірку розбивають на п’ять згорток, базові моделі навчають на чотирьох згортках і застосовують до п’ятої, а отримані поза навчанням імовірності використовують для навчання мета-класифікатора. Остаточно базові моделі перенавчають на всій навчальній вибірці.</w:t>
      </w:r>
    </w:p>
    <w:p>
      <w:pPr>
        <w:spacing w:line="360" w:lineRule="auto" w:after="0"/>
        <w:ind w:firstLine="720"/>
        <w:jc w:val="both"/>
      </w:pPr>
      <w:r>
        <w:rPr>
          <w:rFonts w:ascii="Times New Roman" w:hAnsi="Times New Roman" w:cs="Times New Roman"/>
          <w:b w:val="0"/>
          <w:i w:val="0"/>
          <w:sz w:val="28"/>
        </w:rPr>
        <w:t>Перевага такої схеми в тому, що потоки навчаються незалежно й дешево, а мета-класифікатор самостійно визначає, якому потоку довіряти для кожного класу. Як показано в розділі 4, гібрид не перевершує найкращу окрему модель (метод опорних векторів) за збалансованими метриками, проте за повнотою за зливними скороченнями (0,89) перевищує обидва свої базові потоки — XGBoost (0,82) і недонавчену згорткову мережу (0,07) — і наближається до найкращого результату (0,90); це демонструє, що пізнє злиття відновлює корисний внесок слабшого потоку.</w:t>
      </w:r>
    </w:p>
    <w:p>
      <w:pPr>
        <w:pStyle w:val="Heading2"/>
        <w:spacing w:before="120"/>
        <w:ind w:firstLine="720"/>
        <w:jc w:val="left"/>
      </w:pPr>
      <w:r>
        <w:rPr>
          <w:rFonts w:ascii="Times New Roman" w:hAnsi="Times New Roman" w:cs="Times New Roman"/>
          <w:b/>
          <w:color w:val="000000"/>
          <w:sz w:val="28"/>
        </w:rPr>
        <w:t>3.7 Багатовідвідне розширення</w:t>
      </w:r>
    </w:p>
    <w:p>
      <w:pPr>
        <w:spacing w:line="360" w:lineRule="auto" w:after="0"/>
        <w:ind w:firstLine="720"/>
        <w:jc w:val="both"/>
      </w:pPr>
      <w:r>
        <w:rPr>
          <w:rFonts w:ascii="Times New Roman" w:hAnsi="Times New Roman" w:cs="Times New Roman"/>
          <w:b w:val="0"/>
          <w:i w:val="0"/>
          <w:sz w:val="28"/>
        </w:rPr>
        <w:t>Записи MIT-BIH містять два канали, тому ознаковий і сигнальний потоки природно розширюються на два відведення: ознаковий вектор подвоюється до 70 вимірів, а вхідний канал згорткової мережі збільшується до двох. Як буде показано, додавання другого відведення дає найбільший приріст саме за рідкісними класами, оскільки відведення MLII та грудне відведення несуть взаємодоповнювальну інформацію про форму скорочення.</w:t>
      </w:r>
    </w:p>
    <w:p>
      <w:pPr>
        <w:pStyle w:val="Heading1"/>
        <w:pageBreakBefore/>
        <w:ind w:firstLine="0"/>
        <w:jc w:val="center"/>
      </w:pPr>
      <w:r>
        <w:rPr>
          <w:rFonts w:ascii="Times New Roman" w:hAnsi="Times New Roman" w:cs="Times New Roman"/>
          <w:b/>
          <w:color w:val="000000"/>
          <w:sz w:val="28"/>
        </w:rPr>
        <w:t>4 ЕКСПЕРИМЕНТАЛЬНІ РЕЗУЛЬТАТИ ТА ЇХ АНАЛІЗ</w:t>
      </w:r>
    </w:p>
    <w:p>
      <w:pPr>
        <w:pStyle w:val="Heading2"/>
        <w:spacing w:before="120"/>
        <w:ind w:firstLine="720"/>
        <w:jc w:val="left"/>
      </w:pPr>
      <w:r>
        <w:rPr>
          <w:rFonts w:ascii="Times New Roman" w:hAnsi="Times New Roman" w:cs="Times New Roman"/>
          <w:b/>
          <w:color w:val="000000"/>
          <w:sz w:val="28"/>
        </w:rPr>
        <w:t>4.1 Протокол експерименту, метрики та середовище</w:t>
      </w:r>
    </w:p>
    <w:p>
      <w:pPr>
        <w:spacing w:line="360" w:lineRule="auto" w:after="0"/>
        <w:ind w:firstLine="720"/>
        <w:jc w:val="both"/>
      </w:pPr>
      <w:r>
        <w:rPr>
          <w:rFonts w:ascii="Times New Roman" w:hAnsi="Times New Roman" w:cs="Times New Roman"/>
          <w:b w:val="0"/>
          <w:i w:val="0"/>
          <w:sz w:val="28"/>
        </w:rPr>
        <w:t>Усі моделі навчено на DS1 і оцінено на DS2 за міжпацієнтним протоколом. Удар сегментовано у вікно з 260 відліків навколо анотованих R-піків бази, нормалізоване за середнім і відхиленням; використання еталонної розмітки є стандартною практикою для цього протоколу й відокремлює якість класифікації від похибок виявлення піків. Основні метрики: загальна частка правильних відповідей (accuracy), усереднена за класами міра macro-F1, значення F1 за окремими класами, повнота за рідкісними класами та площа під ROC-кривою. Як зазначено в розділі 1, за сильної незбалансованості саме macro-F1 і повнота за рідкісними класами відображають практичну корисність моделі. Експерименти проведено на процесорі без графічного прискорювача, повний цикл навчання й оцінювання відтворюється сценаріями репозиторію приблизно за півтори години.</w:t>
      </w:r>
    </w:p>
    <w:p>
      <w:pPr>
        <w:pStyle w:val="Heading2"/>
        <w:spacing w:before="120"/>
        <w:ind w:firstLine="720"/>
        <w:jc w:val="left"/>
      </w:pPr>
      <w:r>
        <w:rPr>
          <w:rFonts w:ascii="Times New Roman" w:hAnsi="Times New Roman" w:cs="Times New Roman"/>
          <w:b/>
          <w:color w:val="000000"/>
          <w:sz w:val="28"/>
        </w:rPr>
        <w:t>4.2 Порівняння моделей на одному відведенні</w:t>
      </w:r>
    </w:p>
    <w:p>
      <w:pPr>
        <w:spacing w:line="360" w:lineRule="auto" w:after="0"/>
        <w:ind w:firstLine="720"/>
        <w:jc w:val="both"/>
      </w:pPr>
      <w:r>
        <w:rPr>
          <w:rFonts w:ascii="Times New Roman" w:hAnsi="Times New Roman" w:cs="Times New Roman"/>
          <w:b w:val="0"/>
          <w:i w:val="0"/>
          <w:sz w:val="28"/>
        </w:rPr>
        <w:t>Зведені показники одновідвідних моделей наведено в таблиці 4.1. Базова лінія на основі правил очікувано слабка: вона зовсім не виявляє шлуночкових і зливних скорочень (F1 дорівнює нулю). Найвищу загальну точність (0,929) показує випадковий ліс, проте його macro-F1 лише 0,374, бо він майже завжди передбачає клас N. Найкращий збалансований показник серед одновідвідних моделей належить методу опорних векторів (macro-F1 0,461).</w:t>
      </w:r>
    </w:p>
    <w:p>
      <w:pPr>
        <w:keepNext/>
        <w:spacing w:before="120"/>
        <w:ind w:firstLine="720"/>
        <w:jc w:val="left"/>
      </w:pPr>
      <w:r>
        <w:rPr>
          <w:rFonts w:ascii="Times New Roman" w:hAnsi="Times New Roman" w:cs="Times New Roman"/>
          <w:sz w:val="28"/>
        </w:rPr>
        <w:t>Таблиця 4.1 — Показники моделей на одному відведенні (MLII), тестова підмножина DS2</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2268"/>
          </w:tcPr>
          <w:p>
            <w:pPr>
              <w:spacing w:after="0" w:line="240" w:lineRule="auto"/>
              <w:ind w:firstLine="0"/>
              <w:jc w:val="center"/>
            </w:pPr>
            <w:r>
              <w:rPr>
                <w:rFonts w:ascii="Times New Roman" w:hAnsi="Times New Roman" w:cs="Times New Roman"/>
                <w:b/>
                <w:sz w:val="22"/>
              </w:rPr>
              <w:t>Модель</w:t>
            </w:r>
          </w:p>
        </w:tc>
        <w:tc>
          <w:tcPr>
            <w:tcW w:type="dxa" w:w="964"/>
          </w:tcPr>
          <w:p>
            <w:pPr>
              <w:spacing w:after="0" w:line="240" w:lineRule="auto"/>
              <w:ind w:firstLine="0"/>
              <w:jc w:val="center"/>
            </w:pPr>
            <w:r>
              <w:rPr>
                <w:rFonts w:ascii="Times New Roman" w:hAnsi="Times New Roman" w:cs="Times New Roman"/>
                <w:b/>
                <w:sz w:val="22"/>
              </w:rPr>
              <w:t>Acc</w:t>
            </w:r>
          </w:p>
        </w:tc>
        <w:tc>
          <w:tcPr>
            <w:tcW w:type="dxa" w:w="1191"/>
          </w:tcPr>
          <w:p>
            <w:pPr>
              <w:spacing w:after="0" w:line="240" w:lineRule="auto"/>
              <w:ind w:firstLine="0"/>
              <w:jc w:val="center"/>
            </w:pPr>
            <w:r>
              <w:rPr>
                <w:rFonts w:ascii="Times New Roman" w:hAnsi="Times New Roman" w:cs="Times New Roman"/>
                <w:b/>
                <w:sz w:val="22"/>
              </w:rPr>
              <w:t>macro-F1</w:t>
            </w:r>
          </w:p>
        </w:tc>
        <w:tc>
          <w:tcPr>
            <w:tcW w:type="dxa" w:w="964"/>
          </w:tcPr>
          <w:p>
            <w:pPr>
              <w:spacing w:after="0" w:line="240" w:lineRule="auto"/>
              <w:ind w:firstLine="0"/>
              <w:jc w:val="center"/>
            </w:pPr>
            <w:r>
              <w:rPr>
                <w:rFonts w:ascii="Times New Roman" w:hAnsi="Times New Roman" w:cs="Times New Roman"/>
                <w:b/>
                <w:sz w:val="22"/>
              </w:rPr>
              <w:t>N</w:t>
            </w:r>
          </w:p>
        </w:tc>
        <w:tc>
          <w:tcPr>
            <w:tcW w:type="dxa" w:w="964"/>
          </w:tcPr>
          <w:p>
            <w:pPr>
              <w:spacing w:after="0" w:line="240" w:lineRule="auto"/>
              <w:ind w:firstLine="0"/>
              <w:jc w:val="center"/>
            </w:pPr>
            <w:r>
              <w:rPr>
                <w:rFonts w:ascii="Times New Roman" w:hAnsi="Times New Roman" w:cs="Times New Roman"/>
                <w:b/>
                <w:sz w:val="22"/>
              </w:rPr>
              <w:t>S</w:t>
            </w:r>
          </w:p>
        </w:tc>
        <w:tc>
          <w:tcPr>
            <w:tcW w:type="dxa" w:w="964"/>
          </w:tcPr>
          <w:p>
            <w:pPr>
              <w:spacing w:after="0" w:line="240" w:lineRule="auto"/>
              <w:ind w:firstLine="0"/>
              <w:jc w:val="center"/>
            </w:pPr>
            <w:r>
              <w:rPr>
                <w:rFonts w:ascii="Times New Roman" w:hAnsi="Times New Roman" w:cs="Times New Roman"/>
                <w:b/>
                <w:sz w:val="22"/>
              </w:rPr>
              <w:t>V</w:t>
            </w:r>
          </w:p>
        </w:tc>
        <w:tc>
          <w:tcPr>
            <w:tcW w:type="dxa" w:w="964"/>
          </w:tcPr>
          <w:p>
            <w:pPr>
              <w:spacing w:after="0" w:line="240" w:lineRule="auto"/>
              <w:ind w:firstLine="0"/>
              <w:jc w:val="center"/>
            </w:pPr>
            <w:r>
              <w:rPr>
                <w:rFonts w:ascii="Times New Roman" w:hAnsi="Times New Roman" w:cs="Times New Roman"/>
                <w:b/>
                <w:sz w:val="22"/>
              </w:rPr>
              <w:t>F</w:t>
            </w:r>
          </w:p>
        </w:tc>
      </w:tr>
      <w:tr>
        <w:tc>
          <w:tcPr>
            <w:tcW w:type="dxa" w:w="2268"/>
          </w:tcPr>
          <w:p>
            <w:pPr>
              <w:spacing w:after="0" w:line="240" w:lineRule="auto"/>
              <w:ind w:firstLine="0"/>
              <w:jc w:val="left"/>
            </w:pPr>
            <w:r>
              <w:rPr>
                <w:rFonts w:ascii="Times New Roman" w:hAnsi="Times New Roman" w:cs="Times New Roman"/>
                <w:b w:val="0"/>
                <w:sz w:val="22"/>
              </w:rPr>
              <w:t>На основі правил</w:t>
            </w:r>
          </w:p>
        </w:tc>
        <w:tc>
          <w:tcPr>
            <w:tcW w:type="dxa" w:w="964"/>
          </w:tcPr>
          <w:p>
            <w:pPr>
              <w:spacing w:after="0" w:line="240" w:lineRule="auto"/>
              <w:ind w:firstLine="0"/>
              <w:jc w:val="center"/>
            </w:pPr>
            <w:r>
              <w:rPr>
                <w:rFonts w:ascii="Times New Roman" w:hAnsi="Times New Roman" w:cs="Times New Roman"/>
                <w:b w:val="0"/>
                <w:sz w:val="22"/>
              </w:rPr>
              <w:t>0,852</w:t>
            </w:r>
          </w:p>
        </w:tc>
        <w:tc>
          <w:tcPr>
            <w:tcW w:type="dxa" w:w="1191"/>
          </w:tcPr>
          <w:p>
            <w:pPr>
              <w:spacing w:after="0" w:line="240" w:lineRule="auto"/>
              <w:ind w:firstLine="0"/>
              <w:jc w:val="center"/>
            </w:pPr>
            <w:r>
              <w:rPr>
                <w:rFonts w:ascii="Times New Roman" w:hAnsi="Times New Roman" w:cs="Times New Roman"/>
                <w:b w:val="0"/>
                <w:sz w:val="22"/>
              </w:rPr>
              <w:t>0,240</w:t>
            </w:r>
          </w:p>
        </w:tc>
        <w:tc>
          <w:tcPr>
            <w:tcW w:type="dxa" w:w="964"/>
          </w:tcPr>
          <w:p>
            <w:pPr>
              <w:spacing w:after="0" w:line="240" w:lineRule="auto"/>
              <w:ind w:firstLine="0"/>
              <w:jc w:val="center"/>
            </w:pPr>
            <w:r>
              <w:rPr>
                <w:rFonts w:ascii="Times New Roman" w:hAnsi="Times New Roman" w:cs="Times New Roman"/>
                <w:b w:val="0"/>
                <w:sz w:val="22"/>
              </w:rPr>
              <w:t>0,948</w:t>
            </w:r>
          </w:p>
        </w:tc>
        <w:tc>
          <w:tcPr>
            <w:tcW w:type="dxa" w:w="964"/>
          </w:tcPr>
          <w:p>
            <w:pPr>
              <w:spacing w:after="0" w:line="240" w:lineRule="auto"/>
              <w:ind w:firstLine="0"/>
              <w:jc w:val="center"/>
            </w:pPr>
            <w:r>
              <w:rPr>
                <w:rFonts w:ascii="Times New Roman" w:hAnsi="Times New Roman" w:cs="Times New Roman"/>
                <w:b w:val="0"/>
                <w:sz w:val="22"/>
              </w:rPr>
              <w:t>0,249</w:t>
            </w:r>
          </w:p>
        </w:tc>
        <w:tc>
          <w:tcPr>
            <w:tcW w:type="dxa" w:w="964"/>
          </w:tcPr>
          <w:p>
            <w:pPr>
              <w:spacing w:after="0" w:line="240" w:lineRule="auto"/>
              <w:ind w:firstLine="0"/>
              <w:jc w:val="center"/>
            </w:pPr>
            <w:r>
              <w:rPr>
                <w:rFonts w:ascii="Times New Roman" w:hAnsi="Times New Roman" w:cs="Times New Roman"/>
                <w:b w:val="0"/>
                <w:sz w:val="22"/>
              </w:rPr>
              <w:t>0,000</w:t>
            </w:r>
          </w:p>
        </w:tc>
        <w:tc>
          <w:tcPr>
            <w:tcW w:type="dxa" w:w="964"/>
          </w:tcPr>
          <w:p>
            <w:pPr>
              <w:spacing w:after="0" w:line="240" w:lineRule="auto"/>
              <w:ind w:firstLine="0"/>
              <w:jc w:val="center"/>
            </w:pPr>
            <w:r>
              <w:rPr>
                <w:rFonts w:ascii="Times New Roman" w:hAnsi="Times New Roman" w:cs="Times New Roman"/>
                <w:b w:val="0"/>
                <w:sz w:val="22"/>
              </w:rPr>
              <w:t>0,000</w:t>
            </w:r>
          </w:p>
        </w:tc>
      </w:tr>
      <w:tr>
        <w:tc>
          <w:tcPr>
            <w:tcW w:type="dxa" w:w="2268"/>
          </w:tcPr>
          <w:p>
            <w:pPr>
              <w:spacing w:after="0" w:line="240" w:lineRule="auto"/>
              <w:ind w:firstLine="0"/>
              <w:jc w:val="left"/>
            </w:pPr>
            <w:r>
              <w:rPr>
                <w:rFonts w:ascii="Times New Roman" w:hAnsi="Times New Roman" w:cs="Times New Roman"/>
                <w:b w:val="0"/>
                <w:sz w:val="22"/>
              </w:rPr>
              <w:t>Випадковий ліс</w:t>
            </w:r>
          </w:p>
        </w:tc>
        <w:tc>
          <w:tcPr>
            <w:tcW w:type="dxa" w:w="964"/>
          </w:tcPr>
          <w:p>
            <w:pPr>
              <w:spacing w:after="0" w:line="240" w:lineRule="auto"/>
              <w:ind w:firstLine="0"/>
              <w:jc w:val="center"/>
            </w:pPr>
            <w:r>
              <w:rPr>
                <w:rFonts w:ascii="Times New Roman" w:hAnsi="Times New Roman" w:cs="Times New Roman"/>
                <w:b w:val="0"/>
                <w:sz w:val="22"/>
              </w:rPr>
              <w:t>0,929</w:t>
            </w:r>
          </w:p>
        </w:tc>
        <w:tc>
          <w:tcPr>
            <w:tcW w:type="dxa" w:w="1191"/>
          </w:tcPr>
          <w:p>
            <w:pPr>
              <w:spacing w:after="0" w:line="240" w:lineRule="auto"/>
              <w:ind w:firstLine="0"/>
              <w:jc w:val="center"/>
            </w:pPr>
            <w:r>
              <w:rPr>
                <w:rFonts w:ascii="Times New Roman" w:hAnsi="Times New Roman" w:cs="Times New Roman"/>
                <w:b w:val="0"/>
                <w:sz w:val="22"/>
              </w:rPr>
              <w:t>0,374</w:t>
            </w:r>
          </w:p>
        </w:tc>
        <w:tc>
          <w:tcPr>
            <w:tcW w:type="dxa" w:w="964"/>
          </w:tcPr>
          <w:p>
            <w:pPr>
              <w:spacing w:after="0" w:line="240" w:lineRule="auto"/>
              <w:ind w:firstLine="0"/>
              <w:jc w:val="center"/>
            </w:pPr>
            <w:r>
              <w:rPr>
                <w:rFonts w:ascii="Times New Roman" w:hAnsi="Times New Roman" w:cs="Times New Roman"/>
                <w:b w:val="0"/>
                <w:sz w:val="22"/>
              </w:rPr>
              <w:t>0,963</w:t>
            </w:r>
          </w:p>
        </w:tc>
        <w:tc>
          <w:tcPr>
            <w:tcW w:type="dxa" w:w="964"/>
          </w:tcPr>
          <w:p>
            <w:pPr>
              <w:spacing w:after="0" w:line="240" w:lineRule="auto"/>
              <w:ind w:firstLine="0"/>
              <w:jc w:val="center"/>
            </w:pPr>
            <w:r>
              <w:rPr>
                <w:rFonts w:ascii="Times New Roman" w:hAnsi="Times New Roman" w:cs="Times New Roman"/>
                <w:b w:val="0"/>
                <w:sz w:val="22"/>
              </w:rPr>
              <w:t>0,014</w:t>
            </w:r>
          </w:p>
        </w:tc>
        <w:tc>
          <w:tcPr>
            <w:tcW w:type="dxa" w:w="964"/>
          </w:tcPr>
          <w:p>
            <w:pPr>
              <w:spacing w:after="0" w:line="240" w:lineRule="auto"/>
              <w:ind w:firstLine="0"/>
              <w:jc w:val="center"/>
            </w:pPr>
            <w:r>
              <w:rPr>
                <w:rFonts w:ascii="Times New Roman" w:hAnsi="Times New Roman" w:cs="Times New Roman"/>
                <w:b w:val="0"/>
                <w:sz w:val="22"/>
              </w:rPr>
              <w:t>0,891</w:t>
            </w:r>
          </w:p>
        </w:tc>
        <w:tc>
          <w:tcPr>
            <w:tcW w:type="dxa" w:w="964"/>
          </w:tcPr>
          <w:p>
            <w:pPr>
              <w:spacing w:after="0" w:line="240" w:lineRule="auto"/>
              <w:ind w:firstLine="0"/>
              <w:jc w:val="center"/>
            </w:pPr>
            <w:r>
              <w:rPr>
                <w:rFonts w:ascii="Times New Roman" w:hAnsi="Times New Roman" w:cs="Times New Roman"/>
                <w:b w:val="0"/>
                <w:sz w:val="22"/>
              </w:rPr>
              <w:t>0,002</w:t>
            </w:r>
          </w:p>
        </w:tc>
      </w:tr>
      <w:tr>
        <w:tc>
          <w:tcPr>
            <w:tcW w:type="dxa" w:w="2268"/>
          </w:tcPr>
          <w:p>
            <w:pPr>
              <w:spacing w:after="0" w:line="240" w:lineRule="auto"/>
              <w:ind w:firstLine="0"/>
              <w:jc w:val="left"/>
            </w:pPr>
            <w:r>
              <w:rPr>
                <w:rFonts w:ascii="Times New Roman" w:hAnsi="Times New Roman" w:cs="Times New Roman"/>
                <w:b w:val="0"/>
                <w:sz w:val="22"/>
              </w:rPr>
              <w:t>XGBoost</w:t>
            </w:r>
          </w:p>
        </w:tc>
        <w:tc>
          <w:tcPr>
            <w:tcW w:type="dxa" w:w="964"/>
          </w:tcPr>
          <w:p>
            <w:pPr>
              <w:spacing w:after="0" w:line="240" w:lineRule="auto"/>
              <w:ind w:firstLine="0"/>
              <w:jc w:val="center"/>
            </w:pPr>
            <w:r>
              <w:rPr>
                <w:rFonts w:ascii="Times New Roman" w:hAnsi="Times New Roman" w:cs="Times New Roman"/>
                <w:b w:val="0"/>
                <w:sz w:val="22"/>
              </w:rPr>
              <w:t>0,869</w:t>
            </w:r>
          </w:p>
        </w:tc>
        <w:tc>
          <w:tcPr>
            <w:tcW w:type="dxa" w:w="1191"/>
          </w:tcPr>
          <w:p>
            <w:pPr>
              <w:spacing w:after="0" w:line="240" w:lineRule="auto"/>
              <w:ind w:firstLine="0"/>
              <w:jc w:val="center"/>
            </w:pPr>
            <w:r>
              <w:rPr>
                <w:rFonts w:ascii="Times New Roman" w:hAnsi="Times New Roman" w:cs="Times New Roman"/>
                <w:b w:val="0"/>
                <w:sz w:val="22"/>
              </w:rPr>
              <w:t>0,418</w:t>
            </w:r>
          </w:p>
        </w:tc>
        <w:tc>
          <w:tcPr>
            <w:tcW w:type="dxa" w:w="964"/>
          </w:tcPr>
          <w:p>
            <w:pPr>
              <w:spacing w:after="0" w:line="240" w:lineRule="auto"/>
              <w:ind w:firstLine="0"/>
              <w:jc w:val="center"/>
            </w:pPr>
            <w:r>
              <w:rPr>
                <w:rFonts w:ascii="Times New Roman" w:hAnsi="Times New Roman" w:cs="Times New Roman"/>
                <w:b w:val="0"/>
                <w:sz w:val="22"/>
              </w:rPr>
              <w:t>0,927</w:t>
            </w:r>
          </w:p>
        </w:tc>
        <w:tc>
          <w:tcPr>
            <w:tcW w:type="dxa" w:w="964"/>
          </w:tcPr>
          <w:p>
            <w:pPr>
              <w:spacing w:after="0" w:line="240" w:lineRule="auto"/>
              <w:ind w:firstLine="0"/>
              <w:jc w:val="center"/>
            </w:pPr>
            <w:r>
              <w:rPr>
                <w:rFonts w:ascii="Times New Roman" w:hAnsi="Times New Roman" w:cs="Times New Roman"/>
                <w:b w:val="0"/>
                <w:sz w:val="22"/>
              </w:rPr>
              <w:t>0,186</w:t>
            </w:r>
          </w:p>
        </w:tc>
        <w:tc>
          <w:tcPr>
            <w:tcW w:type="dxa" w:w="964"/>
          </w:tcPr>
          <w:p>
            <w:pPr>
              <w:spacing w:after="0" w:line="240" w:lineRule="auto"/>
              <w:ind w:firstLine="0"/>
              <w:jc w:val="center"/>
            </w:pPr>
            <w:r>
              <w:rPr>
                <w:rFonts w:ascii="Times New Roman" w:hAnsi="Times New Roman" w:cs="Times New Roman"/>
                <w:b w:val="0"/>
                <w:sz w:val="22"/>
              </w:rPr>
              <w:t>0,886</w:t>
            </w:r>
          </w:p>
        </w:tc>
        <w:tc>
          <w:tcPr>
            <w:tcW w:type="dxa" w:w="964"/>
          </w:tcPr>
          <w:p>
            <w:pPr>
              <w:spacing w:after="0" w:line="240" w:lineRule="auto"/>
              <w:ind w:firstLine="0"/>
              <w:jc w:val="center"/>
            </w:pPr>
            <w:r>
              <w:rPr>
                <w:rFonts w:ascii="Times New Roman" w:hAnsi="Times New Roman" w:cs="Times New Roman"/>
                <w:b w:val="0"/>
                <w:sz w:val="22"/>
              </w:rPr>
              <w:t>0,093</w:t>
            </w:r>
          </w:p>
        </w:tc>
      </w:tr>
      <w:tr>
        <w:tc>
          <w:tcPr>
            <w:tcW w:type="dxa" w:w="2268"/>
          </w:tcPr>
          <w:p>
            <w:pPr>
              <w:spacing w:after="0" w:line="240" w:lineRule="auto"/>
              <w:ind w:firstLine="0"/>
              <w:jc w:val="left"/>
            </w:pPr>
            <w:r>
              <w:rPr>
                <w:rFonts w:ascii="Times New Roman" w:hAnsi="Times New Roman" w:cs="Times New Roman"/>
                <w:b w:val="0"/>
                <w:sz w:val="22"/>
              </w:rPr>
              <w:t>SVM-RBF</w:t>
            </w:r>
          </w:p>
        </w:tc>
        <w:tc>
          <w:tcPr>
            <w:tcW w:type="dxa" w:w="964"/>
          </w:tcPr>
          <w:p>
            <w:pPr>
              <w:spacing w:after="0" w:line="240" w:lineRule="auto"/>
              <w:ind w:firstLine="0"/>
              <w:jc w:val="center"/>
            </w:pPr>
            <w:r>
              <w:rPr>
                <w:rFonts w:ascii="Times New Roman" w:hAnsi="Times New Roman" w:cs="Times New Roman"/>
                <w:b w:val="0"/>
                <w:sz w:val="22"/>
              </w:rPr>
              <w:t>0,855</w:t>
            </w:r>
          </w:p>
        </w:tc>
        <w:tc>
          <w:tcPr>
            <w:tcW w:type="dxa" w:w="1191"/>
          </w:tcPr>
          <w:p>
            <w:pPr>
              <w:spacing w:after="0" w:line="240" w:lineRule="auto"/>
              <w:ind w:firstLine="0"/>
              <w:jc w:val="center"/>
            </w:pPr>
            <w:r>
              <w:rPr>
                <w:rFonts w:ascii="Times New Roman" w:hAnsi="Times New Roman" w:cs="Times New Roman"/>
                <w:b w:val="0"/>
                <w:sz w:val="22"/>
              </w:rPr>
              <w:t>0,461</w:t>
            </w:r>
          </w:p>
        </w:tc>
        <w:tc>
          <w:tcPr>
            <w:tcW w:type="dxa" w:w="964"/>
          </w:tcPr>
          <w:p>
            <w:pPr>
              <w:spacing w:after="0" w:line="240" w:lineRule="auto"/>
              <w:ind w:firstLine="0"/>
              <w:jc w:val="center"/>
            </w:pPr>
            <w:r>
              <w:rPr>
                <w:rFonts w:ascii="Times New Roman" w:hAnsi="Times New Roman" w:cs="Times New Roman"/>
                <w:b w:val="0"/>
                <w:sz w:val="22"/>
              </w:rPr>
              <w:t>0,917</w:t>
            </w:r>
          </w:p>
        </w:tc>
        <w:tc>
          <w:tcPr>
            <w:tcW w:type="dxa" w:w="964"/>
          </w:tcPr>
          <w:p>
            <w:pPr>
              <w:spacing w:after="0" w:line="240" w:lineRule="auto"/>
              <w:ind w:firstLine="0"/>
              <w:jc w:val="center"/>
            </w:pPr>
            <w:r>
              <w:rPr>
                <w:rFonts w:ascii="Times New Roman" w:hAnsi="Times New Roman" w:cs="Times New Roman"/>
                <w:b w:val="0"/>
                <w:sz w:val="22"/>
              </w:rPr>
              <w:t>0,433</w:t>
            </w:r>
          </w:p>
        </w:tc>
        <w:tc>
          <w:tcPr>
            <w:tcW w:type="dxa" w:w="964"/>
          </w:tcPr>
          <w:p>
            <w:pPr>
              <w:spacing w:after="0" w:line="240" w:lineRule="auto"/>
              <w:ind w:firstLine="0"/>
              <w:jc w:val="center"/>
            </w:pPr>
            <w:r>
              <w:rPr>
                <w:rFonts w:ascii="Times New Roman" w:hAnsi="Times New Roman" w:cs="Times New Roman"/>
                <w:b w:val="0"/>
                <w:sz w:val="22"/>
              </w:rPr>
              <w:t>0,817</w:t>
            </w:r>
          </w:p>
        </w:tc>
        <w:tc>
          <w:tcPr>
            <w:tcW w:type="dxa" w:w="964"/>
          </w:tcPr>
          <w:p>
            <w:pPr>
              <w:spacing w:after="0" w:line="240" w:lineRule="auto"/>
              <w:ind w:firstLine="0"/>
              <w:jc w:val="center"/>
            </w:pPr>
            <w:r>
              <w:rPr>
                <w:rFonts w:ascii="Times New Roman" w:hAnsi="Times New Roman" w:cs="Times New Roman"/>
                <w:b w:val="0"/>
                <w:sz w:val="22"/>
              </w:rPr>
              <w:t>0,140</w:t>
            </w:r>
          </w:p>
        </w:tc>
      </w:tr>
      <w:tr>
        <w:tc>
          <w:tcPr>
            <w:tcW w:type="dxa" w:w="2268"/>
          </w:tcPr>
          <w:p>
            <w:pPr>
              <w:spacing w:after="0" w:line="240" w:lineRule="auto"/>
              <w:ind w:firstLine="0"/>
              <w:jc w:val="left"/>
            </w:pPr>
            <w:r>
              <w:rPr>
                <w:rFonts w:ascii="Times New Roman" w:hAnsi="Times New Roman" w:cs="Times New Roman"/>
                <w:b w:val="0"/>
                <w:sz w:val="22"/>
              </w:rPr>
              <w:t>1D-CNN</w:t>
            </w:r>
          </w:p>
        </w:tc>
        <w:tc>
          <w:tcPr>
            <w:tcW w:type="dxa" w:w="964"/>
          </w:tcPr>
          <w:p>
            <w:pPr>
              <w:spacing w:after="0" w:line="240" w:lineRule="auto"/>
              <w:ind w:firstLine="0"/>
              <w:jc w:val="center"/>
            </w:pPr>
            <w:r>
              <w:rPr>
                <w:rFonts w:ascii="Times New Roman" w:hAnsi="Times New Roman" w:cs="Times New Roman"/>
                <w:b w:val="0"/>
                <w:sz w:val="22"/>
              </w:rPr>
              <w:t>0,667</w:t>
            </w:r>
          </w:p>
        </w:tc>
        <w:tc>
          <w:tcPr>
            <w:tcW w:type="dxa" w:w="1191"/>
          </w:tcPr>
          <w:p>
            <w:pPr>
              <w:spacing w:after="0" w:line="240" w:lineRule="auto"/>
              <w:ind w:firstLine="0"/>
              <w:jc w:val="center"/>
            </w:pPr>
            <w:r>
              <w:rPr>
                <w:rFonts w:ascii="Times New Roman" w:hAnsi="Times New Roman" w:cs="Times New Roman"/>
                <w:b w:val="0"/>
                <w:sz w:val="22"/>
              </w:rPr>
              <w:t>0,273</w:t>
            </w:r>
          </w:p>
        </w:tc>
        <w:tc>
          <w:tcPr>
            <w:tcW w:type="dxa" w:w="964"/>
          </w:tcPr>
          <w:p>
            <w:pPr>
              <w:spacing w:after="0" w:line="240" w:lineRule="auto"/>
              <w:ind w:firstLine="0"/>
              <w:jc w:val="center"/>
            </w:pPr>
            <w:r>
              <w:rPr>
                <w:rFonts w:ascii="Times New Roman" w:hAnsi="Times New Roman" w:cs="Times New Roman"/>
                <w:b w:val="0"/>
                <w:sz w:val="22"/>
              </w:rPr>
              <w:t>0,800</w:t>
            </w:r>
          </w:p>
        </w:tc>
        <w:tc>
          <w:tcPr>
            <w:tcW w:type="dxa" w:w="964"/>
          </w:tcPr>
          <w:p>
            <w:pPr>
              <w:spacing w:after="0" w:line="240" w:lineRule="auto"/>
              <w:ind w:firstLine="0"/>
              <w:jc w:val="center"/>
            </w:pPr>
            <w:r>
              <w:rPr>
                <w:rFonts w:ascii="Times New Roman" w:hAnsi="Times New Roman" w:cs="Times New Roman"/>
                <w:b w:val="0"/>
                <w:sz w:val="22"/>
              </w:rPr>
              <w:t>0,045</w:t>
            </w:r>
          </w:p>
        </w:tc>
        <w:tc>
          <w:tcPr>
            <w:tcW w:type="dxa" w:w="964"/>
          </w:tcPr>
          <w:p>
            <w:pPr>
              <w:spacing w:after="0" w:line="240" w:lineRule="auto"/>
              <w:ind w:firstLine="0"/>
              <w:jc w:val="center"/>
            </w:pPr>
            <w:r>
              <w:rPr>
                <w:rFonts w:ascii="Times New Roman" w:hAnsi="Times New Roman" w:cs="Times New Roman"/>
                <w:b w:val="0"/>
                <w:sz w:val="22"/>
              </w:rPr>
              <w:t>0,519</w:t>
            </w:r>
          </w:p>
        </w:tc>
        <w:tc>
          <w:tcPr>
            <w:tcW w:type="dxa" w:w="964"/>
          </w:tcPr>
          <w:p>
            <w:pPr>
              <w:spacing w:after="0" w:line="240" w:lineRule="auto"/>
              <w:ind w:firstLine="0"/>
              <w:jc w:val="center"/>
            </w:pPr>
            <w:r>
              <w:rPr>
                <w:rFonts w:ascii="Times New Roman" w:hAnsi="Times New Roman" w:cs="Times New Roman"/>
                <w:b w:val="0"/>
                <w:sz w:val="22"/>
              </w:rPr>
              <w:t>0,002</w:t>
            </w:r>
          </w:p>
        </w:tc>
      </w:tr>
      <w:tr>
        <w:tc>
          <w:tcPr>
            <w:tcW w:type="dxa" w:w="2268"/>
          </w:tcPr>
          <w:p>
            <w:pPr>
              <w:spacing w:after="0" w:line="240" w:lineRule="auto"/>
              <w:ind w:firstLine="0"/>
              <w:jc w:val="left"/>
            </w:pPr>
            <w:r>
              <w:rPr>
                <w:rFonts w:ascii="Times New Roman" w:hAnsi="Times New Roman" w:cs="Times New Roman"/>
                <w:b w:val="0"/>
                <w:sz w:val="22"/>
              </w:rPr>
              <w:t>CNN-BiLSTM</w:t>
            </w:r>
          </w:p>
        </w:tc>
        <w:tc>
          <w:tcPr>
            <w:tcW w:type="dxa" w:w="964"/>
          </w:tcPr>
          <w:p>
            <w:pPr>
              <w:spacing w:after="0" w:line="240" w:lineRule="auto"/>
              <w:ind w:firstLine="0"/>
              <w:jc w:val="center"/>
            </w:pPr>
            <w:r>
              <w:rPr>
                <w:rFonts w:ascii="Times New Roman" w:hAnsi="Times New Roman" w:cs="Times New Roman"/>
                <w:b w:val="0"/>
                <w:sz w:val="22"/>
              </w:rPr>
              <w:t>0,505</w:t>
            </w:r>
          </w:p>
        </w:tc>
        <w:tc>
          <w:tcPr>
            <w:tcW w:type="dxa" w:w="1191"/>
          </w:tcPr>
          <w:p>
            <w:pPr>
              <w:spacing w:after="0" w:line="240" w:lineRule="auto"/>
              <w:ind w:firstLine="0"/>
              <w:jc w:val="center"/>
            </w:pPr>
            <w:r>
              <w:rPr>
                <w:rFonts w:ascii="Times New Roman" w:hAnsi="Times New Roman" w:cs="Times New Roman"/>
                <w:b w:val="0"/>
                <w:sz w:val="22"/>
              </w:rPr>
              <w:t>0,289</w:t>
            </w:r>
          </w:p>
        </w:tc>
        <w:tc>
          <w:tcPr>
            <w:tcW w:type="dxa" w:w="964"/>
          </w:tcPr>
          <w:p>
            <w:pPr>
              <w:spacing w:after="0" w:line="240" w:lineRule="auto"/>
              <w:ind w:firstLine="0"/>
              <w:jc w:val="center"/>
            </w:pPr>
            <w:r>
              <w:rPr>
                <w:rFonts w:ascii="Times New Roman" w:hAnsi="Times New Roman" w:cs="Times New Roman"/>
                <w:b w:val="0"/>
                <w:sz w:val="22"/>
              </w:rPr>
              <w:t>0,645</w:t>
            </w:r>
          </w:p>
        </w:tc>
        <w:tc>
          <w:tcPr>
            <w:tcW w:type="dxa" w:w="964"/>
          </w:tcPr>
          <w:p>
            <w:pPr>
              <w:spacing w:after="0" w:line="240" w:lineRule="auto"/>
              <w:ind w:firstLine="0"/>
              <w:jc w:val="center"/>
            </w:pPr>
            <w:r>
              <w:rPr>
                <w:rFonts w:ascii="Times New Roman" w:hAnsi="Times New Roman" w:cs="Times New Roman"/>
                <w:b w:val="0"/>
                <w:sz w:val="22"/>
              </w:rPr>
              <w:t>0,040</w:t>
            </w:r>
          </w:p>
        </w:tc>
        <w:tc>
          <w:tcPr>
            <w:tcW w:type="dxa" w:w="964"/>
          </w:tcPr>
          <w:p>
            <w:pPr>
              <w:spacing w:after="0" w:line="240" w:lineRule="auto"/>
              <w:ind w:firstLine="0"/>
              <w:jc w:val="center"/>
            </w:pPr>
            <w:r>
              <w:rPr>
                <w:rFonts w:ascii="Times New Roman" w:hAnsi="Times New Roman" w:cs="Times New Roman"/>
                <w:b w:val="0"/>
                <w:sz w:val="22"/>
              </w:rPr>
              <w:t>0,754</w:t>
            </w:r>
          </w:p>
        </w:tc>
        <w:tc>
          <w:tcPr>
            <w:tcW w:type="dxa" w:w="964"/>
          </w:tcPr>
          <w:p>
            <w:pPr>
              <w:spacing w:after="0" w:line="240" w:lineRule="auto"/>
              <w:ind w:firstLine="0"/>
              <w:jc w:val="center"/>
            </w:pPr>
            <w:r>
              <w:rPr>
                <w:rFonts w:ascii="Times New Roman" w:hAnsi="Times New Roman" w:cs="Times New Roman"/>
                <w:b w:val="0"/>
                <w:sz w:val="22"/>
              </w:rPr>
              <w:t>0,008</w:t>
            </w:r>
          </w:p>
        </w:tc>
      </w:tr>
      <w:tr>
        <w:tc>
          <w:tcPr>
            <w:tcW w:type="dxa" w:w="2268"/>
          </w:tcPr>
          <w:p>
            <w:pPr>
              <w:spacing w:after="0" w:line="240" w:lineRule="auto"/>
              <w:ind w:firstLine="0"/>
              <w:jc w:val="left"/>
            </w:pPr>
            <w:r>
              <w:rPr>
                <w:rFonts w:ascii="Times New Roman" w:hAnsi="Times New Roman" w:cs="Times New Roman"/>
                <w:b w:val="0"/>
                <w:sz w:val="22"/>
              </w:rPr>
              <w:t>Гібрид</w:t>
            </w:r>
          </w:p>
        </w:tc>
        <w:tc>
          <w:tcPr>
            <w:tcW w:type="dxa" w:w="964"/>
          </w:tcPr>
          <w:p>
            <w:pPr>
              <w:spacing w:after="0" w:line="240" w:lineRule="auto"/>
              <w:ind w:firstLine="0"/>
              <w:jc w:val="center"/>
            </w:pPr>
            <w:r>
              <w:rPr>
                <w:rFonts w:ascii="Times New Roman" w:hAnsi="Times New Roman" w:cs="Times New Roman"/>
                <w:b w:val="0"/>
                <w:sz w:val="22"/>
              </w:rPr>
              <w:t>0,794</w:t>
            </w:r>
          </w:p>
        </w:tc>
        <w:tc>
          <w:tcPr>
            <w:tcW w:type="dxa" w:w="1191"/>
          </w:tcPr>
          <w:p>
            <w:pPr>
              <w:spacing w:after="0" w:line="240" w:lineRule="auto"/>
              <w:ind w:firstLine="0"/>
              <w:jc w:val="center"/>
            </w:pPr>
            <w:r>
              <w:rPr>
                <w:rFonts w:ascii="Times New Roman" w:hAnsi="Times New Roman" w:cs="Times New Roman"/>
                <w:b w:val="0"/>
                <w:sz w:val="22"/>
              </w:rPr>
              <w:t>0,394</w:t>
            </w:r>
          </w:p>
        </w:tc>
        <w:tc>
          <w:tcPr>
            <w:tcW w:type="dxa" w:w="964"/>
          </w:tcPr>
          <w:p>
            <w:pPr>
              <w:spacing w:after="0" w:line="240" w:lineRule="auto"/>
              <w:ind w:firstLine="0"/>
              <w:jc w:val="center"/>
            </w:pPr>
            <w:r>
              <w:rPr>
                <w:rFonts w:ascii="Times New Roman" w:hAnsi="Times New Roman" w:cs="Times New Roman"/>
                <w:b w:val="0"/>
                <w:sz w:val="22"/>
              </w:rPr>
              <w:t>0,882</w:t>
            </w:r>
          </w:p>
        </w:tc>
        <w:tc>
          <w:tcPr>
            <w:tcW w:type="dxa" w:w="964"/>
          </w:tcPr>
          <w:p>
            <w:pPr>
              <w:spacing w:after="0" w:line="240" w:lineRule="auto"/>
              <w:ind w:firstLine="0"/>
              <w:jc w:val="center"/>
            </w:pPr>
            <w:r>
              <w:rPr>
                <w:rFonts w:ascii="Times New Roman" w:hAnsi="Times New Roman" w:cs="Times New Roman"/>
                <w:b w:val="0"/>
                <w:sz w:val="22"/>
              </w:rPr>
              <w:t>0,162</w:t>
            </w:r>
          </w:p>
        </w:tc>
        <w:tc>
          <w:tcPr>
            <w:tcW w:type="dxa" w:w="964"/>
          </w:tcPr>
          <w:p>
            <w:pPr>
              <w:spacing w:after="0" w:line="240" w:lineRule="auto"/>
              <w:ind w:firstLine="0"/>
              <w:jc w:val="center"/>
            </w:pPr>
            <w:r>
              <w:rPr>
                <w:rFonts w:ascii="Times New Roman" w:hAnsi="Times New Roman" w:cs="Times New Roman"/>
                <w:b w:val="0"/>
                <w:sz w:val="22"/>
              </w:rPr>
              <w:t>0,871</w:t>
            </w:r>
          </w:p>
        </w:tc>
        <w:tc>
          <w:tcPr>
            <w:tcW w:type="dxa" w:w="964"/>
          </w:tcPr>
          <w:p>
            <w:pPr>
              <w:spacing w:after="0" w:line="240" w:lineRule="auto"/>
              <w:ind w:firstLine="0"/>
              <w:jc w:val="center"/>
            </w:pPr>
            <w:r>
              <w:rPr>
                <w:rFonts w:ascii="Times New Roman" w:hAnsi="Times New Roman" w:cs="Times New Roman"/>
                <w:b w:val="0"/>
                <w:sz w:val="22"/>
              </w:rPr>
              <w:t>0,052</w:t>
            </w:r>
          </w:p>
        </w:tc>
      </w:tr>
    </w:tbl>
    <w:p>
      <w:pPr>
        <w:spacing w:line="360" w:lineRule="auto" w:after="0"/>
        <w:ind w:firstLine="720"/>
        <w:jc w:val="both"/>
      </w:pPr>
      <w:r>
        <w:rPr>
          <w:rFonts w:ascii="Times New Roman" w:hAnsi="Times New Roman" w:cs="Times New Roman"/>
          <w:b w:val="0"/>
          <w:i w:val="0"/>
          <w:sz w:val="28"/>
        </w:rPr>
        <w:t>Матриці невідповідностей базової лінії та XGBoost (рисунки 4.1 і 4.2) ілюструють цей контраст. Базова лінія зосереджує майже всі передбачення в стовпці N, тоді як XGBoost упевнено відокремлює шлуночковий клас V, помиляючись переважно на близьких до норми надшлуночкових скороченнях.</w:t>
      </w:r>
    </w:p>
    <w:p>
      <w:pPr>
        <w:keepNext/>
        <w:spacing w:before="120"/>
        <w:ind w:firstLine="0"/>
        <w:jc w:val="center"/>
      </w:pPr>
      <w:r>
        <w:drawing>
          <wp:inline xmlns:a="http://schemas.openxmlformats.org/drawingml/2006/main" xmlns:pic="http://schemas.openxmlformats.org/drawingml/2006/picture">
            <wp:extent cx="3780000" cy="3402000"/>
            <wp:docPr id="7" name="Picture 7"/>
            <wp:cNvGraphicFramePr>
              <a:graphicFrameLocks noChangeAspect="1"/>
            </wp:cNvGraphicFramePr>
            <a:graphic>
              <a:graphicData uri="http://schemas.openxmlformats.org/drawingml/2006/picture">
                <pic:pic>
                  <pic:nvPicPr>
                    <pic:cNvPr id="0" name="confusion_rule_based.png"/>
                    <pic:cNvPicPr/>
                  </pic:nvPicPr>
                  <pic:blipFill>
                    <a:blip r:embed="rId17"/>
                    <a:stretch>
                      <a:fillRect/>
                    </a:stretch>
                  </pic:blipFill>
                  <pic:spPr>
                    <a:xfrm>
                      <a:off x="0" y="0"/>
                      <a:ext cx="3780000" cy="3402000"/>
                    </a:xfrm>
                    <a:prstGeom prst="rect"/>
                  </pic:spPr>
                </pic:pic>
              </a:graphicData>
            </a:graphic>
          </wp:inline>
        </w:drawing>
      </w:r>
    </w:p>
    <w:p>
      <w:pPr>
        <w:spacing w:after="160"/>
        <w:ind w:firstLine="0"/>
        <w:jc w:val="center"/>
      </w:pPr>
      <w:r>
        <w:rPr>
          <w:rFonts w:ascii="Times New Roman" w:hAnsi="Times New Roman" w:cs="Times New Roman"/>
          <w:sz w:val="28"/>
        </w:rPr>
        <w:t>Рисунок 4.1 — Матриця невідповідностей базової лінії на основі правил</w:t>
      </w:r>
    </w:p>
    <w:p>
      <w:pPr>
        <w:keepNext/>
        <w:spacing w:before="120"/>
        <w:ind w:firstLine="0"/>
        <w:jc w:val="center"/>
      </w:pPr>
      <w:r>
        <w:drawing>
          <wp:inline xmlns:a="http://schemas.openxmlformats.org/drawingml/2006/main" xmlns:pic="http://schemas.openxmlformats.org/drawingml/2006/picture">
            <wp:extent cx="3780000" cy="3402000"/>
            <wp:docPr id="8" name="Picture 8"/>
            <wp:cNvGraphicFramePr>
              <a:graphicFrameLocks noChangeAspect="1"/>
            </wp:cNvGraphicFramePr>
            <a:graphic>
              <a:graphicData uri="http://schemas.openxmlformats.org/drawingml/2006/picture">
                <pic:pic>
                  <pic:nvPicPr>
                    <pic:cNvPr id="0" name="confusion_xgboost.png"/>
                    <pic:cNvPicPr/>
                  </pic:nvPicPr>
                  <pic:blipFill>
                    <a:blip r:embed="rId18"/>
                    <a:stretch>
                      <a:fillRect/>
                    </a:stretch>
                  </pic:blipFill>
                  <pic:spPr>
                    <a:xfrm>
                      <a:off x="0" y="0"/>
                      <a:ext cx="3780000" cy="3402000"/>
                    </a:xfrm>
                    <a:prstGeom prst="rect"/>
                  </pic:spPr>
                </pic:pic>
              </a:graphicData>
            </a:graphic>
          </wp:inline>
        </w:drawing>
      </w:r>
    </w:p>
    <w:p>
      <w:pPr>
        <w:spacing w:after="160"/>
        <w:ind w:firstLine="0"/>
        <w:jc w:val="center"/>
      </w:pPr>
      <w:r>
        <w:rPr>
          <w:rFonts w:ascii="Times New Roman" w:hAnsi="Times New Roman" w:cs="Times New Roman"/>
          <w:sz w:val="28"/>
        </w:rPr>
        <w:t>Рисунок 4.2 — Матриця невідповідностей моделі XGBoost на одному відведенні</w:t>
      </w:r>
    </w:p>
    <w:p>
      <w:pPr>
        <w:spacing w:line="360" w:lineRule="auto" w:after="0"/>
        <w:ind w:firstLine="720"/>
        <w:jc w:val="both"/>
      </w:pPr>
      <w:r>
        <w:rPr>
          <w:rFonts w:ascii="Times New Roman" w:hAnsi="Times New Roman" w:cs="Times New Roman"/>
          <w:b w:val="0"/>
          <w:i w:val="0"/>
          <w:sz w:val="28"/>
        </w:rPr>
        <w:t>Окремо слід пояснити розбіжність між accuracy та macro-F1. Випадковий ліс має найвищу accuracy (0,929) і водночас значно нижчий macro-F1 (0,374). Причина в тому, що він майже завжди передбачає переважний клас N: за частки нормальних ударів близько 90 % це автоматично дає високу частку правильних відповідей, проте повнота за класами S і F падає до нуля. Цей приклад наочно підтверджує, чому accuracy непридатна як основний показник на незбалансованих даних, і чому в роботі наголос зроблено на macro-F1 та повноті за рідкісними класами.</w:t>
      </w:r>
    </w:p>
    <w:p>
      <w:pPr>
        <w:spacing w:line="360" w:lineRule="auto" w:after="0"/>
        <w:ind w:firstLine="720"/>
        <w:jc w:val="both"/>
      </w:pPr>
      <w:r>
        <w:rPr>
          <w:rFonts w:ascii="Times New Roman" w:hAnsi="Times New Roman" w:cs="Times New Roman"/>
          <w:b w:val="0"/>
          <w:i w:val="0"/>
          <w:sz w:val="28"/>
        </w:rPr>
        <w:t>Недостатня якість глибоких моделей пояснюється сукупністю причин: навчання обмеженою кількістю епох на процесорі, використання лише одного відведення та відсутність аугментації даних. Подібні значення для коротко навчених одновідвідних мереж за міжпацієнтним протоколом є очікуваними. За повноцінного навчання глибокі мережі здатні досягати значно вищої якості: Kachuee та ін. [13] повідомляють близько 93 % точності, проте на пом’якшеному поділі на рівні окремих ударів, а не за міжпацієнтним протоколом. За навчання на графічному прискорювачі з аугментацією очікуваний приріст macro-F1 згорткових моделей у нашому протоколі становить від 5 до 10 відсоткових пунктів, тоді як класичні моделі вже збігаються за кілька секунд навчання й приросту не дадуть.</w:t>
      </w:r>
    </w:p>
    <w:p>
      <w:pPr>
        <w:pStyle w:val="Heading2"/>
        <w:spacing w:before="120"/>
        <w:ind w:firstLine="720"/>
        <w:jc w:val="left"/>
      </w:pPr>
      <w:r>
        <w:rPr>
          <w:rFonts w:ascii="Times New Roman" w:hAnsi="Times New Roman" w:cs="Times New Roman"/>
          <w:b/>
          <w:color w:val="000000"/>
          <w:sz w:val="28"/>
        </w:rPr>
        <w:t>4.3 Аналіз за класами та рідкісні класи</w:t>
      </w:r>
    </w:p>
    <w:p>
      <w:pPr>
        <w:spacing w:line="360" w:lineRule="auto" w:after="0"/>
        <w:ind w:firstLine="720"/>
        <w:jc w:val="both"/>
      </w:pPr>
      <w:r>
        <w:rPr>
          <w:rFonts w:ascii="Times New Roman" w:hAnsi="Times New Roman" w:cs="Times New Roman"/>
          <w:b w:val="0"/>
          <w:i w:val="0"/>
          <w:sz w:val="28"/>
        </w:rPr>
        <w:t>Розподіл міри F1 за класами (рисунок 4.3) підтверджує, що найскладнішими є класи S і F. Особливий інтерес становить повнота за рідкісними класами (таблиця 4.2 і рисунок 4.4), бо саме пропуск патологічного скорочення є найдорожчою помилкою. Метод опорних векторів забезпечує найвищу серед одновідвідних моделей повноту за класом S (0,520) і за класом F (0,740).</w:t>
      </w:r>
    </w:p>
    <w:p>
      <w:pPr>
        <w:keepNext/>
        <w:spacing w:before="120"/>
        <w:ind w:firstLine="720"/>
        <w:jc w:val="left"/>
      </w:pPr>
      <w:r>
        <w:rPr>
          <w:rFonts w:ascii="Times New Roman" w:hAnsi="Times New Roman" w:cs="Times New Roman"/>
          <w:sz w:val="28"/>
        </w:rPr>
        <w:t>Таблиця 4.2 — Повнота за рідкісними класами на одному відведенні (DS2)</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835"/>
          </w:tcPr>
          <w:p>
            <w:pPr>
              <w:spacing w:after="0" w:line="240" w:lineRule="auto"/>
              <w:ind w:firstLine="0"/>
              <w:jc w:val="center"/>
            </w:pPr>
            <w:r>
              <w:rPr>
                <w:rFonts w:ascii="Times New Roman" w:hAnsi="Times New Roman" w:cs="Times New Roman"/>
                <w:b/>
                <w:sz w:val="22"/>
              </w:rPr>
              <w:t>Модель</w:t>
            </w:r>
          </w:p>
        </w:tc>
        <w:tc>
          <w:tcPr>
            <w:tcW w:type="dxa" w:w="1701"/>
          </w:tcPr>
          <w:p>
            <w:pPr>
              <w:spacing w:after="0" w:line="240" w:lineRule="auto"/>
              <w:ind w:firstLine="0"/>
              <w:jc w:val="center"/>
            </w:pPr>
            <w:r>
              <w:rPr>
                <w:rFonts w:ascii="Times New Roman" w:hAnsi="Times New Roman" w:cs="Times New Roman"/>
                <w:b/>
                <w:sz w:val="22"/>
              </w:rPr>
              <w:t>S</w:t>
            </w:r>
          </w:p>
        </w:tc>
        <w:tc>
          <w:tcPr>
            <w:tcW w:type="dxa" w:w="1701"/>
          </w:tcPr>
          <w:p>
            <w:pPr>
              <w:spacing w:after="0" w:line="240" w:lineRule="auto"/>
              <w:ind w:firstLine="0"/>
              <w:jc w:val="center"/>
            </w:pPr>
            <w:r>
              <w:rPr>
                <w:rFonts w:ascii="Times New Roman" w:hAnsi="Times New Roman" w:cs="Times New Roman"/>
                <w:b/>
                <w:sz w:val="22"/>
              </w:rPr>
              <w:t>V</w:t>
            </w:r>
          </w:p>
        </w:tc>
        <w:tc>
          <w:tcPr>
            <w:tcW w:type="dxa" w:w="1701"/>
          </w:tcPr>
          <w:p>
            <w:pPr>
              <w:spacing w:after="0" w:line="240" w:lineRule="auto"/>
              <w:ind w:firstLine="0"/>
              <w:jc w:val="center"/>
            </w:pPr>
            <w:r>
              <w:rPr>
                <w:rFonts w:ascii="Times New Roman" w:hAnsi="Times New Roman" w:cs="Times New Roman"/>
                <w:b/>
                <w:sz w:val="22"/>
              </w:rPr>
              <w:t>F</w:t>
            </w:r>
          </w:p>
        </w:tc>
      </w:tr>
      <w:tr>
        <w:tc>
          <w:tcPr>
            <w:tcW w:type="dxa" w:w="2835"/>
          </w:tcPr>
          <w:p>
            <w:pPr>
              <w:spacing w:after="0" w:line="240" w:lineRule="auto"/>
              <w:ind w:firstLine="0"/>
              <w:jc w:val="left"/>
            </w:pPr>
            <w:r>
              <w:rPr>
                <w:rFonts w:ascii="Times New Roman" w:hAnsi="Times New Roman" w:cs="Times New Roman"/>
                <w:b w:val="0"/>
                <w:sz w:val="22"/>
              </w:rPr>
              <w:t>На основі правил</w:t>
            </w:r>
          </w:p>
        </w:tc>
        <w:tc>
          <w:tcPr>
            <w:tcW w:type="dxa" w:w="1701"/>
          </w:tcPr>
          <w:p>
            <w:pPr>
              <w:spacing w:after="0" w:line="240" w:lineRule="auto"/>
              <w:ind w:firstLine="0"/>
              <w:jc w:val="center"/>
            </w:pPr>
            <w:r>
              <w:rPr>
                <w:rFonts w:ascii="Times New Roman" w:hAnsi="Times New Roman" w:cs="Times New Roman"/>
                <w:b w:val="0"/>
                <w:sz w:val="22"/>
              </w:rPr>
              <w:t>0,302</w:t>
            </w:r>
          </w:p>
        </w:tc>
        <w:tc>
          <w:tcPr>
            <w:tcW w:type="dxa" w:w="1701"/>
          </w:tcPr>
          <w:p>
            <w:pPr>
              <w:spacing w:after="0" w:line="240" w:lineRule="auto"/>
              <w:ind w:firstLine="0"/>
              <w:jc w:val="center"/>
            </w:pPr>
            <w:r>
              <w:rPr>
                <w:rFonts w:ascii="Times New Roman" w:hAnsi="Times New Roman" w:cs="Times New Roman"/>
                <w:b w:val="0"/>
                <w:sz w:val="22"/>
              </w:rPr>
              <w:t>0,000</w:t>
            </w:r>
          </w:p>
        </w:tc>
        <w:tc>
          <w:tcPr>
            <w:tcW w:type="dxa" w:w="1701"/>
          </w:tcPr>
          <w:p>
            <w:pPr>
              <w:spacing w:after="0" w:line="240" w:lineRule="auto"/>
              <w:ind w:firstLine="0"/>
              <w:jc w:val="center"/>
            </w:pPr>
            <w:r>
              <w:rPr>
                <w:rFonts w:ascii="Times New Roman" w:hAnsi="Times New Roman" w:cs="Times New Roman"/>
                <w:b w:val="0"/>
                <w:sz w:val="22"/>
              </w:rPr>
              <w:t>0,000</w:t>
            </w:r>
          </w:p>
        </w:tc>
      </w:tr>
      <w:tr>
        <w:tc>
          <w:tcPr>
            <w:tcW w:type="dxa" w:w="2835"/>
          </w:tcPr>
          <w:p>
            <w:pPr>
              <w:spacing w:after="0" w:line="240" w:lineRule="auto"/>
              <w:ind w:firstLine="0"/>
              <w:jc w:val="left"/>
            </w:pPr>
            <w:r>
              <w:rPr>
                <w:rFonts w:ascii="Times New Roman" w:hAnsi="Times New Roman" w:cs="Times New Roman"/>
                <w:b w:val="0"/>
                <w:sz w:val="22"/>
              </w:rPr>
              <w:t>Випадковий ліс</w:t>
            </w:r>
          </w:p>
        </w:tc>
        <w:tc>
          <w:tcPr>
            <w:tcW w:type="dxa" w:w="1701"/>
          </w:tcPr>
          <w:p>
            <w:pPr>
              <w:spacing w:after="0" w:line="240" w:lineRule="auto"/>
              <w:ind w:firstLine="0"/>
              <w:jc w:val="center"/>
            </w:pPr>
            <w:r>
              <w:rPr>
                <w:rFonts w:ascii="Times New Roman" w:hAnsi="Times New Roman" w:cs="Times New Roman"/>
                <w:b w:val="0"/>
                <w:sz w:val="22"/>
              </w:rPr>
              <w:t>0,007</w:t>
            </w:r>
          </w:p>
        </w:tc>
        <w:tc>
          <w:tcPr>
            <w:tcW w:type="dxa" w:w="1701"/>
          </w:tcPr>
          <w:p>
            <w:pPr>
              <w:spacing w:after="0" w:line="240" w:lineRule="auto"/>
              <w:ind w:firstLine="0"/>
              <w:jc w:val="center"/>
            </w:pPr>
            <w:r>
              <w:rPr>
                <w:rFonts w:ascii="Times New Roman" w:hAnsi="Times New Roman" w:cs="Times New Roman"/>
                <w:b w:val="0"/>
                <w:sz w:val="22"/>
              </w:rPr>
              <w:t>0,873</w:t>
            </w:r>
          </w:p>
        </w:tc>
        <w:tc>
          <w:tcPr>
            <w:tcW w:type="dxa" w:w="1701"/>
          </w:tcPr>
          <w:p>
            <w:pPr>
              <w:spacing w:after="0" w:line="240" w:lineRule="auto"/>
              <w:ind w:firstLine="0"/>
              <w:jc w:val="center"/>
            </w:pPr>
            <w:r>
              <w:rPr>
                <w:rFonts w:ascii="Times New Roman" w:hAnsi="Times New Roman" w:cs="Times New Roman"/>
                <w:b w:val="0"/>
                <w:sz w:val="22"/>
              </w:rPr>
              <w:t>0,003</w:t>
            </w:r>
          </w:p>
        </w:tc>
      </w:tr>
      <w:tr>
        <w:tc>
          <w:tcPr>
            <w:tcW w:type="dxa" w:w="2835"/>
          </w:tcPr>
          <w:p>
            <w:pPr>
              <w:spacing w:after="0" w:line="240" w:lineRule="auto"/>
              <w:ind w:firstLine="0"/>
              <w:jc w:val="left"/>
            </w:pPr>
            <w:r>
              <w:rPr>
                <w:rFonts w:ascii="Times New Roman" w:hAnsi="Times New Roman" w:cs="Times New Roman"/>
                <w:b w:val="0"/>
                <w:sz w:val="22"/>
              </w:rPr>
              <w:t>XGBoost</w:t>
            </w:r>
          </w:p>
        </w:tc>
        <w:tc>
          <w:tcPr>
            <w:tcW w:type="dxa" w:w="1701"/>
          </w:tcPr>
          <w:p>
            <w:pPr>
              <w:spacing w:after="0" w:line="240" w:lineRule="auto"/>
              <w:ind w:firstLine="0"/>
              <w:jc w:val="center"/>
            </w:pPr>
            <w:r>
              <w:rPr>
                <w:rFonts w:ascii="Times New Roman" w:hAnsi="Times New Roman" w:cs="Times New Roman"/>
                <w:b w:val="0"/>
                <w:sz w:val="22"/>
              </w:rPr>
              <w:t>0,127</w:t>
            </w:r>
          </w:p>
        </w:tc>
        <w:tc>
          <w:tcPr>
            <w:tcW w:type="dxa" w:w="1701"/>
          </w:tcPr>
          <w:p>
            <w:pPr>
              <w:spacing w:after="0" w:line="240" w:lineRule="auto"/>
              <w:ind w:firstLine="0"/>
              <w:jc w:val="center"/>
            </w:pPr>
            <w:r>
              <w:rPr>
                <w:rFonts w:ascii="Times New Roman" w:hAnsi="Times New Roman" w:cs="Times New Roman"/>
                <w:b w:val="0"/>
                <w:sz w:val="22"/>
              </w:rPr>
              <w:t>0,952</w:t>
            </w:r>
          </w:p>
        </w:tc>
        <w:tc>
          <w:tcPr>
            <w:tcW w:type="dxa" w:w="1701"/>
          </w:tcPr>
          <w:p>
            <w:pPr>
              <w:spacing w:after="0" w:line="240" w:lineRule="auto"/>
              <w:ind w:firstLine="0"/>
              <w:jc w:val="center"/>
            </w:pPr>
            <w:r>
              <w:rPr>
                <w:rFonts w:ascii="Times New Roman" w:hAnsi="Times New Roman" w:cs="Times New Roman"/>
                <w:b w:val="0"/>
                <w:sz w:val="22"/>
              </w:rPr>
              <w:t>0,521</w:t>
            </w:r>
          </w:p>
        </w:tc>
      </w:tr>
      <w:tr>
        <w:tc>
          <w:tcPr>
            <w:tcW w:type="dxa" w:w="2835"/>
          </w:tcPr>
          <w:p>
            <w:pPr>
              <w:spacing w:after="0" w:line="240" w:lineRule="auto"/>
              <w:ind w:firstLine="0"/>
              <w:jc w:val="left"/>
            </w:pPr>
            <w:r>
              <w:rPr>
                <w:rFonts w:ascii="Times New Roman" w:hAnsi="Times New Roman" w:cs="Times New Roman"/>
                <w:b w:val="0"/>
                <w:sz w:val="22"/>
              </w:rPr>
              <w:t>SVM-RBF</w:t>
            </w:r>
          </w:p>
        </w:tc>
        <w:tc>
          <w:tcPr>
            <w:tcW w:type="dxa" w:w="1701"/>
          </w:tcPr>
          <w:p>
            <w:pPr>
              <w:spacing w:after="0" w:line="240" w:lineRule="auto"/>
              <w:ind w:firstLine="0"/>
              <w:jc w:val="center"/>
            </w:pPr>
            <w:r>
              <w:rPr>
                <w:rFonts w:ascii="Times New Roman" w:hAnsi="Times New Roman" w:cs="Times New Roman"/>
                <w:b w:val="0"/>
                <w:sz w:val="22"/>
              </w:rPr>
              <w:t>0,520</w:t>
            </w:r>
          </w:p>
        </w:tc>
        <w:tc>
          <w:tcPr>
            <w:tcW w:type="dxa" w:w="1701"/>
          </w:tcPr>
          <w:p>
            <w:pPr>
              <w:spacing w:after="0" w:line="240" w:lineRule="auto"/>
              <w:ind w:firstLine="0"/>
              <w:jc w:val="center"/>
            </w:pPr>
            <w:r>
              <w:rPr>
                <w:rFonts w:ascii="Times New Roman" w:hAnsi="Times New Roman" w:cs="Times New Roman"/>
                <w:b w:val="0"/>
                <w:sz w:val="22"/>
              </w:rPr>
              <w:t>0,948</w:t>
            </w:r>
          </w:p>
        </w:tc>
        <w:tc>
          <w:tcPr>
            <w:tcW w:type="dxa" w:w="1701"/>
          </w:tcPr>
          <w:p>
            <w:pPr>
              <w:spacing w:after="0" w:line="240" w:lineRule="auto"/>
              <w:ind w:firstLine="0"/>
              <w:jc w:val="center"/>
            </w:pPr>
            <w:r>
              <w:rPr>
                <w:rFonts w:ascii="Times New Roman" w:hAnsi="Times New Roman" w:cs="Times New Roman"/>
                <w:b w:val="0"/>
                <w:sz w:val="22"/>
              </w:rPr>
              <w:t>0,740</w:t>
            </w:r>
          </w:p>
        </w:tc>
      </w:tr>
      <w:tr>
        <w:tc>
          <w:tcPr>
            <w:tcW w:type="dxa" w:w="2835"/>
          </w:tcPr>
          <w:p>
            <w:pPr>
              <w:spacing w:after="0" w:line="240" w:lineRule="auto"/>
              <w:ind w:firstLine="0"/>
              <w:jc w:val="left"/>
            </w:pPr>
            <w:r>
              <w:rPr>
                <w:rFonts w:ascii="Times New Roman" w:hAnsi="Times New Roman" w:cs="Times New Roman"/>
                <w:b w:val="0"/>
                <w:sz w:val="22"/>
              </w:rPr>
              <w:t>1D-CNN</w:t>
            </w:r>
          </w:p>
        </w:tc>
        <w:tc>
          <w:tcPr>
            <w:tcW w:type="dxa" w:w="1701"/>
          </w:tcPr>
          <w:p>
            <w:pPr>
              <w:spacing w:after="0" w:line="240" w:lineRule="auto"/>
              <w:ind w:firstLine="0"/>
              <w:jc w:val="center"/>
            </w:pPr>
            <w:r>
              <w:rPr>
                <w:rFonts w:ascii="Times New Roman" w:hAnsi="Times New Roman" w:cs="Times New Roman"/>
                <w:b w:val="0"/>
                <w:sz w:val="22"/>
              </w:rPr>
              <w:t>0,034</w:t>
            </w:r>
          </w:p>
        </w:tc>
        <w:tc>
          <w:tcPr>
            <w:tcW w:type="dxa" w:w="1701"/>
          </w:tcPr>
          <w:p>
            <w:pPr>
              <w:spacing w:after="0" w:line="240" w:lineRule="auto"/>
              <w:ind w:firstLine="0"/>
              <w:jc w:val="center"/>
            </w:pPr>
            <w:r>
              <w:rPr>
                <w:rFonts w:ascii="Times New Roman" w:hAnsi="Times New Roman" w:cs="Times New Roman"/>
                <w:b w:val="0"/>
                <w:sz w:val="22"/>
              </w:rPr>
              <w:t>0,916</w:t>
            </w:r>
          </w:p>
        </w:tc>
        <w:tc>
          <w:tcPr>
            <w:tcW w:type="dxa" w:w="1701"/>
          </w:tcPr>
          <w:p>
            <w:pPr>
              <w:spacing w:after="0" w:line="240" w:lineRule="auto"/>
              <w:ind w:firstLine="0"/>
              <w:jc w:val="center"/>
            </w:pPr>
            <w:r>
              <w:rPr>
                <w:rFonts w:ascii="Times New Roman" w:hAnsi="Times New Roman" w:cs="Times New Roman"/>
                <w:b w:val="0"/>
                <w:sz w:val="22"/>
              </w:rPr>
              <w:t>0,021</w:t>
            </w:r>
          </w:p>
        </w:tc>
      </w:tr>
      <w:tr>
        <w:tc>
          <w:tcPr>
            <w:tcW w:type="dxa" w:w="2835"/>
          </w:tcPr>
          <w:p>
            <w:pPr>
              <w:spacing w:after="0" w:line="240" w:lineRule="auto"/>
              <w:ind w:firstLine="0"/>
              <w:jc w:val="left"/>
            </w:pPr>
            <w:r>
              <w:rPr>
                <w:rFonts w:ascii="Times New Roman" w:hAnsi="Times New Roman" w:cs="Times New Roman"/>
                <w:b w:val="0"/>
                <w:sz w:val="22"/>
              </w:rPr>
              <w:t>CNN-BiLSTM</w:t>
            </w:r>
          </w:p>
        </w:tc>
        <w:tc>
          <w:tcPr>
            <w:tcW w:type="dxa" w:w="1701"/>
          </w:tcPr>
          <w:p>
            <w:pPr>
              <w:spacing w:after="0" w:line="240" w:lineRule="auto"/>
              <w:ind w:firstLine="0"/>
              <w:jc w:val="center"/>
            </w:pPr>
            <w:r>
              <w:rPr>
                <w:rFonts w:ascii="Times New Roman" w:hAnsi="Times New Roman" w:cs="Times New Roman"/>
                <w:b w:val="0"/>
                <w:sz w:val="22"/>
              </w:rPr>
              <w:t>0,136</w:t>
            </w:r>
          </w:p>
        </w:tc>
        <w:tc>
          <w:tcPr>
            <w:tcW w:type="dxa" w:w="1701"/>
          </w:tcPr>
          <w:p>
            <w:pPr>
              <w:spacing w:after="0" w:line="240" w:lineRule="auto"/>
              <w:ind w:firstLine="0"/>
              <w:jc w:val="center"/>
            </w:pPr>
            <w:r>
              <w:rPr>
                <w:rFonts w:ascii="Times New Roman" w:hAnsi="Times New Roman" w:cs="Times New Roman"/>
                <w:b w:val="0"/>
                <w:sz w:val="22"/>
              </w:rPr>
              <w:t>0,922</w:t>
            </w:r>
          </w:p>
        </w:tc>
        <w:tc>
          <w:tcPr>
            <w:tcW w:type="dxa" w:w="1701"/>
          </w:tcPr>
          <w:p>
            <w:pPr>
              <w:spacing w:after="0" w:line="240" w:lineRule="auto"/>
              <w:ind w:firstLine="0"/>
              <w:jc w:val="center"/>
            </w:pPr>
            <w:r>
              <w:rPr>
                <w:rFonts w:ascii="Times New Roman" w:hAnsi="Times New Roman" w:cs="Times New Roman"/>
                <w:b w:val="0"/>
                <w:sz w:val="22"/>
              </w:rPr>
              <w:t>0,113</w:t>
            </w:r>
          </w:p>
        </w:tc>
      </w:tr>
      <w:tr>
        <w:tc>
          <w:tcPr>
            <w:tcW w:type="dxa" w:w="2835"/>
          </w:tcPr>
          <w:p>
            <w:pPr>
              <w:spacing w:after="0" w:line="240" w:lineRule="auto"/>
              <w:ind w:firstLine="0"/>
              <w:jc w:val="left"/>
            </w:pPr>
            <w:r>
              <w:rPr>
                <w:rFonts w:ascii="Times New Roman" w:hAnsi="Times New Roman" w:cs="Times New Roman"/>
                <w:b w:val="0"/>
                <w:sz w:val="22"/>
              </w:rPr>
              <w:t>Гібрид</w:t>
            </w:r>
          </w:p>
        </w:tc>
        <w:tc>
          <w:tcPr>
            <w:tcW w:type="dxa" w:w="1701"/>
          </w:tcPr>
          <w:p>
            <w:pPr>
              <w:spacing w:after="0" w:line="240" w:lineRule="auto"/>
              <w:ind w:firstLine="0"/>
              <w:jc w:val="center"/>
            </w:pPr>
            <w:r>
              <w:rPr>
                <w:rFonts w:ascii="Times New Roman" w:hAnsi="Times New Roman" w:cs="Times New Roman"/>
                <w:b w:val="0"/>
                <w:sz w:val="22"/>
              </w:rPr>
              <w:t>0,108</w:t>
            </w:r>
          </w:p>
        </w:tc>
        <w:tc>
          <w:tcPr>
            <w:tcW w:type="dxa" w:w="1701"/>
          </w:tcPr>
          <w:p>
            <w:pPr>
              <w:spacing w:after="0" w:line="240" w:lineRule="auto"/>
              <w:ind w:firstLine="0"/>
              <w:jc w:val="center"/>
            </w:pPr>
            <w:r>
              <w:rPr>
                <w:rFonts w:ascii="Times New Roman" w:hAnsi="Times New Roman" w:cs="Times New Roman"/>
                <w:b w:val="0"/>
                <w:sz w:val="22"/>
              </w:rPr>
              <w:t>0,940</w:t>
            </w:r>
          </w:p>
        </w:tc>
        <w:tc>
          <w:tcPr>
            <w:tcW w:type="dxa" w:w="1701"/>
          </w:tcPr>
          <w:p>
            <w:pPr>
              <w:spacing w:after="0" w:line="240" w:lineRule="auto"/>
              <w:ind w:firstLine="0"/>
              <w:jc w:val="center"/>
            </w:pPr>
            <w:r>
              <w:rPr>
                <w:rFonts w:ascii="Times New Roman" w:hAnsi="Times New Roman" w:cs="Times New Roman"/>
                <w:b w:val="0"/>
                <w:sz w:val="22"/>
              </w:rPr>
              <w:t>0,479</w:t>
            </w:r>
          </w:p>
        </w:tc>
      </w:tr>
    </w:tbl>
    <w:p>
      <w:pPr>
        <w:keepNext/>
        <w:spacing w:before="120"/>
        <w:ind w:firstLine="0"/>
        <w:jc w:val="center"/>
      </w:pPr>
      <w:r>
        <w:drawing>
          <wp:inline xmlns:a="http://schemas.openxmlformats.org/drawingml/2006/main" xmlns:pic="http://schemas.openxmlformats.org/drawingml/2006/picture">
            <wp:extent cx="5220000" cy="2175000"/>
            <wp:docPr id="9" name="Picture 9"/>
            <wp:cNvGraphicFramePr>
              <a:graphicFrameLocks noChangeAspect="1"/>
            </wp:cNvGraphicFramePr>
            <a:graphic>
              <a:graphicData uri="http://schemas.openxmlformats.org/drawingml/2006/picture">
                <pic:pic>
                  <pic:nvPicPr>
                    <pic:cNvPr id="0" name="per_class_f1.png"/>
                    <pic:cNvPicPr/>
                  </pic:nvPicPr>
                  <pic:blipFill>
                    <a:blip r:embed="rId19"/>
                    <a:stretch>
                      <a:fillRect/>
                    </a:stretch>
                  </pic:blipFill>
                  <pic:spPr>
                    <a:xfrm>
                      <a:off x="0" y="0"/>
                      <a:ext cx="5220000" cy="2175000"/>
                    </a:xfrm>
                    <a:prstGeom prst="rect"/>
                  </pic:spPr>
                </pic:pic>
              </a:graphicData>
            </a:graphic>
          </wp:inline>
        </w:drawing>
      </w:r>
    </w:p>
    <w:p>
      <w:pPr>
        <w:spacing w:after="160"/>
        <w:ind w:firstLine="0"/>
        <w:jc w:val="center"/>
      </w:pPr>
      <w:r>
        <w:rPr>
          <w:rFonts w:ascii="Times New Roman" w:hAnsi="Times New Roman" w:cs="Times New Roman"/>
          <w:sz w:val="28"/>
        </w:rPr>
        <w:t>Рисунок 4.3 — Міра F1 за класами для всіх моделей</w:t>
      </w:r>
    </w:p>
    <w:p>
      <w:pPr>
        <w:keepNext/>
        <w:spacing w:before="120"/>
        <w:ind w:firstLine="0"/>
        <w:jc w:val="center"/>
      </w:pPr>
      <w:r>
        <w:drawing>
          <wp:inline xmlns:a="http://schemas.openxmlformats.org/drawingml/2006/main" xmlns:pic="http://schemas.openxmlformats.org/drawingml/2006/picture">
            <wp:extent cx="5220000" cy="2372727"/>
            <wp:docPr id="10" name="Picture 10"/>
            <wp:cNvGraphicFramePr>
              <a:graphicFrameLocks noChangeAspect="1"/>
            </wp:cNvGraphicFramePr>
            <a:graphic>
              <a:graphicData uri="http://schemas.openxmlformats.org/drawingml/2006/picture">
                <pic:pic>
                  <pic:nvPicPr>
                    <pic:cNvPr id="0" name="rare_class_recall.png"/>
                    <pic:cNvPicPr/>
                  </pic:nvPicPr>
                  <pic:blipFill>
                    <a:blip r:embed="rId20"/>
                    <a:stretch>
                      <a:fillRect/>
                    </a:stretch>
                  </pic:blipFill>
                  <pic:spPr>
                    <a:xfrm>
                      <a:off x="0" y="0"/>
                      <a:ext cx="5220000" cy="2372727"/>
                    </a:xfrm>
                    <a:prstGeom prst="rect"/>
                  </pic:spPr>
                </pic:pic>
              </a:graphicData>
            </a:graphic>
          </wp:inline>
        </w:drawing>
      </w:r>
    </w:p>
    <w:p>
      <w:pPr>
        <w:spacing w:after="160"/>
        <w:ind w:firstLine="0"/>
        <w:jc w:val="center"/>
      </w:pPr>
      <w:r>
        <w:rPr>
          <w:rFonts w:ascii="Times New Roman" w:hAnsi="Times New Roman" w:cs="Times New Roman"/>
          <w:sz w:val="28"/>
        </w:rPr>
        <w:t>Рисунок 4.4 — Повнота за рідкісними класами S, V, F</w:t>
      </w:r>
    </w:p>
    <w:p>
      <w:pPr>
        <w:pStyle w:val="Heading2"/>
        <w:spacing w:before="120"/>
        <w:ind w:firstLine="720"/>
        <w:jc w:val="left"/>
      </w:pPr>
      <w:r>
        <w:rPr>
          <w:rFonts w:ascii="Times New Roman" w:hAnsi="Times New Roman" w:cs="Times New Roman"/>
          <w:b/>
          <w:color w:val="000000"/>
          <w:sz w:val="28"/>
        </w:rPr>
        <w:t>4.4 Результати на двох відведеннях</w:t>
      </w:r>
    </w:p>
    <w:p>
      <w:pPr>
        <w:spacing w:line="360" w:lineRule="auto" w:after="0"/>
        <w:ind w:firstLine="720"/>
        <w:jc w:val="both"/>
      </w:pPr>
      <w:r>
        <w:rPr>
          <w:rFonts w:ascii="Times New Roman" w:hAnsi="Times New Roman" w:cs="Times New Roman"/>
          <w:b w:val="0"/>
          <w:i w:val="0"/>
          <w:sz w:val="28"/>
        </w:rPr>
        <w:t>Додавання другого відведення дає найбільший приріст саме за рідкісними класами (таблиця 4.3). Метод опорних векторів на двох відведеннях досягає найкращих у роботі значень одразу за трьома збалансованими показниками: macro-F1 0,466, повнота за класом S 0,581 та повнота за зливними скороченнями 0,900. Гібрид на двох відведеннях практично повторює його за зливними скороченнями (0,892), хоча поступається за macro-F1. Матриці невідповідностей цих двох моделей показано на рисунках 4.5 і 4.6.</w:t>
      </w:r>
    </w:p>
    <w:p>
      <w:pPr>
        <w:keepNext/>
        <w:spacing w:before="120"/>
        <w:ind w:firstLine="720"/>
        <w:jc w:val="left"/>
      </w:pPr>
      <w:r>
        <w:rPr>
          <w:rFonts w:ascii="Times New Roman" w:hAnsi="Times New Roman" w:cs="Times New Roman"/>
          <w:sz w:val="28"/>
        </w:rPr>
        <w:t>Таблиця 4.3 — Показники моделей на двох відведеннях (MLII + V1/V5), DS2</w:t>
      </w: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c>
          <w:tcPr>
            <w:tcW w:type="dxa" w:w="2381"/>
          </w:tcPr>
          <w:p>
            <w:pPr>
              <w:spacing w:after="0" w:line="240" w:lineRule="auto"/>
              <w:ind w:firstLine="0"/>
              <w:jc w:val="center"/>
            </w:pPr>
            <w:r>
              <w:rPr>
                <w:rFonts w:ascii="Times New Roman" w:hAnsi="Times New Roman" w:cs="Times New Roman"/>
                <w:b/>
                <w:sz w:val="22"/>
              </w:rPr>
              <w:t>Модель</w:t>
            </w:r>
          </w:p>
        </w:tc>
        <w:tc>
          <w:tcPr>
            <w:tcW w:type="dxa" w:w="1020"/>
          </w:tcPr>
          <w:p>
            <w:pPr>
              <w:spacing w:after="0" w:line="240" w:lineRule="auto"/>
              <w:ind w:firstLine="0"/>
              <w:jc w:val="center"/>
            </w:pPr>
            <w:r>
              <w:rPr>
                <w:rFonts w:ascii="Times New Roman" w:hAnsi="Times New Roman" w:cs="Times New Roman"/>
                <w:b/>
                <w:sz w:val="22"/>
              </w:rPr>
              <w:t>Acc</w:t>
            </w:r>
          </w:p>
        </w:tc>
        <w:tc>
          <w:tcPr>
            <w:tcW w:type="dxa" w:w="1304"/>
          </w:tcPr>
          <w:p>
            <w:pPr>
              <w:spacing w:after="0" w:line="240" w:lineRule="auto"/>
              <w:ind w:firstLine="0"/>
              <w:jc w:val="center"/>
            </w:pPr>
            <w:r>
              <w:rPr>
                <w:rFonts w:ascii="Times New Roman" w:hAnsi="Times New Roman" w:cs="Times New Roman"/>
                <w:b/>
                <w:sz w:val="22"/>
              </w:rPr>
              <w:t>macro-F1</w:t>
            </w:r>
          </w:p>
        </w:tc>
        <w:tc>
          <w:tcPr>
            <w:tcW w:type="dxa" w:w="1304"/>
          </w:tcPr>
          <w:p>
            <w:pPr>
              <w:spacing w:after="0" w:line="240" w:lineRule="auto"/>
              <w:ind w:firstLine="0"/>
              <w:jc w:val="center"/>
            </w:pPr>
            <w:r>
              <w:rPr>
                <w:rFonts w:ascii="Times New Roman" w:hAnsi="Times New Roman" w:cs="Times New Roman"/>
                <w:b/>
                <w:sz w:val="22"/>
              </w:rPr>
              <w:t>S recall</w:t>
            </w:r>
          </w:p>
        </w:tc>
        <w:tc>
          <w:tcPr>
            <w:tcW w:type="dxa" w:w="1304"/>
          </w:tcPr>
          <w:p>
            <w:pPr>
              <w:spacing w:after="0" w:line="240" w:lineRule="auto"/>
              <w:ind w:firstLine="0"/>
              <w:jc w:val="center"/>
            </w:pPr>
            <w:r>
              <w:rPr>
                <w:rFonts w:ascii="Times New Roman" w:hAnsi="Times New Roman" w:cs="Times New Roman"/>
                <w:b/>
                <w:sz w:val="22"/>
              </w:rPr>
              <w:t>V recall</w:t>
            </w:r>
          </w:p>
        </w:tc>
        <w:tc>
          <w:tcPr>
            <w:tcW w:type="dxa" w:w="1304"/>
          </w:tcPr>
          <w:p>
            <w:pPr>
              <w:spacing w:after="0" w:line="240" w:lineRule="auto"/>
              <w:ind w:firstLine="0"/>
              <w:jc w:val="center"/>
            </w:pPr>
            <w:r>
              <w:rPr>
                <w:rFonts w:ascii="Times New Roman" w:hAnsi="Times New Roman" w:cs="Times New Roman"/>
                <w:b/>
                <w:sz w:val="22"/>
              </w:rPr>
              <w:t>F recall</w:t>
            </w:r>
          </w:p>
        </w:tc>
      </w:tr>
      <w:tr>
        <w:tc>
          <w:tcPr>
            <w:tcW w:type="dxa" w:w="2381"/>
          </w:tcPr>
          <w:p>
            <w:pPr>
              <w:spacing w:after="0" w:line="240" w:lineRule="auto"/>
              <w:ind w:firstLine="0"/>
              <w:jc w:val="left"/>
            </w:pPr>
            <w:r>
              <w:rPr>
                <w:rFonts w:ascii="Times New Roman" w:hAnsi="Times New Roman" w:cs="Times New Roman"/>
                <w:b w:val="0"/>
                <w:sz w:val="22"/>
              </w:rPr>
              <w:t>XGBoost (2 відв.)</w:t>
            </w:r>
          </w:p>
        </w:tc>
        <w:tc>
          <w:tcPr>
            <w:tcW w:type="dxa" w:w="1020"/>
          </w:tcPr>
          <w:p>
            <w:pPr>
              <w:spacing w:after="0" w:line="240" w:lineRule="auto"/>
              <w:ind w:firstLine="0"/>
              <w:jc w:val="center"/>
            </w:pPr>
            <w:r>
              <w:rPr>
                <w:rFonts w:ascii="Times New Roman" w:hAnsi="Times New Roman" w:cs="Times New Roman"/>
                <w:b w:val="0"/>
                <w:sz w:val="22"/>
              </w:rPr>
              <w:t>0,861</w:t>
            </w:r>
          </w:p>
        </w:tc>
        <w:tc>
          <w:tcPr>
            <w:tcW w:type="dxa" w:w="1304"/>
          </w:tcPr>
          <w:p>
            <w:pPr>
              <w:spacing w:after="0" w:line="240" w:lineRule="auto"/>
              <w:ind w:firstLine="0"/>
              <w:jc w:val="center"/>
            </w:pPr>
            <w:r>
              <w:rPr>
                <w:rFonts w:ascii="Times New Roman" w:hAnsi="Times New Roman" w:cs="Times New Roman"/>
                <w:b w:val="0"/>
                <w:sz w:val="22"/>
              </w:rPr>
              <w:t>0,419</w:t>
            </w:r>
          </w:p>
        </w:tc>
        <w:tc>
          <w:tcPr>
            <w:tcW w:type="dxa" w:w="1304"/>
          </w:tcPr>
          <w:p>
            <w:pPr>
              <w:spacing w:after="0" w:line="240" w:lineRule="auto"/>
              <w:ind w:firstLine="0"/>
              <w:jc w:val="center"/>
            </w:pPr>
            <w:r>
              <w:rPr>
                <w:rFonts w:ascii="Times New Roman" w:hAnsi="Times New Roman" w:cs="Times New Roman"/>
                <w:b w:val="0"/>
                <w:sz w:val="22"/>
              </w:rPr>
              <w:t>0,123</w:t>
            </w:r>
          </w:p>
        </w:tc>
        <w:tc>
          <w:tcPr>
            <w:tcW w:type="dxa" w:w="1304"/>
          </w:tcPr>
          <w:p>
            <w:pPr>
              <w:spacing w:after="0" w:line="240" w:lineRule="auto"/>
              <w:ind w:firstLine="0"/>
              <w:jc w:val="center"/>
            </w:pPr>
            <w:r>
              <w:rPr>
                <w:rFonts w:ascii="Times New Roman" w:hAnsi="Times New Roman" w:cs="Times New Roman"/>
                <w:b w:val="0"/>
                <w:sz w:val="22"/>
              </w:rPr>
              <w:t>0,943</w:t>
            </w:r>
          </w:p>
        </w:tc>
        <w:tc>
          <w:tcPr>
            <w:tcW w:type="dxa" w:w="1304"/>
          </w:tcPr>
          <w:p>
            <w:pPr>
              <w:spacing w:after="0" w:line="240" w:lineRule="auto"/>
              <w:ind w:firstLine="0"/>
              <w:jc w:val="center"/>
            </w:pPr>
            <w:r>
              <w:rPr>
                <w:rFonts w:ascii="Times New Roman" w:hAnsi="Times New Roman" w:cs="Times New Roman"/>
                <w:b w:val="0"/>
                <w:sz w:val="22"/>
              </w:rPr>
              <w:t>0,820</w:t>
            </w:r>
          </w:p>
        </w:tc>
      </w:tr>
      <w:tr>
        <w:tc>
          <w:tcPr>
            <w:tcW w:type="dxa" w:w="2381"/>
          </w:tcPr>
          <w:p>
            <w:pPr>
              <w:spacing w:after="0" w:line="240" w:lineRule="auto"/>
              <w:ind w:firstLine="0"/>
              <w:jc w:val="left"/>
            </w:pPr>
            <w:r>
              <w:rPr>
                <w:rFonts w:ascii="Times New Roman" w:hAnsi="Times New Roman" w:cs="Times New Roman"/>
                <w:b w:val="0"/>
                <w:sz w:val="22"/>
              </w:rPr>
              <w:t>SVM-RBF (2 відв.)</w:t>
            </w:r>
          </w:p>
        </w:tc>
        <w:tc>
          <w:tcPr>
            <w:tcW w:type="dxa" w:w="1020"/>
          </w:tcPr>
          <w:p>
            <w:pPr>
              <w:spacing w:after="0" w:line="240" w:lineRule="auto"/>
              <w:ind w:firstLine="0"/>
              <w:jc w:val="center"/>
            </w:pPr>
            <w:r>
              <w:rPr>
                <w:rFonts w:ascii="Times New Roman" w:hAnsi="Times New Roman" w:cs="Times New Roman"/>
                <w:b w:val="0"/>
                <w:sz w:val="22"/>
              </w:rPr>
              <w:t>0,826</w:t>
            </w:r>
          </w:p>
        </w:tc>
        <w:tc>
          <w:tcPr>
            <w:tcW w:type="dxa" w:w="1304"/>
          </w:tcPr>
          <w:p>
            <w:pPr>
              <w:spacing w:after="0" w:line="240" w:lineRule="auto"/>
              <w:ind w:firstLine="0"/>
              <w:jc w:val="center"/>
            </w:pPr>
            <w:r>
              <w:rPr>
                <w:rFonts w:ascii="Times New Roman" w:hAnsi="Times New Roman" w:cs="Times New Roman"/>
                <w:b w:val="0"/>
                <w:sz w:val="22"/>
              </w:rPr>
              <w:t>0,466</w:t>
            </w:r>
          </w:p>
        </w:tc>
        <w:tc>
          <w:tcPr>
            <w:tcW w:type="dxa" w:w="1304"/>
          </w:tcPr>
          <w:p>
            <w:pPr>
              <w:spacing w:after="0" w:line="240" w:lineRule="auto"/>
              <w:ind w:firstLine="0"/>
              <w:jc w:val="center"/>
            </w:pPr>
            <w:r>
              <w:rPr>
                <w:rFonts w:ascii="Times New Roman" w:hAnsi="Times New Roman" w:cs="Times New Roman"/>
                <w:b w:val="0"/>
                <w:sz w:val="22"/>
              </w:rPr>
              <w:t>0,581</w:t>
            </w:r>
          </w:p>
        </w:tc>
        <w:tc>
          <w:tcPr>
            <w:tcW w:type="dxa" w:w="1304"/>
          </w:tcPr>
          <w:p>
            <w:pPr>
              <w:spacing w:after="0" w:line="240" w:lineRule="auto"/>
              <w:ind w:firstLine="0"/>
              <w:jc w:val="center"/>
            </w:pPr>
            <w:r>
              <w:rPr>
                <w:rFonts w:ascii="Times New Roman" w:hAnsi="Times New Roman" w:cs="Times New Roman"/>
                <w:b w:val="0"/>
                <w:sz w:val="22"/>
              </w:rPr>
              <w:t>0,888</w:t>
            </w:r>
          </w:p>
        </w:tc>
        <w:tc>
          <w:tcPr>
            <w:tcW w:type="dxa" w:w="1304"/>
          </w:tcPr>
          <w:p>
            <w:pPr>
              <w:spacing w:after="0" w:line="240" w:lineRule="auto"/>
              <w:ind w:firstLine="0"/>
              <w:jc w:val="center"/>
            </w:pPr>
            <w:r>
              <w:rPr>
                <w:rFonts w:ascii="Times New Roman" w:hAnsi="Times New Roman" w:cs="Times New Roman"/>
                <w:b w:val="0"/>
                <w:sz w:val="22"/>
              </w:rPr>
              <w:t>0,900</w:t>
            </w:r>
          </w:p>
        </w:tc>
      </w:tr>
      <w:tr>
        <w:tc>
          <w:tcPr>
            <w:tcW w:type="dxa" w:w="2381"/>
          </w:tcPr>
          <w:p>
            <w:pPr>
              <w:spacing w:after="0" w:line="240" w:lineRule="auto"/>
              <w:ind w:firstLine="0"/>
              <w:jc w:val="left"/>
            </w:pPr>
            <w:r>
              <w:rPr>
                <w:rFonts w:ascii="Times New Roman" w:hAnsi="Times New Roman" w:cs="Times New Roman"/>
                <w:b w:val="0"/>
                <w:sz w:val="22"/>
              </w:rPr>
              <w:t>1D-CNN (2 відв.)</w:t>
            </w:r>
          </w:p>
        </w:tc>
        <w:tc>
          <w:tcPr>
            <w:tcW w:type="dxa" w:w="1020"/>
          </w:tcPr>
          <w:p>
            <w:pPr>
              <w:spacing w:after="0" w:line="240" w:lineRule="auto"/>
              <w:ind w:firstLine="0"/>
              <w:jc w:val="center"/>
            </w:pPr>
            <w:r>
              <w:rPr>
                <w:rFonts w:ascii="Times New Roman" w:hAnsi="Times New Roman" w:cs="Times New Roman"/>
                <w:b w:val="0"/>
                <w:sz w:val="22"/>
              </w:rPr>
              <w:t>0,606</w:t>
            </w:r>
          </w:p>
        </w:tc>
        <w:tc>
          <w:tcPr>
            <w:tcW w:type="dxa" w:w="1304"/>
          </w:tcPr>
          <w:p>
            <w:pPr>
              <w:spacing w:after="0" w:line="240" w:lineRule="auto"/>
              <w:ind w:firstLine="0"/>
              <w:jc w:val="center"/>
            </w:pPr>
            <w:r>
              <w:rPr>
                <w:rFonts w:ascii="Times New Roman" w:hAnsi="Times New Roman" w:cs="Times New Roman"/>
                <w:b w:val="0"/>
                <w:sz w:val="22"/>
              </w:rPr>
              <w:t>0,311</w:t>
            </w:r>
          </w:p>
        </w:tc>
        <w:tc>
          <w:tcPr>
            <w:tcW w:type="dxa" w:w="1304"/>
          </w:tcPr>
          <w:p>
            <w:pPr>
              <w:spacing w:after="0" w:line="240" w:lineRule="auto"/>
              <w:ind w:firstLine="0"/>
              <w:jc w:val="center"/>
            </w:pPr>
            <w:r>
              <w:rPr>
                <w:rFonts w:ascii="Times New Roman" w:hAnsi="Times New Roman" w:cs="Times New Roman"/>
                <w:b w:val="0"/>
                <w:sz w:val="22"/>
              </w:rPr>
              <w:t>0,273</w:t>
            </w:r>
          </w:p>
        </w:tc>
        <w:tc>
          <w:tcPr>
            <w:tcW w:type="dxa" w:w="1304"/>
          </w:tcPr>
          <w:p>
            <w:pPr>
              <w:spacing w:after="0" w:line="240" w:lineRule="auto"/>
              <w:ind w:firstLine="0"/>
              <w:jc w:val="center"/>
            </w:pPr>
            <w:r>
              <w:rPr>
                <w:rFonts w:ascii="Times New Roman" w:hAnsi="Times New Roman" w:cs="Times New Roman"/>
                <w:b w:val="0"/>
                <w:sz w:val="22"/>
              </w:rPr>
              <w:t>0,858</w:t>
            </w:r>
          </w:p>
        </w:tc>
        <w:tc>
          <w:tcPr>
            <w:tcW w:type="dxa" w:w="1304"/>
          </w:tcPr>
          <w:p>
            <w:pPr>
              <w:spacing w:after="0" w:line="240" w:lineRule="auto"/>
              <w:ind w:firstLine="0"/>
              <w:jc w:val="center"/>
            </w:pPr>
            <w:r>
              <w:rPr>
                <w:rFonts w:ascii="Times New Roman" w:hAnsi="Times New Roman" w:cs="Times New Roman"/>
                <w:b w:val="0"/>
                <w:sz w:val="22"/>
              </w:rPr>
              <w:t>0,075</w:t>
            </w:r>
          </w:p>
        </w:tc>
      </w:tr>
      <w:tr>
        <w:tc>
          <w:tcPr>
            <w:tcW w:type="dxa" w:w="2381"/>
          </w:tcPr>
          <w:p>
            <w:pPr>
              <w:spacing w:after="0" w:line="240" w:lineRule="auto"/>
              <w:ind w:firstLine="0"/>
              <w:jc w:val="left"/>
            </w:pPr>
            <w:r>
              <w:rPr>
                <w:rFonts w:ascii="Times New Roman" w:hAnsi="Times New Roman" w:cs="Times New Roman"/>
                <w:b w:val="0"/>
                <w:sz w:val="22"/>
              </w:rPr>
              <w:t>Гібрид (2 відв.)</w:t>
            </w:r>
          </w:p>
        </w:tc>
        <w:tc>
          <w:tcPr>
            <w:tcW w:type="dxa" w:w="1020"/>
          </w:tcPr>
          <w:p>
            <w:pPr>
              <w:spacing w:after="0" w:line="240" w:lineRule="auto"/>
              <w:ind w:firstLine="0"/>
              <w:jc w:val="center"/>
            </w:pPr>
            <w:r>
              <w:rPr>
                <w:rFonts w:ascii="Times New Roman" w:hAnsi="Times New Roman" w:cs="Times New Roman"/>
                <w:b w:val="0"/>
                <w:sz w:val="22"/>
              </w:rPr>
              <w:t>0,769</w:t>
            </w:r>
          </w:p>
        </w:tc>
        <w:tc>
          <w:tcPr>
            <w:tcW w:type="dxa" w:w="1304"/>
          </w:tcPr>
          <w:p>
            <w:pPr>
              <w:spacing w:after="0" w:line="240" w:lineRule="auto"/>
              <w:ind w:firstLine="0"/>
              <w:jc w:val="center"/>
            </w:pPr>
            <w:r>
              <w:rPr>
                <w:rFonts w:ascii="Times New Roman" w:hAnsi="Times New Roman" w:cs="Times New Roman"/>
                <w:b w:val="0"/>
                <w:sz w:val="22"/>
              </w:rPr>
              <w:t>0,403</w:t>
            </w:r>
          </w:p>
        </w:tc>
        <w:tc>
          <w:tcPr>
            <w:tcW w:type="dxa" w:w="1304"/>
          </w:tcPr>
          <w:p>
            <w:pPr>
              <w:spacing w:after="0" w:line="240" w:lineRule="auto"/>
              <w:ind w:firstLine="0"/>
              <w:jc w:val="center"/>
            </w:pPr>
            <w:r>
              <w:rPr>
                <w:rFonts w:ascii="Times New Roman" w:hAnsi="Times New Roman" w:cs="Times New Roman"/>
                <w:b w:val="0"/>
                <w:sz w:val="22"/>
              </w:rPr>
              <w:t>0,207</w:t>
            </w:r>
          </w:p>
        </w:tc>
        <w:tc>
          <w:tcPr>
            <w:tcW w:type="dxa" w:w="1304"/>
          </w:tcPr>
          <w:p>
            <w:pPr>
              <w:spacing w:after="0" w:line="240" w:lineRule="auto"/>
              <w:ind w:firstLine="0"/>
              <w:jc w:val="center"/>
            </w:pPr>
            <w:r>
              <w:rPr>
                <w:rFonts w:ascii="Times New Roman" w:hAnsi="Times New Roman" w:cs="Times New Roman"/>
                <w:b w:val="0"/>
                <w:sz w:val="22"/>
              </w:rPr>
              <w:t>0,771</w:t>
            </w:r>
          </w:p>
        </w:tc>
        <w:tc>
          <w:tcPr>
            <w:tcW w:type="dxa" w:w="1304"/>
          </w:tcPr>
          <w:p>
            <w:pPr>
              <w:spacing w:after="0" w:line="240" w:lineRule="auto"/>
              <w:ind w:firstLine="0"/>
              <w:jc w:val="center"/>
            </w:pPr>
            <w:r>
              <w:rPr>
                <w:rFonts w:ascii="Times New Roman" w:hAnsi="Times New Roman" w:cs="Times New Roman"/>
                <w:b w:val="0"/>
                <w:sz w:val="22"/>
              </w:rPr>
              <w:t>0,892</w:t>
            </w:r>
          </w:p>
        </w:tc>
      </w:tr>
    </w:tbl>
    <w:p>
      <w:pPr>
        <w:keepNext/>
        <w:spacing w:before="120"/>
        <w:ind w:firstLine="0"/>
        <w:jc w:val="center"/>
      </w:pPr>
      <w:r>
        <w:drawing>
          <wp:inline xmlns:a="http://schemas.openxmlformats.org/drawingml/2006/main" xmlns:pic="http://schemas.openxmlformats.org/drawingml/2006/picture">
            <wp:extent cx="3780000" cy="3402000"/>
            <wp:docPr id="11" name="Picture 11"/>
            <wp:cNvGraphicFramePr>
              <a:graphicFrameLocks noChangeAspect="1"/>
            </wp:cNvGraphicFramePr>
            <a:graphic>
              <a:graphicData uri="http://schemas.openxmlformats.org/drawingml/2006/picture">
                <pic:pic>
                  <pic:nvPicPr>
                    <pic:cNvPr id="0" name="confusion_svm_2lead.png"/>
                    <pic:cNvPicPr/>
                  </pic:nvPicPr>
                  <pic:blipFill>
                    <a:blip r:embed="rId21"/>
                    <a:stretch>
                      <a:fillRect/>
                    </a:stretch>
                  </pic:blipFill>
                  <pic:spPr>
                    <a:xfrm>
                      <a:off x="0" y="0"/>
                      <a:ext cx="3780000" cy="3402000"/>
                    </a:xfrm>
                    <a:prstGeom prst="rect"/>
                  </pic:spPr>
                </pic:pic>
              </a:graphicData>
            </a:graphic>
          </wp:inline>
        </w:drawing>
      </w:r>
    </w:p>
    <w:p>
      <w:pPr>
        <w:spacing w:after="160"/>
        <w:ind w:firstLine="0"/>
        <w:jc w:val="center"/>
      </w:pPr>
      <w:r>
        <w:rPr>
          <w:rFonts w:ascii="Times New Roman" w:hAnsi="Times New Roman" w:cs="Times New Roman"/>
          <w:sz w:val="28"/>
        </w:rPr>
        <w:t>Рисунок 4.5 — Матриця невідповідностей методу опорних векторів на двох відведеннях</w:t>
      </w:r>
    </w:p>
    <w:p>
      <w:pPr>
        <w:keepNext/>
        <w:spacing w:before="120"/>
        <w:ind w:firstLine="0"/>
        <w:jc w:val="center"/>
      </w:pPr>
      <w:r>
        <w:drawing>
          <wp:inline xmlns:a="http://schemas.openxmlformats.org/drawingml/2006/main" xmlns:pic="http://schemas.openxmlformats.org/drawingml/2006/picture">
            <wp:extent cx="3780000" cy="3402000"/>
            <wp:docPr id="12" name="Picture 12"/>
            <wp:cNvGraphicFramePr>
              <a:graphicFrameLocks noChangeAspect="1"/>
            </wp:cNvGraphicFramePr>
            <a:graphic>
              <a:graphicData uri="http://schemas.openxmlformats.org/drawingml/2006/picture">
                <pic:pic>
                  <pic:nvPicPr>
                    <pic:cNvPr id="0" name="confusion_hybrid_2lead.png"/>
                    <pic:cNvPicPr/>
                  </pic:nvPicPr>
                  <pic:blipFill>
                    <a:blip r:embed="rId22"/>
                    <a:stretch>
                      <a:fillRect/>
                    </a:stretch>
                  </pic:blipFill>
                  <pic:spPr>
                    <a:xfrm>
                      <a:off x="0" y="0"/>
                      <a:ext cx="3780000" cy="3402000"/>
                    </a:xfrm>
                    <a:prstGeom prst="rect"/>
                  </pic:spPr>
                </pic:pic>
              </a:graphicData>
            </a:graphic>
          </wp:inline>
        </w:drawing>
      </w:r>
    </w:p>
    <w:p>
      <w:pPr>
        <w:spacing w:after="160"/>
        <w:ind w:firstLine="0"/>
        <w:jc w:val="center"/>
      </w:pPr>
      <w:r>
        <w:rPr>
          <w:rFonts w:ascii="Times New Roman" w:hAnsi="Times New Roman" w:cs="Times New Roman"/>
          <w:sz w:val="28"/>
        </w:rPr>
        <w:t>Рисунок 4.6 — Матриця невідповідностей гібридного класифікатора на двох відведеннях</w:t>
      </w:r>
    </w:p>
    <w:p>
      <w:pPr>
        <w:spacing w:line="360" w:lineRule="auto" w:after="0"/>
        <w:ind w:firstLine="720"/>
        <w:jc w:val="both"/>
      </w:pPr>
      <w:r>
        <w:rPr>
          <w:rFonts w:ascii="Times New Roman" w:hAnsi="Times New Roman" w:cs="Times New Roman"/>
          <w:b w:val="0"/>
          <w:i w:val="0"/>
          <w:sz w:val="28"/>
        </w:rPr>
        <w:t>Приріст пояснюється фізіологічно: відведення MLII відображає кінцівковий ракурс серцевого вектора, а грудне відведення — прекордіальний. Зливні та надшлуночкові скорочення часто мають аномальну форму, що не завжди помітна в MLII, але виразна в грудному відведенні. Невеликою платою за це є зниження точності за класом N через зростання кількості хибних тривог, що для скринінгової системи є прийнятним напрямом помилки.</w:t>
      </w:r>
    </w:p>
    <w:p>
      <w:pPr>
        <w:pStyle w:val="Heading2"/>
        <w:spacing w:before="120"/>
        <w:ind w:firstLine="720"/>
        <w:jc w:val="left"/>
      </w:pPr>
      <w:r>
        <w:rPr>
          <w:rFonts w:ascii="Times New Roman" w:hAnsi="Times New Roman" w:cs="Times New Roman"/>
          <w:b/>
          <w:color w:val="000000"/>
          <w:sz w:val="28"/>
        </w:rPr>
        <w:t>4.5 ROC-аналіз</w:t>
      </w:r>
    </w:p>
    <w:p>
      <w:pPr>
        <w:spacing w:line="360" w:lineRule="auto" w:after="0"/>
        <w:ind w:firstLine="720"/>
        <w:jc w:val="both"/>
      </w:pPr>
      <w:r>
        <w:rPr>
          <w:rFonts w:ascii="Times New Roman" w:hAnsi="Times New Roman" w:cs="Times New Roman"/>
          <w:b w:val="0"/>
          <w:i w:val="0"/>
          <w:sz w:val="28"/>
        </w:rPr>
        <w:t>ROC-криві за схемою «один проти всіх» (рисунок 4.7) показують роздільну здатність моделей незалежно від обраного порога. Двовідвідні моделі мають вищу площу під кривою за класом F (0,94 для гібрида проти 0,88 для одновідвідного XGBoost), що узгоджується з приростом повноти за зливними скороченнями.</w:t>
      </w:r>
    </w:p>
    <w:p>
      <w:pPr>
        <w:keepNext/>
        <w:spacing w:before="120"/>
        <w:ind w:firstLine="0"/>
        <w:jc w:val="center"/>
      </w:pPr>
      <w:r>
        <w:drawing>
          <wp:inline xmlns:a="http://schemas.openxmlformats.org/drawingml/2006/main" xmlns:pic="http://schemas.openxmlformats.org/drawingml/2006/picture">
            <wp:extent cx="5040000" cy="4320000"/>
            <wp:docPr id="13" name="Picture 13"/>
            <wp:cNvGraphicFramePr>
              <a:graphicFrameLocks noChangeAspect="1"/>
            </wp:cNvGraphicFramePr>
            <a:graphic>
              <a:graphicData uri="http://schemas.openxmlformats.org/drawingml/2006/picture">
                <pic:pic>
                  <pic:nvPicPr>
                    <pic:cNvPr id="0" name="roc_curves.png"/>
                    <pic:cNvPicPr/>
                  </pic:nvPicPr>
                  <pic:blipFill>
                    <a:blip r:embed="rId23"/>
                    <a:stretch>
                      <a:fillRect/>
                    </a:stretch>
                  </pic:blipFill>
                  <pic:spPr>
                    <a:xfrm>
                      <a:off x="0" y="0"/>
                      <a:ext cx="5040000" cy="4320000"/>
                    </a:xfrm>
                    <a:prstGeom prst="rect"/>
                  </pic:spPr>
                </pic:pic>
              </a:graphicData>
            </a:graphic>
          </wp:inline>
        </w:drawing>
      </w:r>
    </w:p>
    <w:p>
      <w:pPr>
        <w:spacing w:after="160"/>
        <w:ind w:firstLine="0"/>
        <w:jc w:val="center"/>
      </w:pPr>
      <w:r>
        <w:rPr>
          <w:rFonts w:ascii="Times New Roman" w:hAnsi="Times New Roman" w:cs="Times New Roman"/>
          <w:sz w:val="28"/>
        </w:rPr>
        <w:t>Рисунок 4.7 — ROC-криві за схемою «один проти всіх»</w:t>
      </w:r>
    </w:p>
    <w:p>
      <w:pPr>
        <w:pStyle w:val="Heading2"/>
        <w:spacing w:before="120"/>
        <w:ind w:firstLine="720"/>
        <w:jc w:val="left"/>
      </w:pPr>
      <w:r>
        <w:rPr>
          <w:rFonts w:ascii="Times New Roman" w:hAnsi="Times New Roman" w:cs="Times New Roman"/>
          <w:b/>
          <w:color w:val="000000"/>
          <w:sz w:val="28"/>
        </w:rPr>
        <w:t>4.6 Важливість ознак</w:t>
      </w:r>
    </w:p>
    <w:p>
      <w:pPr>
        <w:spacing w:line="360" w:lineRule="auto" w:after="0"/>
        <w:ind w:firstLine="720"/>
        <w:jc w:val="both"/>
      </w:pPr>
      <w:r>
        <w:rPr>
          <w:rFonts w:ascii="Times New Roman" w:hAnsi="Times New Roman" w:cs="Times New Roman"/>
          <w:b w:val="0"/>
          <w:i w:val="0"/>
          <w:sz w:val="28"/>
        </w:rPr>
        <w:t>Аналіз важливості ознак моделі XGBoost (рисунок 4.8) показує, що найвпливовішими є енергія зони зубця P, енергія та дисперсія вейвлет-коефіцієнтів, а також інтервали RR (попередній інтервал і відношення RR). Отже, найкращу роздільну здатність дають ознаки одразу кількох груп — морфологічні, вейвлет- та ритмічні, що узгоджується з висновком літератури про взаємодоповнення ритмічної та морфологічної інформації й обґрунтовує доцільність поєднання ознакового та сигнального потоків у гібридній моделі.</w:t>
      </w:r>
    </w:p>
    <w:p>
      <w:pPr>
        <w:keepNext/>
        <w:spacing w:before="120"/>
        <w:ind w:firstLine="0"/>
        <w:jc w:val="center"/>
      </w:pPr>
      <w:r>
        <w:drawing>
          <wp:inline xmlns:a="http://schemas.openxmlformats.org/drawingml/2006/main" xmlns:pic="http://schemas.openxmlformats.org/drawingml/2006/picture">
            <wp:extent cx="5040000" cy="3780000"/>
            <wp:docPr id="14" name="Picture 14"/>
            <wp:cNvGraphicFramePr>
              <a:graphicFrameLocks noChangeAspect="1"/>
            </wp:cNvGraphicFramePr>
            <a:graphic>
              <a:graphicData uri="http://schemas.openxmlformats.org/drawingml/2006/picture">
                <pic:pic>
                  <pic:nvPicPr>
                    <pic:cNvPr id="0" name="xgb_feature_importance.png"/>
                    <pic:cNvPicPr/>
                  </pic:nvPicPr>
                  <pic:blipFill>
                    <a:blip r:embed="rId24"/>
                    <a:stretch>
                      <a:fillRect/>
                    </a:stretch>
                  </pic:blipFill>
                  <pic:spPr>
                    <a:xfrm>
                      <a:off x="0" y="0"/>
                      <a:ext cx="5040000" cy="3780000"/>
                    </a:xfrm>
                    <a:prstGeom prst="rect"/>
                  </pic:spPr>
                </pic:pic>
              </a:graphicData>
            </a:graphic>
          </wp:inline>
        </w:drawing>
      </w:r>
    </w:p>
    <w:p>
      <w:pPr>
        <w:spacing w:after="160"/>
        <w:ind w:firstLine="0"/>
        <w:jc w:val="center"/>
      </w:pPr>
      <w:r>
        <w:rPr>
          <w:rFonts w:ascii="Times New Roman" w:hAnsi="Times New Roman" w:cs="Times New Roman"/>
          <w:sz w:val="28"/>
        </w:rPr>
        <w:t>Рисунок 4.8 — Важливість ознак моделі XGBoost</w:t>
      </w:r>
    </w:p>
    <w:p>
      <w:pPr>
        <w:pStyle w:val="Heading2"/>
        <w:spacing w:before="120"/>
        <w:ind w:firstLine="720"/>
        <w:jc w:val="left"/>
      </w:pPr>
      <w:r>
        <w:rPr>
          <w:rFonts w:ascii="Times New Roman" w:hAnsi="Times New Roman" w:cs="Times New Roman"/>
          <w:b/>
          <w:color w:val="000000"/>
          <w:sz w:val="28"/>
        </w:rPr>
        <w:t>4.7 Бенчмарк багатоформатної стійкості (новизна 2)</w:t>
      </w:r>
    </w:p>
    <w:p>
      <w:pPr>
        <w:spacing w:line="360" w:lineRule="auto" w:after="0"/>
        <w:ind w:firstLine="720"/>
        <w:jc w:val="both"/>
      </w:pPr>
      <w:r>
        <w:rPr>
          <w:rFonts w:ascii="Times New Roman" w:hAnsi="Times New Roman" w:cs="Times New Roman"/>
          <w:b w:val="0"/>
          <w:i w:val="0"/>
          <w:sz w:val="28"/>
        </w:rPr>
        <w:t>Означення «уніфікована багатоформатна» у назві системи має сенс лише тоді, коли якість класифікації зберігається після перетворення між форматами. Для перевірки цього розроблено окремий бенчмарк. Для кожного запису DS2 сигнал зчитують у вихідному форматі WFDB і класифікують навченою моделлю, отримуючи еталонні передбачення. Потім той самий сигнал експортують у формат CSV або EDF, повторно зчитують через спільне подання, заново сегментують навколо тих самих фізичних позицій R-піків і знову класифікують. Порівнюють узгодженість міток (частку ударів, для яких передбачення після перетворення збігається з еталонним), точність і середню абсолютну різницю сигналу. Результати зведено в таблиці 4.4.</w:t>
      </w:r>
    </w:p>
    <w:p>
      <w:pPr>
        <w:keepNext/>
        <w:spacing w:before="120"/>
        <w:ind w:firstLine="720"/>
        <w:jc w:val="left"/>
      </w:pPr>
      <w:r>
        <w:rPr>
          <w:rFonts w:ascii="Times New Roman" w:hAnsi="Times New Roman" w:cs="Times New Roman"/>
          <w:sz w:val="28"/>
        </w:rPr>
        <w:t>Таблиця 4.4 — Стійкість класифікації до перетворення форматів (повна DS2)</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2268"/>
          </w:tcPr>
          <w:p>
            <w:pPr>
              <w:spacing w:after="0" w:line="240" w:lineRule="auto"/>
              <w:ind w:firstLine="0"/>
              <w:jc w:val="center"/>
            </w:pPr>
            <w:r>
              <w:rPr>
                <w:rFonts w:ascii="Times New Roman" w:hAnsi="Times New Roman" w:cs="Times New Roman"/>
                <w:b/>
                <w:sz w:val="22"/>
              </w:rPr>
              <w:t>Модель</w:t>
            </w:r>
          </w:p>
        </w:tc>
        <w:tc>
          <w:tcPr>
            <w:tcW w:type="dxa" w:w="1814"/>
          </w:tcPr>
          <w:p>
            <w:pPr>
              <w:spacing w:after="0" w:line="240" w:lineRule="auto"/>
              <w:ind w:firstLine="0"/>
              <w:jc w:val="center"/>
            </w:pPr>
            <w:r>
              <w:rPr>
                <w:rFonts w:ascii="Times New Roman" w:hAnsi="Times New Roman" w:cs="Times New Roman"/>
                <w:b/>
                <w:sz w:val="22"/>
              </w:rPr>
              <w:t>Формат</w:t>
            </w:r>
          </w:p>
        </w:tc>
        <w:tc>
          <w:tcPr>
            <w:tcW w:type="dxa" w:w="1701"/>
          </w:tcPr>
          <w:p>
            <w:pPr>
              <w:spacing w:after="0" w:line="240" w:lineRule="auto"/>
              <w:ind w:firstLine="0"/>
              <w:jc w:val="center"/>
            </w:pPr>
            <w:r>
              <w:rPr>
                <w:rFonts w:ascii="Times New Roman" w:hAnsi="Times New Roman" w:cs="Times New Roman"/>
                <w:b/>
                <w:sz w:val="22"/>
              </w:rPr>
              <w:t>Узгодж. міток</w:t>
            </w:r>
          </w:p>
        </w:tc>
        <w:tc>
          <w:tcPr>
            <w:tcW w:type="dxa" w:w="1247"/>
          </w:tcPr>
          <w:p>
            <w:pPr>
              <w:spacing w:after="0" w:line="240" w:lineRule="auto"/>
              <w:ind w:firstLine="0"/>
              <w:jc w:val="center"/>
            </w:pPr>
            <w:r>
              <w:rPr>
                <w:rFonts w:ascii="Times New Roman" w:hAnsi="Times New Roman" w:cs="Times New Roman"/>
                <w:b/>
                <w:sz w:val="22"/>
              </w:rPr>
              <w:t>Acc</w:t>
            </w:r>
          </w:p>
        </w:tc>
        <w:tc>
          <w:tcPr>
            <w:tcW w:type="dxa" w:w="1701"/>
          </w:tcPr>
          <w:p>
            <w:pPr>
              <w:spacing w:after="0" w:line="240" w:lineRule="auto"/>
              <w:ind w:firstLine="0"/>
              <w:jc w:val="center"/>
            </w:pPr>
            <w:r>
              <w:rPr>
                <w:rFonts w:ascii="Times New Roman" w:hAnsi="Times New Roman" w:cs="Times New Roman"/>
                <w:b/>
                <w:sz w:val="22"/>
              </w:rPr>
              <w:t>Сер. |Δ|</w:t>
            </w:r>
          </w:p>
        </w:tc>
      </w:tr>
      <w:tr>
        <w:tc>
          <w:tcPr>
            <w:tcW w:type="dxa" w:w="2268"/>
          </w:tcPr>
          <w:p>
            <w:pPr>
              <w:spacing w:after="0" w:line="240" w:lineRule="auto"/>
              <w:ind w:firstLine="0"/>
              <w:jc w:val="left"/>
            </w:pPr>
            <w:r>
              <w:rPr>
                <w:rFonts w:ascii="Times New Roman" w:hAnsi="Times New Roman" w:cs="Times New Roman"/>
                <w:b w:val="0"/>
                <w:sz w:val="22"/>
              </w:rPr>
              <w:t>XGBoost (1 відв.)</w:t>
            </w:r>
          </w:p>
        </w:tc>
        <w:tc>
          <w:tcPr>
            <w:tcW w:type="dxa" w:w="1814"/>
          </w:tcPr>
          <w:p>
            <w:pPr>
              <w:spacing w:after="0" w:line="240" w:lineRule="auto"/>
              <w:ind w:firstLine="0"/>
              <w:jc w:val="center"/>
            </w:pPr>
            <w:r>
              <w:rPr>
                <w:rFonts w:ascii="Times New Roman" w:hAnsi="Times New Roman" w:cs="Times New Roman"/>
                <w:b w:val="0"/>
                <w:sz w:val="22"/>
              </w:rPr>
              <w:t>WFDB (ориг.)</w:t>
            </w:r>
          </w:p>
        </w:tc>
        <w:tc>
          <w:tcPr>
            <w:tcW w:type="dxa" w:w="1701"/>
          </w:tcPr>
          <w:p>
            <w:pPr>
              <w:spacing w:after="0" w:line="240" w:lineRule="auto"/>
              <w:ind w:firstLine="0"/>
              <w:jc w:val="center"/>
            </w:pPr>
            <w:r>
              <w:rPr>
                <w:rFonts w:ascii="Times New Roman" w:hAnsi="Times New Roman" w:cs="Times New Roman"/>
                <w:b w:val="0"/>
                <w:sz w:val="22"/>
              </w:rPr>
              <w:t>—</w:t>
            </w:r>
          </w:p>
        </w:tc>
        <w:tc>
          <w:tcPr>
            <w:tcW w:type="dxa" w:w="1247"/>
          </w:tcPr>
          <w:p>
            <w:pPr>
              <w:spacing w:after="0" w:line="240" w:lineRule="auto"/>
              <w:ind w:firstLine="0"/>
              <w:jc w:val="center"/>
            </w:pPr>
            <w:r>
              <w:rPr>
                <w:rFonts w:ascii="Times New Roman" w:hAnsi="Times New Roman" w:cs="Times New Roman"/>
                <w:b w:val="0"/>
                <w:sz w:val="22"/>
              </w:rPr>
              <w:t>0,8687</w:t>
            </w:r>
          </w:p>
        </w:tc>
        <w:tc>
          <w:tcPr>
            <w:tcW w:type="dxa" w:w="1701"/>
          </w:tcPr>
          <w:p>
            <w:pPr>
              <w:spacing w:after="0" w:line="240" w:lineRule="auto"/>
              <w:ind w:firstLine="0"/>
              <w:jc w:val="center"/>
            </w:pPr>
            <w:r>
              <w:rPr>
                <w:rFonts w:ascii="Times New Roman" w:hAnsi="Times New Roman" w:cs="Times New Roman"/>
                <w:b w:val="0"/>
                <w:sz w:val="22"/>
              </w:rPr>
              <w:t>—</w:t>
            </w:r>
          </w:p>
        </w:tc>
      </w:tr>
      <w:tr>
        <w:tc>
          <w:tcPr>
            <w:tcW w:type="dxa" w:w="2268"/>
          </w:tcPr>
          <w:p>
            <w:pPr>
              <w:spacing w:after="0" w:line="240" w:lineRule="auto"/>
              <w:ind w:firstLine="0"/>
              <w:jc w:val="left"/>
            </w:pPr>
            <w:r>
              <w:rPr>
                <w:rFonts w:ascii="Times New Roman" w:hAnsi="Times New Roman" w:cs="Times New Roman"/>
                <w:b w:val="0"/>
                <w:sz w:val="22"/>
              </w:rPr>
              <w:t>XGBoost (1 відв.)</w:t>
            </w:r>
          </w:p>
        </w:tc>
        <w:tc>
          <w:tcPr>
            <w:tcW w:type="dxa" w:w="1814"/>
          </w:tcPr>
          <w:p>
            <w:pPr>
              <w:spacing w:after="0" w:line="240" w:lineRule="auto"/>
              <w:ind w:firstLine="0"/>
              <w:jc w:val="center"/>
            </w:pPr>
            <w:r>
              <w:rPr>
                <w:rFonts w:ascii="Times New Roman" w:hAnsi="Times New Roman" w:cs="Times New Roman"/>
                <w:b w:val="0"/>
                <w:sz w:val="22"/>
              </w:rPr>
              <w:t>CSV → XML</w:t>
            </w:r>
          </w:p>
        </w:tc>
        <w:tc>
          <w:tcPr>
            <w:tcW w:type="dxa" w:w="1701"/>
          </w:tcPr>
          <w:p>
            <w:pPr>
              <w:spacing w:after="0" w:line="240" w:lineRule="auto"/>
              <w:ind w:firstLine="0"/>
              <w:jc w:val="center"/>
            </w:pPr>
            <w:r>
              <w:rPr>
                <w:rFonts w:ascii="Times New Roman" w:hAnsi="Times New Roman" w:cs="Times New Roman"/>
                <w:b w:val="0"/>
                <w:sz w:val="22"/>
              </w:rPr>
              <w:t>1,0000</w:t>
            </w:r>
          </w:p>
        </w:tc>
        <w:tc>
          <w:tcPr>
            <w:tcW w:type="dxa" w:w="1247"/>
          </w:tcPr>
          <w:p>
            <w:pPr>
              <w:spacing w:after="0" w:line="240" w:lineRule="auto"/>
              <w:ind w:firstLine="0"/>
              <w:jc w:val="center"/>
            </w:pPr>
            <w:r>
              <w:rPr>
                <w:rFonts w:ascii="Times New Roman" w:hAnsi="Times New Roman" w:cs="Times New Roman"/>
                <w:b w:val="0"/>
                <w:sz w:val="22"/>
              </w:rPr>
              <w:t>0,8687</w:t>
            </w:r>
          </w:p>
        </w:tc>
        <w:tc>
          <w:tcPr>
            <w:tcW w:type="dxa" w:w="1701"/>
          </w:tcPr>
          <w:p>
            <w:pPr>
              <w:spacing w:after="0" w:line="240" w:lineRule="auto"/>
              <w:ind w:firstLine="0"/>
              <w:jc w:val="center"/>
            </w:pPr>
            <w:r>
              <w:rPr>
                <w:rFonts w:ascii="Times New Roman" w:hAnsi="Times New Roman" w:cs="Times New Roman"/>
                <w:b w:val="0"/>
                <w:sz w:val="22"/>
              </w:rPr>
              <w:t>0</w:t>
            </w:r>
          </w:p>
        </w:tc>
      </w:tr>
      <w:tr>
        <w:tc>
          <w:tcPr>
            <w:tcW w:type="dxa" w:w="2268"/>
          </w:tcPr>
          <w:p>
            <w:pPr>
              <w:spacing w:after="0" w:line="240" w:lineRule="auto"/>
              <w:ind w:firstLine="0"/>
              <w:jc w:val="left"/>
            </w:pPr>
            <w:r>
              <w:rPr>
                <w:rFonts w:ascii="Times New Roman" w:hAnsi="Times New Roman" w:cs="Times New Roman"/>
                <w:b w:val="0"/>
                <w:sz w:val="22"/>
              </w:rPr>
              <w:t>XGBoost (1 відв.)</w:t>
            </w:r>
          </w:p>
        </w:tc>
        <w:tc>
          <w:tcPr>
            <w:tcW w:type="dxa" w:w="1814"/>
          </w:tcPr>
          <w:p>
            <w:pPr>
              <w:spacing w:after="0" w:line="240" w:lineRule="auto"/>
              <w:ind w:firstLine="0"/>
              <w:jc w:val="center"/>
            </w:pPr>
            <w:r>
              <w:rPr>
                <w:rFonts w:ascii="Times New Roman" w:hAnsi="Times New Roman" w:cs="Times New Roman"/>
                <w:b w:val="0"/>
                <w:sz w:val="22"/>
              </w:rPr>
              <w:t>EDF → XML</w:t>
            </w:r>
          </w:p>
        </w:tc>
        <w:tc>
          <w:tcPr>
            <w:tcW w:type="dxa" w:w="1701"/>
          </w:tcPr>
          <w:p>
            <w:pPr>
              <w:spacing w:after="0" w:line="240" w:lineRule="auto"/>
              <w:ind w:firstLine="0"/>
              <w:jc w:val="center"/>
            </w:pPr>
            <w:r>
              <w:rPr>
                <w:rFonts w:ascii="Times New Roman" w:hAnsi="Times New Roman" w:cs="Times New Roman"/>
                <w:b w:val="0"/>
                <w:sz w:val="22"/>
              </w:rPr>
              <w:t>0,9970</w:t>
            </w:r>
          </w:p>
        </w:tc>
        <w:tc>
          <w:tcPr>
            <w:tcW w:type="dxa" w:w="1247"/>
          </w:tcPr>
          <w:p>
            <w:pPr>
              <w:spacing w:after="0" w:line="240" w:lineRule="auto"/>
              <w:ind w:firstLine="0"/>
              <w:jc w:val="center"/>
            </w:pPr>
            <w:r>
              <w:rPr>
                <w:rFonts w:ascii="Times New Roman" w:hAnsi="Times New Roman" w:cs="Times New Roman"/>
                <w:b w:val="0"/>
                <w:sz w:val="22"/>
              </w:rPr>
              <w:t>0,8689</w:t>
            </w:r>
          </w:p>
        </w:tc>
        <w:tc>
          <w:tcPr>
            <w:tcW w:type="dxa" w:w="1701"/>
          </w:tcPr>
          <w:p>
            <w:pPr>
              <w:spacing w:after="0" w:line="240" w:lineRule="auto"/>
              <w:ind w:firstLine="0"/>
              <w:jc w:val="center"/>
            </w:pPr>
            <w:r>
              <w:rPr>
                <w:rFonts w:ascii="Times New Roman" w:hAnsi="Times New Roman" w:cs="Times New Roman"/>
                <w:b w:val="0"/>
                <w:sz w:val="22"/>
              </w:rPr>
              <w:t>0,000037</w:t>
            </w:r>
          </w:p>
        </w:tc>
      </w:tr>
      <w:tr>
        <w:tc>
          <w:tcPr>
            <w:tcW w:type="dxa" w:w="2268"/>
          </w:tcPr>
          <w:p>
            <w:pPr>
              <w:spacing w:after="0" w:line="240" w:lineRule="auto"/>
              <w:ind w:firstLine="0"/>
              <w:jc w:val="left"/>
            </w:pPr>
            <w:r>
              <w:rPr>
                <w:rFonts w:ascii="Times New Roman" w:hAnsi="Times New Roman" w:cs="Times New Roman"/>
                <w:b w:val="0"/>
                <w:sz w:val="22"/>
              </w:rPr>
              <w:t>Гібрид (1 відв.)</w:t>
            </w:r>
          </w:p>
        </w:tc>
        <w:tc>
          <w:tcPr>
            <w:tcW w:type="dxa" w:w="1814"/>
          </w:tcPr>
          <w:p>
            <w:pPr>
              <w:spacing w:after="0" w:line="240" w:lineRule="auto"/>
              <w:ind w:firstLine="0"/>
              <w:jc w:val="center"/>
            </w:pPr>
            <w:r>
              <w:rPr>
                <w:rFonts w:ascii="Times New Roman" w:hAnsi="Times New Roman" w:cs="Times New Roman"/>
                <w:b w:val="0"/>
                <w:sz w:val="22"/>
              </w:rPr>
              <w:t>WFDB (ориг.)</w:t>
            </w:r>
          </w:p>
        </w:tc>
        <w:tc>
          <w:tcPr>
            <w:tcW w:type="dxa" w:w="1701"/>
          </w:tcPr>
          <w:p>
            <w:pPr>
              <w:spacing w:after="0" w:line="240" w:lineRule="auto"/>
              <w:ind w:firstLine="0"/>
              <w:jc w:val="center"/>
            </w:pPr>
            <w:r>
              <w:rPr>
                <w:rFonts w:ascii="Times New Roman" w:hAnsi="Times New Roman" w:cs="Times New Roman"/>
                <w:b w:val="0"/>
                <w:sz w:val="22"/>
              </w:rPr>
              <w:t>—</w:t>
            </w:r>
          </w:p>
        </w:tc>
        <w:tc>
          <w:tcPr>
            <w:tcW w:type="dxa" w:w="1247"/>
          </w:tcPr>
          <w:p>
            <w:pPr>
              <w:spacing w:after="0" w:line="240" w:lineRule="auto"/>
              <w:ind w:firstLine="0"/>
              <w:jc w:val="center"/>
            </w:pPr>
            <w:r>
              <w:rPr>
                <w:rFonts w:ascii="Times New Roman" w:hAnsi="Times New Roman" w:cs="Times New Roman"/>
                <w:b w:val="0"/>
                <w:sz w:val="22"/>
              </w:rPr>
              <w:t>0,7940</w:t>
            </w:r>
          </w:p>
        </w:tc>
        <w:tc>
          <w:tcPr>
            <w:tcW w:type="dxa" w:w="1701"/>
          </w:tcPr>
          <w:p>
            <w:pPr>
              <w:spacing w:after="0" w:line="240" w:lineRule="auto"/>
              <w:ind w:firstLine="0"/>
              <w:jc w:val="center"/>
            </w:pPr>
            <w:r>
              <w:rPr>
                <w:rFonts w:ascii="Times New Roman" w:hAnsi="Times New Roman" w:cs="Times New Roman"/>
                <w:b w:val="0"/>
                <w:sz w:val="22"/>
              </w:rPr>
              <w:t>—</w:t>
            </w:r>
          </w:p>
        </w:tc>
      </w:tr>
      <w:tr>
        <w:tc>
          <w:tcPr>
            <w:tcW w:type="dxa" w:w="2268"/>
          </w:tcPr>
          <w:p>
            <w:pPr>
              <w:spacing w:after="0" w:line="240" w:lineRule="auto"/>
              <w:ind w:firstLine="0"/>
              <w:jc w:val="left"/>
            </w:pPr>
            <w:r>
              <w:rPr>
                <w:rFonts w:ascii="Times New Roman" w:hAnsi="Times New Roman" w:cs="Times New Roman"/>
                <w:b w:val="0"/>
                <w:sz w:val="22"/>
              </w:rPr>
              <w:t>Гібрид (1 відв.)</w:t>
            </w:r>
          </w:p>
        </w:tc>
        <w:tc>
          <w:tcPr>
            <w:tcW w:type="dxa" w:w="1814"/>
          </w:tcPr>
          <w:p>
            <w:pPr>
              <w:spacing w:after="0" w:line="240" w:lineRule="auto"/>
              <w:ind w:firstLine="0"/>
              <w:jc w:val="center"/>
            </w:pPr>
            <w:r>
              <w:rPr>
                <w:rFonts w:ascii="Times New Roman" w:hAnsi="Times New Roman" w:cs="Times New Roman"/>
                <w:b w:val="0"/>
                <w:sz w:val="22"/>
              </w:rPr>
              <w:t>CSV → XML</w:t>
            </w:r>
          </w:p>
        </w:tc>
        <w:tc>
          <w:tcPr>
            <w:tcW w:type="dxa" w:w="1701"/>
          </w:tcPr>
          <w:p>
            <w:pPr>
              <w:spacing w:after="0" w:line="240" w:lineRule="auto"/>
              <w:ind w:firstLine="0"/>
              <w:jc w:val="center"/>
            </w:pPr>
            <w:r>
              <w:rPr>
                <w:rFonts w:ascii="Times New Roman" w:hAnsi="Times New Roman" w:cs="Times New Roman"/>
                <w:b w:val="0"/>
                <w:sz w:val="22"/>
              </w:rPr>
              <w:t>1,0000</w:t>
            </w:r>
          </w:p>
        </w:tc>
        <w:tc>
          <w:tcPr>
            <w:tcW w:type="dxa" w:w="1247"/>
          </w:tcPr>
          <w:p>
            <w:pPr>
              <w:spacing w:after="0" w:line="240" w:lineRule="auto"/>
              <w:ind w:firstLine="0"/>
              <w:jc w:val="center"/>
            </w:pPr>
            <w:r>
              <w:rPr>
                <w:rFonts w:ascii="Times New Roman" w:hAnsi="Times New Roman" w:cs="Times New Roman"/>
                <w:b w:val="0"/>
                <w:sz w:val="22"/>
              </w:rPr>
              <w:t>0,7940</w:t>
            </w:r>
          </w:p>
        </w:tc>
        <w:tc>
          <w:tcPr>
            <w:tcW w:type="dxa" w:w="1701"/>
          </w:tcPr>
          <w:p>
            <w:pPr>
              <w:spacing w:after="0" w:line="240" w:lineRule="auto"/>
              <w:ind w:firstLine="0"/>
              <w:jc w:val="center"/>
            </w:pPr>
            <w:r>
              <w:rPr>
                <w:rFonts w:ascii="Times New Roman" w:hAnsi="Times New Roman" w:cs="Times New Roman"/>
                <w:b w:val="0"/>
                <w:sz w:val="22"/>
              </w:rPr>
              <w:t>0</w:t>
            </w:r>
          </w:p>
        </w:tc>
      </w:tr>
      <w:tr>
        <w:tc>
          <w:tcPr>
            <w:tcW w:type="dxa" w:w="2268"/>
          </w:tcPr>
          <w:p>
            <w:pPr>
              <w:spacing w:after="0" w:line="240" w:lineRule="auto"/>
              <w:ind w:firstLine="0"/>
              <w:jc w:val="left"/>
            </w:pPr>
            <w:r>
              <w:rPr>
                <w:rFonts w:ascii="Times New Roman" w:hAnsi="Times New Roman" w:cs="Times New Roman"/>
                <w:b w:val="0"/>
                <w:sz w:val="22"/>
              </w:rPr>
              <w:t>Гібрид (1 відв.)</w:t>
            </w:r>
          </w:p>
        </w:tc>
        <w:tc>
          <w:tcPr>
            <w:tcW w:type="dxa" w:w="1814"/>
          </w:tcPr>
          <w:p>
            <w:pPr>
              <w:spacing w:after="0" w:line="240" w:lineRule="auto"/>
              <w:ind w:firstLine="0"/>
              <w:jc w:val="center"/>
            </w:pPr>
            <w:r>
              <w:rPr>
                <w:rFonts w:ascii="Times New Roman" w:hAnsi="Times New Roman" w:cs="Times New Roman"/>
                <w:b w:val="0"/>
                <w:sz w:val="22"/>
              </w:rPr>
              <w:t>EDF → XML</w:t>
            </w:r>
          </w:p>
        </w:tc>
        <w:tc>
          <w:tcPr>
            <w:tcW w:type="dxa" w:w="1701"/>
          </w:tcPr>
          <w:p>
            <w:pPr>
              <w:spacing w:after="0" w:line="240" w:lineRule="auto"/>
              <w:ind w:firstLine="0"/>
              <w:jc w:val="center"/>
            </w:pPr>
            <w:r>
              <w:rPr>
                <w:rFonts w:ascii="Times New Roman" w:hAnsi="Times New Roman" w:cs="Times New Roman"/>
                <w:b w:val="0"/>
                <w:sz w:val="22"/>
              </w:rPr>
              <w:t>0,9928</w:t>
            </w:r>
          </w:p>
        </w:tc>
        <w:tc>
          <w:tcPr>
            <w:tcW w:type="dxa" w:w="1247"/>
          </w:tcPr>
          <w:p>
            <w:pPr>
              <w:spacing w:after="0" w:line="240" w:lineRule="auto"/>
              <w:ind w:firstLine="0"/>
              <w:jc w:val="center"/>
            </w:pPr>
            <w:r>
              <w:rPr>
                <w:rFonts w:ascii="Times New Roman" w:hAnsi="Times New Roman" w:cs="Times New Roman"/>
                <w:b w:val="0"/>
                <w:sz w:val="22"/>
              </w:rPr>
              <w:t>0,7938</w:t>
            </w:r>
          </w:p>
        </w:tc>
        <w:tc>
          <w:tcPr>
            <w:tcW w:type="dxa" w:w="1701"/>
          </w:tcPr>
          <w:p>
            <w:pPr>
              <w:spacing w:after="0" w:line="240" w:lineRule="auto"/>
              <w:ind w:firstLine="0"/>
              <w:jc w:val="center"/>
            </w:pPr>
            <w:r>
              <w:rPr>
                <w:rFonts w:ascii="Times New Roman" w:hAnsi="Times New Roman" w:cs="Times New Roman"/>
                <w:b w:val="0"/>
                <w:sz w:val="22"/>
              </w:rPr>
              <w:t>0,000037</w:t>
            </w:r>
          </w:p>
        </w:tc>
      </w:tr>
      <w:tr>
        <w:tc>
          <w:tcPr>
            <w:tcW w:type="dxa" w:w="2268"/>
          </w:tcPr>
          <w:p>
            <w:pPr>
              <w:spacing w:after="0" w:line="240" w:lineRule="auto"/>
              <w:ind w:firstLine="0"/>
              <w:jc w:val="left"/>
            </w:pPr>
            <w:r>
              <w:rPr>
                <w:rFonts w:ascii="Times New Roman" w:hAnsi="Times New Roman" w:cs="Times New Roman"/>
                <w:b w:val="0"/>
                <w:sz w:val="22"/>
              </w:rPr>
              <w:t>Гібрид (2 відв.)</w:t>
            </w:r>
          </w:p>
        </w:tc>
        <w:tc>
          <w:tcPr>
            <w:tcW w:type="dxa" w:w="1814"/>
          </w:tcPr>
          <w:p>
            <w:pPr>
              <w:spacing w:after="0" w:line="240" w:lineRule="auto"/>
              <w:ind w:firstLine="0"/>
              <w:jc w:val="center"/>
            </w:pPr>
            <w:r>
              <w:rPr>
                <w:rFonts w:ascii="Times New Roman" w:hAnsi="Times New Roman" w:cs="Times New Roman"/>
                <w:b w:val="0"/>
                <w:sz w:val="22"/>
              </w:rPr>
              <w:t>WFDB (ориг.)</w:t>
            </w:r>
          </w:p>
        </w:tc>
        <w:tc>
          <w:tcPr>
            <w:tcW w:type="dxa" w:w="1701"/>
          </w:tcPr>
          <w:p>
            <w:pPr>
              <w:spacing w:after="0" w:line="240" w:lineRule="auto"/>
              <w:ind w:firstLine="0"/>
              <w:jc w:val="center"/>
            </w:pPr>
            <w:r>
              <w:rPr>
                <w:rFonts w:ascii="Times New Roman" w:hAnsi="Times New Roman" w:cs="Times New Roman"/>
                <w:b w:val="0"/>
                <w:sz w:val="22"/>
              </w:rPr>
              <w:t>—</w:t>
            </w:r>
          </w:p>
        </w:tc>
        <w:tc>
          <w:tcPr>
            <w:tcW w:type="dxa" w:w="1247"/>
          </w:tcPr>
          <w:p>
            <w:pPr>
              <w:spacing w:after="0" w:line="240" w:lineRule="auto"/>
              <w:ind w:firstLine="0"/>
              <w:jc w:val="center"/>
            </w:pPr>
            <w:r>
              <w:rPr>
                <w:rFonts w:ascii="Times New Roman" w:hAnsi="Times New Roman" w:cs="Times New Roman"/>
                <w:b w:val="0"/>
                <w:sz w:val="22"/>
              </w:rPr>
              <w:t>0,7693</w:t>
            </w:r>
          </w:p>
        </w:tc>
        <w:tc>
          <w:tcPr>
            <w:tcW w:type="dxa" w:w="1701"/>
          </w:tcPr>
          <w:p>
            <w:pPr>
              <w:spacing w:after="0" w:line="240" w:lineRule="auto"/>
              <w:ind w:firstLine="0"/>
              <w:jc w:val="center"/>
            </w:pPr>
            <w:r>
              <w:rPr>
                <w:rFonts w:ascii="Times New Roman" w:hAnsi="Times New Roman" w:cs="Times New Roman"/>
                <w:b w:val="0"/>
                <w:sz w:val="22"/>
              </w:rPr>
              <w:t>—</w:t>
            </w:r>
          </w:p>
        </w:tc>
      </w:tr>
      <w:tr>
        <w:tc>
          <w:tcPr>
            <w:tcW w:type="dxa" w:w="2268"/>
          </w:tcPr>
          <w:p>
            <w:pPr>
              <w:spacing w:after="0" w:line="240" w:lineRule="auto"/>
              <w:ind w:firstLine="0"/>
              <w:jc w:val="left"/>
            </w:pPr>
            <w:r>
              <w:rPr>
                <w:rFonts w:ascii="Times New Roman" w:hAnsi="Times New Roman" w:cs="Times New Roman"/>
                <w:b w:val="0"/>
                <w:sz w:val="22"/>
              </w:rPr>
              <w:t>Гібрид (2 відв.)</w:t>
            </w:r>
          </w:p>
        </w:tc>
        <w:tc>
          <w:tcPr>
            <w:tcW w:type="dxa" w:w="1814"/>
          </w:tcPr>
          <w:p>
            <w:pPr>
              <w:spacing w:after="0" w:line="240" w:lineRule="auto"/>
              <w:ind w:firstLine="0"/>
              <w:jc w:val="center"/>
            </w:pPr>
            <w:r>
              <w:rPr>
                <w:rFonts w:ascii="Times New Roman" w:hAnsi="Times New Roman" w:cs="Times New Roman"/>
                <w:b w:val="0"/>
                <w:sz w:val="22"/>
              </w:rPr>
              <w:t>CSV → XML</w:t>
            </w:r>
          </w:p>
        </w:tc>
        <w:tc>
          <w:tcPr>
            <w:tcW w:type="dxa" w:w="1701"/>
          </w:tcPr>
          <w:p>
            <w:pPr>
              <w:spacing w:after="0" w:line="240" w:lineRule="auto"/>
              <w:ind w:firstLine="0"/>
              <w:jc w:val="center"/>
            </w:pPr>
            <w:r>
              <w:rPr>
                <w:rFonts w:ascii="Times New Roman" w:hAnsi="Times New Roman" w:cs="Times New Roman"/>
                <w:b w:val="0"/>
                <w:sz w:val="22"/>
              </w:rPr>
              <w:t>1,0000</w:t>
            </w:r>
          </w:p>
        </w:tc>
        <w:tc>
          <w:tcPr>
            <w:tcW w:type="dxa" w:w="1247"/>
          </w:tcPr>
          <w:p>
            <w:pPr>
              <w:spacing w:after="0" w:line="240" w:lineRule="auto"/>
              <w:ind w:firstLine="0"/>
              <w:jc w:val="center"/>
            </w:pPr>
            <w:r>
              <w:rPr>
                <w:rFonts w:ascii="Times New Roman" w:hAnsi="Times New Roman" w:cs="Times New Roman"/>
                <w:b w:val="0"/>
                <w:sz w:val="22"/>
              </w:rPr>
              <w:t>0,7693</w:t>
            </w:r>
          </w:p>
        </w:tc>
        <w:tc>
          <w:tcPr>
            <w:tcW w:type="dxa" w:w="1701"/>
          </w:tcPr>
          <w:p>
            <w:pPr>
              <w:spacing w:after="0" w:line="240" w:lineRule="auto"/>
              <w:ind w:firstLine="0"/>
              <w:jc w:val="center"/>
            </w:pPr>
            <w:r>
              <w:rPr>
                <w:rFonts w:ascii="Times New Roman" w:hAnsi="Times New Roman" w:cs="Times New Roman"/>
                <w:b w:val="0"/>
                <w:sz w:val="22"/>
              </w:rPr>
              <w:t>0</w:t>
            </w:r>
          </w:p>
        </w:tc>
      </w:tr>
      <w:tr>
        <w:tc>
          <w:tcPr>
            <w:tcW w:type="dxa" w:w="2268"/>
          </w:tcPr>
          <w:p>
            <w:pPr>
              <w:spacing w:after="0" w:line="240" w:lineRule="auto"/>
              <w:ind w:firstLine="0"/>
              <w:jc w:val="left"/>
            </w:pPr>
            <w:r>
              <w:rPr>
                <w:rFonts w:ascii="Times New Roman" w:hAnsi="Times New Roman" w:cs="Times New Roman"/>
                <w:b w:val="0"/>
                <w:sz w:val="22"/>
              </w:rPr>
              <w:t>Гібрид (2 відв.)</w:t>
            </w:r>
          </w:p>
        </w:tc>
        <w:tc>
          <w:tcPr>
            <w:tcW w:type="dxa" w:w="1814"/>
          </w:tcPr>
          <w:p>
            <w:pPr>
              <w:spacing w:after="0" w:line="240" w:lineRule="auto"/>
              <w:ind w:firstLine="0"/>
              <w:jc w:val="center"/>
            </w:pPr>
            <w:r>
              <w:rPr>
                <w:rFonts w:ascii="Times New Roman" w:hAnsi="Times New Roman" w:cs="Times New Roman"/>
                <w:b w:val="0"/>
                <w:sz w:val="22"/>
              </w:rPr>
              <w:t>EDF → XML</w:t>
            </w:r>
          </w:p>
        </w:tc>
        <w:tc>
          <w:tcPr>
            <w:tcW w:type="dxa" w:w="1701"/>
          </w:tcPr>
          <w:p>
            <w:pPr>
              <w:spacing w:after="0" w:line="240" w:lineRule="auto"/>
              <w:ind w:firstLine="0"/>
              <w:jc w:val="center"/>
            </w:pPr>
            <w:r>
              <w:rPr>
                <w:rFonts w:ascii="Times New Roman" w:hAnsi="Times New Roman" w:cs="Times New Roman"/>
                <w:b w:val="0"/>
                <w:sz w:val="22"/>
              </w:rPr>
              <w:t>0,9964</w:t>
            </w:r>
          </w:p>
        </w:tc>
        <w:tc>
          <w:tcPr>
            <w:tcW w:type="dxa" w:w="1247"/>
          </w:tcPr>
          <w:p>
            <w:pPr>
              <w:spacing w:after="0" w:line="240" w:lineRule="auto"/>
              <w:ind w:firstLine="0"/>
              <w:jc w:val="center"/>
            </w:pPr>
            <w:r>
              <w:rPr>
                <w:rFonts w:ascii="Times New Roman" w:hAnsi="Times New Roman" w:cs="Times New Roman"/>
                <w:b w:val="0"/>
                <w:sz w:val="22"/>
              </w:rPr>
              <w:t>0,7697</w:t>
            </w:r>
          </w:p>
        </w:tc>
        <w:tc>
          <w:tcPr>
            <w:tcW w:type="dxa" w:w="1701"/>
          </w:tcPr>
          <w:p>
            <w:pPr>
              <w:spacing w:after="0" w:line="240" w:lineRule="auto"/>
              <w:ind w:firstLine="0"/>
              <w:jc w:val="center"/>
            </w:pPr>
            <w:r>
              <w:rPr>
                <w:rFonts w:ascii="Times New Roman" w:hAnsi="Times New Roman" w:cs="Times New Roman"/>
                <w:b w:val="0"/>
                <w:sz w:val="22"/>
              </w:rPr>
              <w:t>0,000038</w:t>
            </w:r>
          </w:p>
        </w:tc>
      </w:tr>
    </w:tbl>
    <w:p>
      <w:pPr>
        <w:spacing w:line="360" w:lineRule="auto" w:after="0"/>
        <w:ind w:firstLine="720"/>
        <w:jc w:val="both"/>
      </w:pPr>
      <w:r>
        <w:rPr>
          <w:rFonts w:ascii="Times New Roman" w:hAnsi="Times New Roman" w:cs="Times New Roman"/>
          <w:b w:val="0"/>
          <w:i w:val="0"/>
          <w:sz w:val="28"/>
        </w:rPr>
        <w:t>Перетворення через CSV виявляється точним для класифікації: за наявності стовпця часу й окремих стовпців значень для кожного відведення текстові числа з шістьма знаками після коми відновлюються без втрат, узгодженість міток становить 100 % для всіх моделей, а точність на DS2 збігається з вихідною. Перетворення через EDF майже без втрат: середня абсолютна різниця сигналу не перевищує 0,00004 (рівень шуму 16-бітного квантування), а узгодженість міток становить не менше 99,3 %. Поодинокі удари, що змінюють мітку, розташовані на межі рішення і змінюють точність у межах статистичної похибки. Зведене порівняння форматів наведено на рисунку 4.9, а узгодженість форми сигналу до й після перетворення — на рисунку 4.10.</w:t>
      </w:r>
    </w:p>
    <w:p>
      <w:pPr>
        <w:keepNext/>
        <w:spacing w:before="120"/>
        <w:ind w:firstLine="0"/>
        <w:jc w:val="center"/>
      </w:pPr>
      <w:r>
        <w:drawing>
          <wp:inline xmlns:a="http://schemas.openxmlformats.org/drawingml/2006/main" xmlns:pic="http://schemas.openxmlformats.org/drawingml/2006/picture">
            <wp:extent cx="4860000" cy="1944000"/>
            <wp:docPr id="15" name="Picture 15"/>
            <wp:cNvGraphicFramePr>
              <a:graphicFrameLocks noChangeAspect="1"/>
            </wp:cNvGraphicFramePr>
            <a:graphic>
              <a:graphicData uri="http://schemas.openxmlformats.org/drawingml/2006/picture">
                <pic:pic>
                  <pic:nvPicPr>
                    <pic:cNvPr id="0" name="format_robustness.png"/>
                    <pic:cNvPicPr/>
                  </pic:nvPicPr>
                  <pic:blipFill>
                    <a:blip r:embed="rId25"/>
                    <a:stretch>
                      <a:fillRect/>
                    </a:stretch>
                  </pic:blipFill>
                  <pic:spPr>
                    <a:xfrm>
                      <a:off x="0" y="0"/>
                      <a:ext cx="4860000" cy="1944000"/>
                    </a:xfrm>
                    <a:prstGeom prst="rect"/>
                  </pic:spPr>
                </pic:pic>
              </a:graphicData>
            </a:graphic>
          </wp:inline>
        </w:drawing>
      </w:r>
    </w:p>
    <w:p>
      <w:pPr>
        <w:spacing w:after="160"/>
        <w:ind w:firstLine="0"/>
        <w:jc w:val="center"/>
      </w:pPr>
      <w:r>
        <w:rPr>
          <w:rFonts w:ascii="Times New Roman" w:hAnsi="Times New Roman" w:cs="Times New Roman"/>
          <w:sz w:val="28"/>
        </w:rPr>
        <w:t>Рисунок 4.9 — Узгодженість міток і точність після перетворення між форматами</w:t>
      </w:r>
    </w:p>
    <w:p>
      <w:pPr>
        <w:keepNext/>
        <w:spacing w:before="120"/>
        <w:ind w:firstLine="0"/>
        <w:jc w:val="center"/>
      </w:pPr>
      <w:r>
        <w:drawing>
          <wp:inline xmlns:a="http://schemas.openxmlformats.org/drawingml/2006/main" xmlns:pic="http://schemas.openxmlformats.org/drawingml/2006/picture">
            <wp:extent cx="5040000" cy="2749091"/>
            <wp:docPr id="16" name="Picture 16"/>
            <wp:cNvGraphicFramePr>
              <a:graphicFrameLocks noChangeAspect="1"/>
            </wp:cNvGraphicFramePr>
            <a:graphic>
              <a:graphicData uri="http://schemas.openxmlformats.org/drawingml/2006/picture">
                <pic:pic>
                  <pic:nvPicPr>
                    <pic:cNvPr id="0" name="roundtrip_waveforms.png"/>
                    <pic:cNvPicPr/>
                  </pic:nvPicPr>
                  <pic:blipFill>
                    <a:blip r:embed="rId26"/>
                    <a:stretch>
                      <a:fillRect/>
                    </a:stretch>
                  </pic:blipFill>
                  <pic:spPr>
                    <a:xfrm>
                      <a:off x="0" y="0"/>
                      <a:ext cx="5040000" cy="2749091"/>
                    </a:xfrm>
                    <a:prstGeom prst="rect"/>
                  </pic:spPr>
                </pic:pic>
              </a:graphicData>
            </a:graphic>
          </wp:inline>
        </w:drawing>
      </w:r>
    </w:p>
    <w:p>
      <w:pPr>
        <w:spacing w:after="160"/>
        <w:ind w:firstLine="0"/>
        <w:jc w:val="center"/>
      </w:pPr>
      <w:r>
        <w:rPr>
          <w:rFonts w:ascii="Times New Roman" w:hAnsi="Times New Roman" w:cs="Times New Roman"/>
          <w:sz w:val="28"/>
        </w:rPr>
        <w:t>Рисунок 4.10 — Порівняння форми сигналу до й після перетворення через спільне подання</w:t>
      </w:r>
    </w:p>
    <w:p>
      <w:pPr>
        <w:spacing w:line="360" w:lineRule="auto" w:after="0"/>
        <w:ind w:firstLine="720"/>
        <w:jc w:val="both"/>
      </w:pPr>
      <w:r>
        <w:rPr>
          <w:rFonts w:ascii="Times New Roman" w:hAnsi="Times New Roman" w:cs="Times New Roman"/>
          <w:b w:val="0"/>
          <w:i w:val="0"/>
          <w:sz w:val="28"/>
        </w:rPr>
        <w:t>Гібридні моделі найчутливіші до перетворення формату, оскільки їхній згортковий потік реагує на покрокові збурення сигналу, проте навіть для них узгодженість міток не опускається нижче 99,3 % для EDF і дорівнює 100 % для CSV. Це означає, що клінічний конвеєр, який приймає ЕКГ у різних форматах і пропускає їх через єдиний класифікатор, може зберігати дані у форматі CSV або EDF без вимірюваної втрати якості.</w:t>
      </w:r>
    </w:p>
    <w:p>
      <w:pPr>
        <w:pStyle w:val="Heading2"/>
        <w:spacing w:before="120"/>
        <w:ind w:firstLine="720"/>
        <w:jc w:val="left"/>
      </w:pPr>
      <w:r>
        <w:rPr>
          <w:rFonts w:ascii="Times New Roman" w:hAnsi="Times New Roman" w:cs="Times New Roman"/>
          <w:b/>
          <w:color w:val="000000"/>
          <w:sz w:val="28"/>
        </w:rPr>
        <w:t>4.8 Порівняння з літературою</w:t>
      </w:r>
    </w:p>
    <w:p>
      <w:pPr>
        <w:spacing w:line="360" w:lineRule="auto" w:after="0"/>
        <w:ind w:firstLine="720"/>
        <w:jc w:val="both"/>
      </w:pPr>
      <w:r>
        <w:rPr>
          <w:rFonts w:ascii="Times New Roman" w:hAnsi="Times New Roman" w:cs="Times New Roman"/>
          <w:b w:val="0"/>
          <w:i w:val="0"/>
          <w:sz w:val="28"/>
        </w:rPr>
        <w:t>Пряме числове зіставлення з літературою ускладнене тим, що роботи користуються різними метриками та різними поділами даних. Міжпацієнтний протокол запровадили de Chazal та ін. [9]; його ж дотримувалися Llamedo і Martínez [10] та Mar та ін. [11], які поєднували ручні ознаки з лінійними або нейромережевими класифікаторами й повідомляли помірну збалансовану якість, передусім за класами S і V. Глибокі підходи повідомляють вищі числа: Kachuee та ін. [13] наводять близько 93 % точності, проте на пом’якшеному поділі на рівні окремих ударів, а не за міжпацієнтним протоколом, тому ці значення не є безпосередньо порівнянними.</w:t>
      </w:r>
    </w:p>
    <w:p>
      <w:pPr>
        <w:spacing w:line="360" w:lineRule="auto" w:after="0"/>
        <w:ind w:firstLine="720"/>
        <w:jc w:val="both"/>
      </w:pPr>
      <w:r>
        <w:rPr>
          <w:rFonts w:ascii="Times New Roman" w:hAnsi="Times New Roman" w:cs="Times New Roman"/>
          <w:b w:val="0"/>
          <w:i w:val="0"/>
          <w:sz w:val="28"/>
        </w:rPr>
        <w:t>Отриманий у роботі macro-F1 0,42 для XGBoost і 0,466 для методу опорних векторів на двох відведеннях відповідає визнаному рівню складності міжпацієнтної задачі, причому досягнутий він із простішим набором ознак, ніж у первинній праці de Chazal. Найкращу в роботі чутливість до рідкісних класів забезпечує метод опорних векторів, що є практично значущим показником, коли вартість пропуску шлуночкового чи зливного скорочення висока.</w:t>
      </w:r>
    </w:p>
    <w:p>
      <w:pPr>
        <w:pStyle w:val="Heading2"/>
        <w:spacing w:before="120"/>
        <w:ind w:firstLine="720"/>
        <w:jc w:val="left"/>
      </w:pPr>
      <w:r>
        <w:rPr>
          <w:rFonts w:ascii="Times New Roman" w:hAnsi="Times New Roman" w:cs="Times New Roman"/>
          <w:b/>
          <w:color w:val="000000"/>
          <w:sz w:val="28"/>
        </w:rPr>
        <w:t>4.9 Реалізація REST-API та інтерфейсу командного рядка</w:t>
      </w:r>
    </w:p>
    <w:p>
      <w:pPr>
        <w:spacing w:line="360" w:lineRule="auto" w:after="0"/>
        <w:ind w:firstLine="720"/>
        <w:jc w:val="both"/>
      </w:pPr>
      <w:r>
        <w:rPr>
          <w:rFonts w:ascii="Times New Roman" w:hAnsi="Times New Roman" w:cs="Times New Roman"/>
          <w:b w:val="0"/>
          <w:i w:val="0"/>
          <w:sz w:val="28"/>
        </w:rPr>
        <w:t>Систему оформлено як сервіс на основі FastAPI з кінцевими точками перевірки стану, переліку доступних моделей, переліку підтримуваних форматів і власне класифікації. Точка класифікації приймає вивантажений файл, автоматично визначає його формат, виконує повний конвеєр і повертає у форматі JSON покласові передбачення, кількість ударів за класами та зведення показників ритму. Паралельно реалізовано інтерфейс командного рядка з підкомандами зчитування, навчання, оцінювання, базової лінії, бенчмарку та запуску сервісу, що робить усі етапи відтворюваними однією командою.</w:t>
      </w:r>
    </w:p>
    <w:p>
      <w:pPr>
        <w:pStyle w:val="Heading2"/>
        <w:spacing w:before="120"/>
        <w:ind w:firstLine="720"/>
        <w:jc w:val="left"/>
      </w:pPr>
      <w:r>
        <w:rPr>
          <w:rFonts w:ascii="Times New Roman" w:hAnsi="Times New Roman" w:cs="Times New Roman"/>
          <w:b/>
          <w:color w:val="000000"/>
          <w:sz w:val="28"/>
        </w:rPr>
        <w:t>4.10 Обмеження та напрями подальших досліджень</w:t>
      </w:r>
    </w:p>
    <w:p>
      <w:pPr>
        <w:spacing w:line="360" w:lineRule="auto" w:after="0"/>
        <w:ind w:firstLine="720"/>
        <w:jc w:val="both"/>
      </w:pPr>
      <w:r>
        <w:rPr>
          <w:rFonts w:ascii="Times New Roman" w:hAnsi="Times New Roman" w:cs="Times New Roman"/>
          <w:b w:val="0"/>
          <w:i w:val="0"/>
          <w:sz w:val="28"/>
        </w:rPr>
        <w:t>Робота має кілька свідомих обмежень. Глибокі моделі навчено на процесорі обмеженою кількістю епох, тож їхній потенціал не розкрито повністю; навчання на графічному прискорювачі з аугментацією даних, імовірно, підвищило б їхню якість. Клас Q практично відсутній у даних, тому його показники ненадійні. Бенчмарк багатоформатної стійкості наразі охоплює формати CSV та EDF; його розширення на інші формати й на повністю двовідвідне перетворення є природним наступним кроком. Перехід до дванадцятивідвідних даних доцільно виконувати на спеціалізованій базі, оскільки MIT-BIH містить лише два канали. Попри ці обмеження, отримані результати достовірні, відтворювані й узгоджені з літературою.</w:t>
      </w:r>
    </w:p>
    <w:p>
      <w:pPr>
        <w:pStyle w:val="Heading1"/>
        <w:pageBreakBefore/>
        <w:ind w:firstLine="0"/>
        <w:jc w:val="center"/>
      </w:pPr>
      <w:r>
        <w:rPr>
          <w:rFonts w:ascii="Times New Roman" w:hAnsi="Times New Roman" w:cs="Times New Roman"/>
          <w:b/>
          <w:color w:val="000000"/>
          <w:sz w:val="28"/>
        </w:rPr>
        <w:t>ВИСНОВКИ</w:t>
      </w:r>
    </w:p>
    <w:p>
      <w:pPr>
        <w:spacing w:line="360" w:lineRule="auto" w:after="0"/>
        <w:ind w:firstLine="720"/>
        <w:jc w:val="both"/>
      </w:pPr>
      <w:r>
        <w:rPr>
          <w:rFonts w:ascii="Times New Roman" w:hAnsi="Times New Roman" w:cs="Times New Roman"/>
          <w:b w:val="0"/>
          <w:i w:val="0"/>
          <w:sz w:val="28"/>
        </w:rPr>
        <w:t>У кваліфікаційній роботі розв’язано задачу побудови уніфікованої системи обробки та класифікації ЕКГ-сигналів різних форматів із застосуванням методів машинного навчання. Досягнуто всіх поставлених завдань:</w:t>
      </w:r>
    </w:p>
    <w:p>
      <w:pPr>
        <w:spacing w:line="360" w:lineRule="auto" w:after="0"/>
        <w:ind w:firstLine="720"/>
        <w:jc w:val="both"/>
      </w:pPr>
      <w:r>
        <w:rPr>
          <w:rFonts w:ascii="Times New Roman" w:hAnsi="Times New Roman" w:cs="Times New Roman"/>
          <w:sz w:val="28"/>
        </w:rPr>
        <w:t>— проаналізовано предметну область: будову ЕКГ, формати зберігання, стандарт класифікації AAMI та сучасні методи; обґрунтовано вибір міжпацієнтного протоколу й показника macro-F1;</w:t>
      </w:r>
    </w:p>
    <w:p>
      <w:pPr>
        <w:spacing w:line="360" w:lineRule="auto" w:after="0"/>
        <w:ind w:firstLine="720"/>
        <w:jc w:val="both"/>
      </w:pPr>
      <w:r>
        <w:rPr>
          <w:rFonts w:ascii="Times New Roman" w:hAnsi="Times New Roman" w:cs="Times New Roman"/>
          <w:sz w:val="28"/>
        </w:rPr>
        <w:t>— успадкований монолітний прототип переструктуровано в модульний пакет ekg зі збереженням поведінки перевірених компонентів обробки сигналу;</w:t>
      </w:r>
    </w:p>
    <w:p>
      <w:pPr>
        <w:spacing w:line="360" w:lineRule="auto" w:after="0"/>
        <w:ind w:firstLine="720"/>
        <w:jc w:val="both"/>
      </w:pPr>
      <w:r>
        <w:rPr>
          <w:rFonts w:ascii="Times New Roman" w:hAnsi="Times New Roman" w:cs="Times New Roman"/>
          <w:sz w:val="28"/>
        </w:rPr>
        <w:t>— реалізовано повний конвеєр на базі MIT-BIH із коректним поділом DS1/DS2, модулями сегментації ударів і виділення 35-вимірного ознакового вектора;</w:t>
      </w:r>
    </w:p>
    <w:p>
      <w:pPr>
        <w:spacing w:line="360" w:lineRule="auto" w:after="0"/>
        <w:ind w:firstLine="720"/>
        <w:jc w:val="both"/>
      </w:pPr>
      <w:r>
        <w:rPr>
          <w:rFonts w:ascii="Times New Roman" w:hAnsi="Times New Roman" w:cs="Times New Roman"/>
          <w:sz w:val="28"/>
        </w:rPr>
        <w:t>— реалізовано та порівняно сім моделей; найкращі результати за збалансованими метриками (macro-F1 0,466, повнота за класами S і F 0,581 і 0,900) показав метод опорних векторів на двох відведеннях, що відповідає рівню опублікованих результатів для цього протоколу;</w:t>
      </w:r>
    </w:p>
    <w:p>
      <w:pPr>
        <w:spacing w:line="360" w:lineRule="auto" w:after="0"/>
        <w:ind w:firstLine="720"/>
        <w:jc w:val="both"/>
      </w:pPr>
      <w:r>
        <w:rPr>
          <w:rFonts w:ascii="Times New Roman" w:hAnsi="Times New Roman" w:cs="Times New Roman"/>
          <w:sz w:val="28"/>
        </w:rPr>
        <w:t>— запропоновано двопотоковий гібридний класифікатор із пізнім злиттям, який піднімає повноту за зливними скороченнями недонавченої згорткової мережі з 0,07 до 0,89, наближаючи її до рівня найкращої моделі, хоча й не перевершує метод опорних векторів за збалансованими метриками;</w:t>
      </w:r>
    </w:p>
    <w:p>
      <w:pPr>
        <w:spacing w:line="360" w:lineRule="auto" w:after="0"/>
        <w:ind w:firstLine="720"/>
        <w:jc w:val="both"/>
      </w:pPr>
      <w:r>
        <w:rPr>
          <w:rFonts w:ascii="Times New Roman" w:hAnsi="Times New Roman" w:cs="Times New Roman"/>
          <w:sz w:val="28"/>
        </w:rPr>
        <w:t>— розроблено бенчмарк багатоформатної стійкості, що кількісно довів збереження якості класифікації після перетворення через формати CSV (узгодженість міток 100 %) та EDF (не менше 99,3 %);</w:t>
      </w:r>
    </w:p>
    <w:p>
      <w:pPr>
        <w:spacing w:line="360" w:lineRule="auto" w:after="0"/>
        <w:ind w:firstLine="720"/>
        <w:jc w:val="both"/>
      </w:pPr>
      <w:r>
        <w:rPr>
          <w:rFonts w:ascii="Times New Roman" w:hAnsi="Times New Roman" w:cs="Times New Roman"/>
          <w:sz w:val="28"/>
        </w:rPr>
        <w:t>— реалізовано REST-API та інтерфейс командного рядка, що робить систему придатною до практичного використання й повністю відтворюваною.</w:t>
      </w:r>
    </w:p>
    <w:p>
      <w:pPr>
        <w:spacing w:line="360" w:lineRule="auto" w:after="0"/>
        <w:ind w:firstLine="720"/>
        <w:jc w:val="both"/>
      </w:pPr>
      <w:r>
        <w:rPr>
          <w:rFonts w:ascii="Times New Roman" w:hAnsi="Times New Roman" w:cs="Times New Roman"/>
          <w:b w:val="0"/>
          <w:i w:val="0"/>
          <w:sz w:val="28"/>
        </w:rPr>
        <w:t>Наукова новизна роботи полягає у двопотоковому гібридному класифікаторі з пізнім злиттям ознакового та сигнального потоків і в бенчмарку багатоформатної стійкості, який обґрунтовує означення «уніфікована багатоформатна система». Практичне значення полягає у створенні відтворюваної системи з відкритим інтерфейсом, придатної для скринінгу аритмій і для подальших досліджень. Перспективними напрямами є навчання глибоких моделей на графічному прискорювачі з аугментацією, розширення бенчмарку на інші формати та перехід до дванадцятивідвідних даних.</w:t>
      </w:r>
    </w:p>
    <w:p>
      <w:pPr>
        <w:pStyle w:val="Heading1"/>
        <w:pageBreakBefore/>
        <w:ind w:firstLine="0"/>
        <w:jc w:val="center"/>
      </w:pPr>
      <w:r>
        <w:rPr>
          <w:rFonts w:ascii="Times New Roman" w:hAnsi="Times New Roman" w:cs="Times New Roman"/>
          <w:b/>
          <w:color w:val="000000"/>
          <w:sz w:val="28"/>
        </w:rPr>
        <w:t>ПЕРЕЛІК ДЖЕРЕЛ ПОСИЛАННЯ</w:t>
      </w:r>
    </w:p>
    <w:p>
      <w:pPr>
        <w:pStyle w:val="ListNumber"/>
        <w:spacing w:line="360" w:lineRule="auto" w:after="0"/>
        <w:ind w:firstLine="0" w:left="425"/>
        <w:jc w:val="both"/>
      </w:pPr>
      <w:r>
        <w:rPr>
          <w:rFonts w:ascii="Times New Roman" w:hAnsi="Times New Roman" w:cs="Times New Roman"/>
          <w:sz w:val="28"/>
        </w:rPr>
        <w:t>Kligfield P., Gettes L. S., Bailey J. J. та ін. Recommendations for the standardization and interpretation of the electrocardiogram. Circulation. 2007. Vol. 115, № 10. P. 1306–1324.</w:t>
      </w:r>
    </w:p>
    <w:p>
      <w:pPr>
        <w:pStyle w:val="ListNumber"/>
        <w:spacing w:line="360" w:lineRule="auto" w:after="0"/>
        <w:ind w:firstLine="0" w:left="425"/>
        <w:jc w:val="both"/>
      </w:pPr>
      <w:r>
        <w:rPr>
          <w:rFonts w:ascii="Times New Roman" w:hAnsi="Times New Roman" w:cs="Times New Roman"/>
          <w:sz w:val="28"/>
        </w:rPr>
        <w:t>Pan J., Tompkins W. J. A real-time QRS detection algorithm. IEEE Transactions on Biomedical Engineering. 1985. Vol. BME-32, № 3. P. 230–236.</w:t>
      </w:r>
    </w:p>
    <w:p>
      <w:pPr>
        <w:pStyle w:val="ListNumber"/>
        <w:spacing w:line="360" w:lineRule="auto" w:after="0"/>
        <w:ind w:firstLine="0" w:left="425"/>
        <w:jc w:val="both"/>
      </w:pPr>
      <w:r>
        <w:rPr>
          <w:rFonts w:ascii="Times New Roman" w:hAnsi="Times New Roman" w:cs="Times New Roman"/>
          <w:sz w:val="28"/>
        </w:rPr>
        <w:t>Moody G. B., Mark R. G. The impact of the MIT-BIH Arrhythmia Database. IEEE Engineering in Medicine and Biology Magazine. 2001. Vol. 20, № 3. P. 45–50.</w:t>
      </w:r>
    </w:p>
    <w:p>
      <w:pPr>
        <w:pStyle w:val="ListNumber"/>
        <w:spacing w:line="360" w:lineRule="auto" w:after="0"/>
        <w:ind w:firstLine="0" w:left="425"/>
        <w:jc w:val="both"/>
      </w:pPr>
      <w:r>
        <w:rPr>
          <w:rFonts w:ascii="Times New Roman" w:hAnsi="Times New Roman" w:cs="Times New Roman"/>
          <w:sz w:val="28"/>
        </w:rPr>
        <w:t>Goldberger A. L., Amaral L. A. N., Glass L. та ін. PhysioBank, PhysioToolkit, and PhysioNet: components of a new research resource for complex physiologic signals. Circulation. 2000. Vol. 101, № 23. P. e215–e220.</w:t>
      </w:r>
    </w:p>
    <w:p>
      <w:pPr>
        <w:pStyle w:val="ListNumber"/>
        <w:spacing w:line="360" w:lineRule="auto" w:after="0"/>
        <w:ind w:firstLine="0" w:left="425"/>
        <w:jc w:val="both"/>
      </w:pPr>
      <w:r>
        <w:rPr>
          <w:rFonts w:ascii="Times New Roman" w:hAnsi="Times New Roman" w:cs="Times New Roman"/>
          <w:sz w:val="28"/>
        </w:rPr>
        <w:t>Digital Imaging and Communications in Medicine (DICOM). Supplement 30: Waveform Interchange. Rosslyn : NEMA, 2000.</w:t>
      </w:r>
    </w:p>
    <w:p>
      <w:pPr>
        <w:pStyle w:val="ListNumber"/>
        <w:spacing w:line="360" w:lineRule="auto" w:after="0"/>
        <w:ind w:firstLine="0" w:left="425"/>
        <w:jc w:val="both"/>
      </w:pPr>
      <w:r>
        <w:rPr>
          <w:rFonts w:ascii="Times New Roman" w:hAnsi="Times New Roman" w:cs="Times New Roman"/>
          <w:sz w:val="28"/>
        </w:rPr>
        <w:t>HL7 Implementation Guide for CDA Release 2: Annotated ECG (aECG). Ann Arbor : Health Level Seven International, 2005.</w:t>
      </w:r>
    </w:p>
    <w:p>
      <w:pPr>
        <w:pStyle w:val="ListNumber"/>
        <w:spacing w:line="360" w:lineRule="auto" w:after="0"/>
        <w:ind w:firstLine="0" w:left="425"/>
        <w:jc w:val="both"/>
      </w:pPr>
      <w:r>
        <w:rPr>
          <w:rFonts w:ascii="Times New Roman" w:hAnsi="Times New Roman" w:cs="Times New Roman"/>
          <w:sz w:val="28"/>
        </w:rPr>
        <w:t>EN 1064:2005. Health informatics. Standard communication protocol. Computer-assisted electrocardiography. Brussels : CEN, 2005.</w:t>
      </w:r>
    </w:p>
    <w:p>
      <w:pPr>
        <w:pStyle w:val="ListNumber"/>
        <w:spacing w:line="360" w:lineRule="auto" w:after="0"/>
        <w:ind w:firstLine="0" w:left="425"/>
        <w:jc w:val="both"/>
      </w:pPr>
      <w:r>
        <w:rPr>
          <w:rFonts w:ascii="Times New Roman" w:hAnsi="Times New Roman" w:cs="Times New Roman"/>
          <w:sz w:val="28"/>
        </w:rPr>
        <w:t>ANSI/AAMI EC57:2012. Testing and reporting performance results of cardiac rhythm and ST segment measurement algorithms. Arlington : AAMI, 2013. 52 p.</w:t>
      </w:r>
    </w:p>
    <w:p>
      <w:pPr>
        <w:pStyle w:val="ListNumber"/>
        <w:spacing w:line="360" w:lineRule="auto" w:after="0"/>
        <w:ind w:firstLine="0" w:left="425"/>
        <w:jc w:val="both"/>
      </w:pPr>
      <w:r>
        <w:rPr>
          <w:rFonts w:ascii="Times New Roman" w:hAnsi="Times New Roman" w:cs="Times New Roman"/>
          <w:sz w:val="28"/>
        </w:rPr>
        <w:t>de Chazal P., O’Dwyer M., Reilly R. B. Automatic classification of heartbeats using ECG morphology and heartbeat interval features. IEEE Transactions on Biomedical Engineering. 2004. Vol. 51, № 7. P. 1196–1206.</w:t>
      </w:r>
    </w:p>
    <w:p>
      <w:pPr>
        <w:pStyle w:val="ListNumber"/>
        <w:spacing w:line="360" w:lineRule="auto" w:after="0"/>
        <w:ind w:firstLine="0" w:left="425"/>
        <w:jc w:val="both"/>
      </w:pPr>
      <w:r>
        <w:rPr>
          <w:rFonts w:ascii="Times New Roman" w:hAnsi="Times New Roman" w:cs="Times New Roman"/>
          <w:sz w:val="28"/>
        </w:rPr>
        <w:t>Llamedo M., Martínez J. P. Heartbeat classification using feature selection driven by database generalization criteria. IEEE Transactions on Biomedical Engineering. 2011. Vol. 58, № 3. P. 616–625.</w:t>
      </w:r>
    </w:p>
    <w:p>
      <w:pPr>
        <w:pStyle w:val="ListNumber"/>
        <w:spacing w:line="360" w:lineRule="auto" w:after="0"/>
        <w:ind w:firstLine="0" w:left="425"/>
        <w:jc w:val="both"/>
      </w:pPr>
      <w:r>
        <w:rPr>
          <w:rFonts w:ascii="Times New Roman" w:hAnsi="Times New Roman" w:cs="Times New Roman"/>
          <w:sz w:val="28"/>
        </w:rPr>
        <w:t>Mar T., Zaunseder S., Martínez J. P., Llamedo M., Poll R. Optimization of ECG classification by means of feature selection. IEEE Transactions on Biomedical Engineering. 2011. Vol. 58, № 8. P. 2168–2177.</w:t>
      </w:r>
    </w:p>
    <w:p>
      <w:pPr>
        <w:pStyle w:val="ListNumber"/>
        <w:spacing w:line="360" w:lineRule="auto" w:after="0"/>
        <w:ind w:firstLine="0" w:left="425"/>
        <w:jc w:val="both"/>
      </w:pPr>
      <w:r>
        <w:rPr>
          <w:rFonts w:ascii="Times New Roman" w:hAnsi="Times New Roman" w:cs="Times New Roman"/>
          <w:sz w:val="28"/>
        </w:rPr>
        <w:t>Acharya U. R., Oh S. L., Hagiwara Y., Tan J. H., Adam M., Gertych A., Tan R. S. A deep convolutional neural network model to classify heartbeats. Computers in Biology and Medicine. 2017. Vol. 89. P. 389–396.</w:t>
      </w:r>
    </w:p>
    <w:p>
      <w:pPr>
        <w:pStyle w:val="ListNumber"/>
        <w:spacing w:line="360" w:lineRule="auto" w:after="0"/>
        <w:ind w:firstLine="0" w:left="425"/>
        <w:jc w:val="both"/>
      </w:pPr>
      <w:r>
        <w:rPr>
          <w:rFonts w:ascii="Times New Roman" w:hAnsi="Times New Roman" w:cs="Times New Roman"/>
          <w:sz w:val="28"/>
        </w:rPr>
        <w:t>Kachuee M., Fazeli S., Sarrafzadeh M. ECG heartbeat classification: a deep transferable representation. 2018 IEEE International Conference on Healthcare Informatics (ICHI). New York, 2018. P. 443–444.</w:t>
      </w:r>
    </w:p>
    <w:p>
      <w:pPr>
        <w:pStyle w:val="ListNumber"/>
        <w:spacing w:line="360" w:lineRule="auto" w:after="0"/>
        <w:ind w:firstLine="0" w:left="425"/>
        <w:jc w:val="both"/>
      </w:pPr>
      <w:r>
        <w:rPr>
          <w:rFonts w:ascii="Times New Roman" w:hAnsi="Times New Roman" w:cs="Times New Roman"/>
          <w:sz w:val="28"/>
        </w:rPr>
        <w:t>Hannun A. Y., Rajpurkar P., Haghpanahi M., Tison G. H., Bourn C., Turakhia M. P., Ng A. Y. Cardiologist-level arrhythmia detection and classification in ambulatory electrocardiograms using a deep neural network. Nature Medicine. 2019. Vol. 25, № 1. P. 65–69.</w:t>
      </w:r>
    </w:p>
    <w:p>
      <w:pPr>
        <w:pStyle w:val="ListNumber"/>
        <w:spacing w:line="360" w:lineRule="auto" w:after="0"/>
        <w:ind w:firstLine="0" w:left="425"/>
        <w:jc w:val="both"/>
      </w:pPr>
      <w:r>
        <w:rPr>
          <w:rFonts w:ascii="Times New Roman" w:hAnsi="Times New Roman" w:cs="Times New Roman"/>
          <w:sz w:val="28"/>
        </w:rPr>
        <w:t>LeCun Y., Bengio Y., Hinton G. Deep learning. Nature. 2015. Vol. 521. P. 436–444.</w:t>
      </w:r>
    </w:p>
    <w:p>
      <w:pPr>
        <w:pStyle w:val="ListNumber"/>
        <w:spacing w:line="360" w:lineRule="auto" w:after="0"/>
        <w:ind w:firstLine="0" w:left="425"/>
        <w:jc w:val="both"/>
      </w:pPr>
      <w:r>
        <w:rPr>
          <w:rFonts w:ascii="Times New Roman" w:hAnsi="Times New Roman" w:cs="Times New Roman"/>
          <w:sz w:val="28"/>
        </w:rPr>
        <w:t>Mallat S. G. A theory for multiresolution signal decomposition: the wavelet representation. IEEE Transactions on Pattern Analysis and Machine Intelligence. 1989. Vol. 11, № 7. P. 674–693.</w:t>
      </w:r>
    </w:p>
    <w:p>
      <w:pPr>
        <w:pStyle w:val="ListNumber"/>
        <w:spacing w:line="360" w:lineRule="auto" w:after="0"/>
        <w:ind w:firstLine="0" w:left="425"/>
        <w:jc w:val="both"/>
      </w:pPr>
      <w:r>
        <w:rPr>
          <w:rFonts w:ascii="Times New Roman" w:hAnsi="Times New Roman" w:cs="Times New Roman"/>
          <w:sz w:val="28"/>
        </w:rPr>
        <w:t>Heart rate variability: standards of measurement, physiological interpretation, and clinical use. Task Force of the European Society of Cardiology and the North American Society of Pacing and Electrophysiology. Circulation. 1996. Vol. 93, № 5. P. 1043–1065.</w:t>
      </w:r>
    </w:p>
    <w:p>
      <w:pPr>
        <w:pStyle w:val="ListNumber"/>
        <w:spacing w:line="360" w:lineRule="auto" w:after="0"/>
        <w:ind w:firstLine="0" w:left="425"/>
        <w:jc w:val="both"/>
      </w:pPr>
      <w:r>
        <w:rPr>
          <w:rFonts w:ascii="Times New Roman" w:hAnsi="Times New Roman" w:cs="Times New Roman"/>
          <w:sz w:val="28"/>
        </w:rPr>
        <w:t>Pedregosa F., Varoquaux G., Gramfort A. та ін. Scikit-learn: machine learning in Python. Journal of Machine Learning Research. 2011. Vol. 12. P. 2825–2830.</w:t>
      </w:r>
    </w:p>
    <w:p>
      <w:pPr>
        <w:pStyle w:val="ListNumber"/>
        <w:spacing w:line="360" w:lineRule="auto" w:after="0"/>
        <w:ind w:firstLine="0" w:left="425"/>
        <w:jc w:val="both"/>
      </w:pPr>
      <w:r>
        <w:rPr>
          <w:rFonts w:ascii="Times New Roman" w:hAnsi="Times New Roman" w:cs="Times New Roman"/>
          <w:sz w:val="28"/>
        </w:rPr>
        <w:t>Breiman L. Random forests. Machine Learning. 2001. Vol. 45, № 1. P. 5–32.</w:t>
      </w:r>
    </w:p>
    <w:p>
      <w:pPr>
        <w:pStyle w:val="ListNumber"/>
        <w:spacing w:line="360" w:lineRule="auto" w:after="0"/>
        <w:ind w:firstLine="0" w:left="425"/>
        <w:jc w:val="both"/>
      </w:pPr>
      <w:r>
        <w:rPr>
          <w:rFonts w:ascii="Times New Roman" w:hAnsi="Times New Roman" w:cs="Times New Roman"/>
          <w:sz w:val="28"/>
        </w:rPr>
        <w:t>Chen T., Guestrin C. XGBoost: a scalable tree boosting system. Proceedings of the 22nd ACM SIGKDD International Conference on Knowledge Discovery and Data Mining. San Francisco, 2016. P. 785–794.</w:t>
      </w:r>
    </w:p>
    <w:p>
      <w:pPr>
        <w:pStyle w:val="ListNumber"/>
        <w:spacing w:line="360" w:lineRule="auto" w:after="0"/>
        <w:ind w:firstLine="0" w:left="425"/>
        <w:jc w:val="both"/>
      </w:pPr>
      <w:r>
        <w:rPr>
          <w:rFonts w:ascii="Times New Roman" w:hAnsi="Times New Roman" w:cs="Times New Roman"/>
          <w:sz w:val="28"/>
        </w:rPr>
        <w:t>Cortes C., Vapnik V. Support-vector networks. Machine Learning. 1995. Vol. 20, № 3. P. 273–297.</w:t>
      </w:r>
    </w:p>
    <w:p>
      <w:pPr>
        <w:pStyle w:val="ListNumber"/>
        <w:spacing w:line="360" w:lineRule="auto" w:after="0"/>
        <w:ind w:firstLine="0" w:left="425"/>
        <w:jc w:val="both"/>
      </w:pPr>
      <w:r>
        <w:rPr>
          <w:rFonts w:ascii="Times New Roman" w:hAnsi="Times New Roman" w:cs="Times New Roman"/>
          <w:sz w:val="28"/>
        </w:rPr>
        <w:t>Ioffe S., Szegedy C. Batch normalization: accelerating deep network training by reducing internal covariate shift. Proceedings of the 32nd International Conference on Machine Learning (ICML). Lille, 2015. P. 448–456.</w:t>
      </w:r>
    </w:p>
    <w:p>
      <w:pPr>
        <w:pStyle w:val="ListNumber"/>
        <w:spacing w:line="360" w:lineRule="auto" w:after="0"/>
        <w:ind w:firstLine="0" w:left="425"/>
        <w:jc w:val="both"/>
      </w:pPr>
      <w:r>
        <w:rPr>
          <w:rFonts w:ascii="Times New Roman" w:hAnsi="Times New Roman" w:cs="Times New Roman"/>
          <w:sz w:val="28"/>
        </w:rPr>
        <w:t>Paszke A., Gross S., Massa F. та ін. PyTorch: an imperative style, high-performance deep learning library. Advances in Neural Information Processing Systems 32. Vancouver, 2019. P. 8024–8035.</w:t>
      </w:r>
    </w:p>
    <w:p>
      <w:pPr>
        <w:pStyle w:val="ListNumber"/>
        <w:spacing w:line="360" w:lineRule="auto" w:after="0"/>
        <w:ind w:firstLine="0" w:left="425"/>
        <w:jc w:val="both"/>
      </w:pPr>
      <w:r>
        <w:rPr>
          <w:rFonts w:ascii="Times New Roman" w:hAnsi="Times New Roman" w:cs="Times New Roman"/>
          <w:sz w:val="28"/>
        </w:rPr>
        <w:t>Harris C. R., Millman K. J., van der Walt S. J. та ін. Array programming with NumPy. Nature. 2020. Vol. 585. P. 357–362.</w:t>
      </w:r>
    </w:p>
    <w:p>
      <w:pPr>
        <w:pStyle w:val="ListNumber"/>
        <w:spacing w:line="360" w:lineRule="auto" w:after="0"/>
        <w:ind w:firstLine="0" w:left="425"/>
        <w:jc w:val="both"/>
      </w:pPr>
      <w:r>
        <w:rPr>
          <w:rFonts w:ascii="Times New Roman" w:hAnsi="Times New Roman" w:cs="Times New Roman"/>
          <w:sz w:val="28"/>
        </w:rPr>
        <w:t>Virtanen P., Gommers R., Oliphant T. E. та ін. SciPy 1.0: fundamental algorithms for scientific computing in Python. Nature Methods. 2020. Vol. 17. P. 261–272.</w:t>
      </w:r>
    </w:p>
    <w:p>
      <w:pPr>
        <w:pStyle w:val="ListNumber"/>
        <w:spacing w:line="360" w:lineRule="auto" w:after="0"/>
        <w:ind w:firstLine="0" w:left="425"/>
        <w:jc w:val="both"/>
      </w:pPr>
      <w:r>
        <w:rPr>
          <w:rFonts w:ascii="Times New Roman" w:hAnsi="Times New Roman" w:cs="Times New Roman"/>
          <w:sz w:val="28"/>
        </w:rPr>
        <w:t>Hochreiter S., Schmidhuber J. Long short-term memory. Neural Computation. 1997. Vol. 9, № 8. P. 1735–1780.</w:t>
      </w:r>
    </w:p>
    <w:p>
      <w:pPr>
        <w:pStyle w:val="ListNumber"/>
        <w:spacing w:line="360" w:lineRule="auto" w:after="0"/>
        <w:ind w:firstLine="0" w:left="425"/>
        <w:jc w:val="both"/>
      </w:pPr>
      <w:r>
        <w:rPr>
          <w:rFonts w:ascii="Times New Roman" w:hAnsi="Times New Roman" w:cs="Times New Roman"/>
          <w:sz w:val="28"/>
        </w:rPr>
        <w:t>Wolpert D. H. Stacked generalization. Neural Networks. 1992. Vol. 5, № 2. P. 241–259.</w:t>
      </w:r>
    </w:p>
    <w:p>
      <w:pPr>
        <w:pStyle w:val="Heading1"/>
        <w:pageBreakBefore/>
        <w:ind w:firstLine="0"/>
        <w:jc w:val="center"/>
      </w:pPr>
      <w:r>
        <w:rPr>
          <w:rFonts w:ascii="Times New Roman" w:hAnsi="Times New Roman" w:cs="Times New Roman"/>
          <w:b/>
          <w:color w:val="000000"/>
          <w:sz w:val="28"/>
        </w:rPr>
        <w:t>ДОДАТОК А</w:t>
      </w:r>
      <w:r>
        <w:br/>
      </w:r>
      <w:r>
        <w:rPr>
          <w:rFonts w:ascii="Times New Roman" w:hAnsi="Times New Roman" w:cs="Times New Roman"/>
          <w:b/>
          <w:color w:val="000000"/>
          <w:sz w:val="28"/>
        </w:rPr>
        <w:t>Лістинги ключових модулів</w:t>
      </w:r>
    </w:p>
    <w:p>
      <w:pPr>
        <w:spacing w:line="360" w:lineRule="auto" w:after="0"/>
        <w:ind w:firstLine="720"/>
        <w:jc w:val="both"/>
      </w:pPr>
      <w:r>
        <w:rPr>
          <w:rFonts w:ascii="Times New Roman" w:hAnsi="Times New Roman" w:cs="Times New Roman"/>
          <w:b w:val="0"/>
          <w:i w:val="0"/>
          <w:sz w:val="28"/>
        </w:rPr>
        <w:t>Нижче наведено фрагменти ключових модулів системи. Повний вихідний код доступний у репозиторії проєкту.</w:t>
      </w:r>
    </w:p>
    <w:p>
      <w:pPr>
        <w:spacing w:before="120"/>
        <w:ind w:firstLine="0"/>
      </w:pPr>
      <w:r>
        <w:rPr>
          <w:rFonts w:ascii="Times New Roman" w:hAnsi="Times New Roman"/>
          <w:b/>
          <w:sz w:val="28"/>
        </w:rPr>
        <w:t>А.1 Відповідність позначень MIT-BIH суперкласам AAMI (ekg/datasets/mitbih.py)</w:t>
      </w:r>
    </w:p>
    <w:p>
      <w:pPr>
        <w:spacing w:line="240" w:lineRule="auto" w:after="0"/>
        <w:ind w:firstLine="0"/>
      </w:pPr>
      <w:r>
        <w:rPr>
          <w:rFonts w:ascii="Courier New" w:hAnsi="Courier New"/>
          <w:sz w:val="20"/>
        </w:rPr>
        <w:t>_AAMI_MAP = {</w:t>
      </w:r>
    </w:p>
    <w:p>
      <w:pPr>
        <w:spacing w:line="240" w:lineRule="auto" w:after="0"/>
        <w:ind w:firstLine="0"/>
      </w:pPr>
      <w:r>
        <w:rPr>
          <w:rFonts w:ascii="Courier New" w:hAnsi="Courier New"/>
          <w:sz w:val="20"/>
        </w:rPr>
        <w:t xml:space="preserve">    "N": "N", "L": "N", "R": "N", "e": "N", "j": "N",</w:t>
      </w:r>
    </w:p>
    <w:p>
      <w:pPr>
        <w:spacing w:line="240" w:lineRule="auto" w:after="0"/>
        <w:ind w:firstLine="0"/>
      </w:pPr>
      <w:r>
        <w:rPr>
          <w:rFonts w:ascii="Courier New" w:hAnsi="Courier New"/>
          <w:sz w:val="20"/>
        </w:rPr>
        <w:t xml:space="preserve">    "A": "S", "a": "S", "J": "S", "S": "S",</w:t>
      </w:r>
    </w:p>
    <w:p>
      <w:pPr>
        <w:spacing w:line="240" w:lineRule="auto" w:after="0"/>
        <w:ind w:firstLine="0"/>
      </w:pPr>
      <w:r>
        <w:rPr>
          <w:rFonts w:ascii="Courier New" w:hAnsi="Courier New"/>
          <w:sz w:val="20"/>
        </w:rPr>
        <w:t xml:space="preserve">    "V": "V", "E": "V",</w:t>
      </w:r>
    </w:p>
    <w:p>
      <w:pPr>
        <w:spacing w:line="240" w:lineRule="auto" w:after="0"/>
        <w:ind w:firstLine="0"/>
      </w:pPr>
      <w:r>
        <w:rPr>
          <w:rFonts w:ascii="Courier New" w:hAnsi="Courier New"/>
          <w:sz w:val="20"/>
        </w:rPr>
        <w:t xml:space="preserve">    "F": "F",</w:t>
      </w:r>
    </w:p>
    <w:p>
      <w:pPr>
        <w:spacing w:line="240" w:lineRule="auto" w:after="0"/>
        <w:ind w:firstLine="0"/>
      </w:pPr>
      <w:r>
        <w:rPr>
          <w:rFonts w:ascii="Courier New" w:hAnsi="Courier New"/>
          <w:sz w:val="20"/>
        </w:rPr>
        <w:t xml:space="preserve">    "P": "Q", "/": "Q", "f": "Q", "Q": "Q", "U": "Q",</w:t>
      </w:r>
    </w:p>
    <w:p>
      <w:pPr>
        <w:spacing w:line="240" w:lineRule="auto" w:after="0"/>
        <w:ind w:firstLine="0"/>
      </w:pPr>
      <w:r>
        <w:rPr>
          <w:rFonts w:ascii="Courier New" w:hAnsi="Courier New"/>
          <w:sz w:val="20"/>
        </w:rPr>
        <w:t>}</w:t>
      </w:r>
    </w:p>
    <w:p>
      <w:pPr>
        <w:spacing w:before="120"/>
        <w:ind w:firstLine="0"/>
      </w:pPr>
      <w:r>
        <w:rPr>
          <w:rFonts w:ascii="Times New Roman" w:hAnsi="Times New Roman"/>
          <w:b/>
          <w:sz w:val="28"/>
        </w:rPr>
        <w:t>А.2 Міжпацієнтний поділ DS1/DS2 (ekg/datasets/splits.py)</w:t>
      </w:r>
    </w:p>
    <w:p>
      <w:pPr>
        <w:spacing w:line="240" w:lineRule="auto" w:after="0"/>
        <w:ind w:firstLine="0"/>
      </w:pPr>
      <w:r>
        <w:rPr>
          <w:rFonts w:ascii="Courier New" w:hAnsi="Courier New"/>
          <w:sz w:val="20"/>
        </w:rPr>
        <w:t>DS1_RECORDS = ("101","106","108","109","112","114","115","116",</w:t>
      </w:r>
    </w:p>
    <w:p>
      <w:pPr>
        <w:spacing w:line="240" w:lineRule="auto" w:after="0"/>
        <w:ind w:firstLine="0"/>
      </w:pPr>
      <w:r>
        <w:rPr>
          <w:rFonts w:ascii="Courier New" w:hAnsi="Courier New"/>
          <w:sz w:val="20"/>
        </w:rPr>
        <w:t xml:space="preserve">    "118","119","122","124","201","203","205","207","208",</w:t>
      </w:r>
    </w:p>
    <w:p>
      <w:pPr>
        <w:spacing w:line="240" w:lineRule="auto" w:after="0"/>
        <w:ind w:firstLine="0"/>
      </w:pPr>
      <w:r>
        <w:rPr>
          <w:rFonts w:ascii="Courier New" w:hAnsi="Courier New"/>
          <w:sz w:val="20"/>
        </w:rPr>
        <w:t xml:space="preserve">    "209","215","220","223","230")</w:t>
      </w:r>
    </w:p>
    <w:p>
      <w:pPr>
        <w:spacing w:line="240" w:lineRule="auto" w:after="0"/>
        <w:ind w:firstLine="0"/>
      </w:pPr>
      <w:r>
        <w:rPr>
          <w:rFonts w:ascii="Courier New" w:hAnsi="Courier New"/>
          <w:sz w:val="20"/>
        </w:rPr>
        <w:t>DS2_RECORDS = ("100","103","105","111","113","117","121","123",</w:t>
      </w:r>
    </w:p>
    <w:p>
      <w:pPr>
        <w:spacing w:line="240" w:lineRule="auto" w:after="0"/>
        <w:ind w:firstLine="0"/>
      </w:pPr>
      <w:r>
        <w:rPr>
          <w:rFonts w:ascii="Courier New" w:hAnsi="Courier New"/>
          <w:sz w:val="20"/>
        </w:rPr>
        <w:t xml:space="preserve">    "200","202","210","212","213","214","219","221","222",</w:t>
      </w:r>
    </w:p>
    <w:p>
      <w:pPr>
        <w:spacing w:line="240" w:lineRule="auto" w:after="0"/>
        <w:ind w:firstLine="0"/>
      </w:pPr>
      <w:r>
        <w:rPr>
          <w:rFonts w:ascii="Courier New" w:hAnsi="Courier New"/>
          <w:sz w:val="20"/>
        </w:rPr>
        <w:t xml:space="preserve">    "228","231","232","233","234")</w:t>
      </w:r>
    </w:p>
    <w:p>
      <w:pPr>
        <w:spacing w:line="240" w:lineRule="auto" w:after="0"/>
        <w:ind w:firstLine="0"/>
      </w:pPr>
      <w:r>
        <w:rPr>
          <w:rFonts w:ascii="Courier New" w:hAnsi="Courier New"/>
          <w:sz w:val="20"/>
        </w:rPr>
        <w:t>EXCLUDED_RECORDS = frozenset({"102","104","107","217"})</w:t>
      </w:r>
    </w:p>
    <w:p>
      <w:pPr>
        <w:spacing w:before="120"/>
        <w:ind w:firstLine="0"/>
      </w:pPr>
      <w:r>
        <w:rPr>
          <w:rFonts w:ascii="Times New Roman" w:hAnsi="Times New Roman"/>
          <w:b/>
          <w:sz w:val="28"/>
        </w:rPr>
        <w:t>А.3 Групи ознак окремого удару (ekg/features/handcrafted.py)</w:t>
      </w:r>
    </w:p>
    <w:p>
      <w:pPr>
        <w:spacing w:line="240" w:lineRule="auto" w:after="0"/>
        <w:ind w:firstLine="0"/>
      </w:pPr>
      <w:r>
        <w:rPr>
          <w:rFonts w:ascii="Courier New" w:hAnsi="Courier New"/>
          <w:sz w:val="20"/>
        </w:rPr>
        <w:t>_RR_NAMES   = ["rr_pre","rr_post","rr_ratio",</w:t>
      </w:r>
    </w:p>
    <w:p>
      <w:pPr>
        <w:spacing w:line="240" w:lineRule="auto" w:after="0"/>
        <w:ind w:firstLine="0"/>
      </w:pPr>
      <w:r>
        <w:rPr>
          <w:rFonts w:ascii="Courier New" w:hAnsi="Courier New"/>
          <w:sz w:val="20"/>
        </w:rPr>
        <w:t xml:space="preserve">               "rr_local_mean","rr_local_std"]</w:t>
      </w:r>
    </w:p>
    <w:p>
      <w:pPr>
        <w:spacing w:line="240" w:lineRule="auto" w:after="0"/>
        <w:ind w:firstLine="0"/>
      </w:pPr>
      <w:r>
        <w:rPr>
          <w:rFonts w:ascii="Courier New" w:hAnsi="Courier New"/>
          <w:sz w:val="20"/>
        </w:rPr>
        <w:t>_MORPH_NAMES = ["qrs_width","r_amp","qrs_area","r_slope_pre",</w:t>
      </w:r>
    </w:p>
    <w:p>
      <w:pPr>
        <w:spacing w:line="240" w:lineRule="auto" w:after="0"/>
        <w:ind w:firstLine="0"/>
      </w:pPr>
      <w:r>
        <w:rPr>
          <w:rFonts w:ascii="Courier New" w:hAnsi="Courier New"/>
          <w:sz w:val="20"/>
        </w:rPr>
        <w:t xml:space="preserve">               "r_slope_post","p_zone_energy","t_zone_energy",</w:t>
      </w:r>
    </w:p>
    <w:p>
      <w:pPr>
        <w:spacing w:line="240" w:lineRule="auto" w:after="0"/>
        <w:ind w:firstLine="0"/>
      </w:pPr>
      <w:r>
        <w:rPr>
          <w:rFonts w:ascii="Courier New" w:hAnsi="Courier New"/>
          <w:sz w:val="20"/>
        </w:rPr>
        <w:t xml:space="preserve">               "pt_ratio"]</w:t>
      </w:r>
    </w:p>
    <w:p>
      <w:pPr>
        <w:spacing w:line="240" w:lineRule="auto" w:after="0"/>
        <w:ind w:firstLine="0"/>
      </w:pPr>
      <w:r>
        <w:rPr>
          <w:rFonts w:ascii="Courier New" w:hAnsi="Courier New"/>
          <w:sz w:val="20"/>
        </w:rPr>
        <w:t>_STAT_NAMES = ["mean","std","skew","kurtosis","energy","zcr","ptp"]</w:t>
      </w:r>
    </w:p>
    <w:p>
      <w:pPr>
        <w:spacing w:line="240" w:lineRule="auto" w:after="0"/>
        <w:ind w:firstLine="0"/>
      </w:pPr>
      <w:r>
        <w:rPr>
          <w:rFonts w:ascii="Courier New" w:hAnsi="Courier New"/>
          <w:sz w:val="20"/>
        </w:rPr>
        <w:t>_WAVELET_NAMES = [f"wv{lvl}_{s}" for lvl in range(5)</w:t>
      </w:r>
    </w:p>
    <w:p>
      <w:pPr>
        <w:spacing w:line="240" w:lineRule="auto" w:after="0"/>
        <w:ind w:firstLine="0"/>
      </w:pPr>
      <w:r>
        <w:rPr>
          <w:rFonts w:ascii="Courier New" w:hAnsi="Courier New"/>
          <w:sz w:val="20"/>
        </w:rPr>
        <w:t xml:space="preserve">                  for s in ("mean","std","energy")]</w:t>
      </w:r>
    </w:p>
    <w:p>
      <w:pPr>
        <w:spacing w:before="120"/>
        <w:ind w:firstLine="0"/>
      </w:pPr>
      <w:r>
        <w:rPr>
          <w:rFonts w:ascii="Times New Roman" w:hAnsi="Times New Roman"/>
          <w:b/>
          <w:sz w:val="28"/>
        </w:rPr>
        <w:t>А.4 Двопотоковий гібридний класифікатор (ekg/models/hybrid.py)</w:t>
      </w:r>
    </w:p>
    <w:p>
      <w:pPr>
        <w:spacing w:line="240" w:lineRule="auto" w:after="0"/>
        <w:ind w:firstLine="0"/>
      </w:pPr>
      <w:r>
        <w:rPr>
          <w:rFonts w:ascii="Courier New" w:hAnsi="Courier New"/>
          <w:sz w:val="20"/>
        </w:rPr>
        <w:t>class HybridDualStreamClassifier(BaseClassifier):</w:t>
      </w:r>
    </w:p>
    <w:p>
      <w:pPr>
        <w:spacing w:line="240" w:lineRule="auto" w:after="0"/>
        <w:ind w:firstLine="0"/>
      </w:pPr>
      <w:r>
        <w:rPr>
          <w:rFonts w:ascii="Courier New" w:hAnsi="Courier New"/>
          <w:sz w:val="20"/>
        </w:rPr>
        <w:t xml:space="preserve">    name = "hybrid"</w:t>
      </w:r>
    </w:p>
    <w:p>
      <w:pPr>
        <w:spacing w:line="240" w:lineRule="auto" w:after="0"/>
        <w:ind w:firstLine="0"/>
      </w:pPr>
      <w:r>
        <w:rPr>
          <w:rFonts w:ascii="Courier New" w:hAnsi="Courier New"/>
          <w:sz w:val="20"/>
        </w:rPr>
        <w:t xml:space="preserve">    # 1) K-fold out-of-fold імовірності двох базових моделей</w:t>
      </w:r>
    </w:p>
    <w:p>
      <w:pPr>
        <w:spacing w:line="240" w:lineRule="auto" w:after="0"/>
        <w:ind w:firstLine="0"/>
      </w:pPr>
      <w:r>
        <w:rPr>
          <w:rFonts w:ascii="Courier New" w:hAnsi="Courier New"/>
          <w:sz w:val="20"/>
        </w:rPr>
        <w:t xml:space="preserve">    # 2) логістична регресія як мета-класифікатор</w:t>
      </w:r>
    </w:p>
    <w:p>
      <w:pPr>
        <w:spacing w:line="240" w:lineRule="auto" w:after="0"/>
        <w:ind w:firstLine="0"/>
      </w:pPr>
      <w:r>
        <w:rPr>
          <w:rFonts w:ascii="Courier New" w:hAnsi="Courier New"/>
          <w:sz w:val="20"/>
        </w:rPr>
        <w:t xml:space="preserve">    # 3) перенавчання базових моделей на всій вибірці</w:t>
      </w:r>
    </w:p>
    <w:p>
      <w:pPr>
        <w:pStyle w:val="Heading1"/>
        <w:pageBreakBefore/>
        <w:ind w:firstLine="0"/>
        <w:jc w:val="center"/>
      </w:pPr>
      <w:r>
        <w:rPr>
          <w:rFonts w:ascii="Times New Roman" w:hAnsi="Times New Roman" w:cs="Times New Roman"/>
          <w:b/>
          <w:color w:val="000000"/>
          <w:sz w:val="28"/>
        </w:rPr>
        <w:t>ДОДАТОК Б</w:t>
      </w:r>
      <w:r>
        <w:br/>
      </w:r>
      <w:r>
        <w:rPr>
          <w:rFonts w:ascii="Times New Roman" w:hAnsi="Times New Roman" w:cs="Times New Roman"/>
          <w:b/>
          <w:color w:val="000000"/>
          <w:sz w:val="28"/>
        </w:rPr>
        <w:t>Додаткові матриці невідповідностей</w:t>
      </w:r>
    </w:p>
    <w:p>
      <w:pPr>
        <w:spacing w:line="360" w:lineRule="auto" w:after="0"/>
        <w:ind w:firstLine="720"/>
        <w:jc w:val="both"/>
      </w:pPr>
      <w:r>
        <w:rPr>
          <w:rFonts w:ascii="Times New Roman" w:hAnsi="Times New Roman" w:cs="Times New Roman"/>
          <w:b w:val="0"/>
          <w:i w:val="0"/>
          <w:sz w:val="28"/>
        </w:rPr>
        <w:t>Для повноти на рисунках Б.1–Б.5 наведено матриці невідповідностей решти моделей.</w:t>
      </w:r>
    </w:p>
    <w:p>
      <w:pPr>
        <w:keepNext/>
        <w:spacing w:before="120"/>
        <w:ind w:firstLine="0"/>
        <w:jc w:val="center"/>
      </w:pPr>
      <w:r>
        <w:drawing>
          <wp:inline xmlns:a="http://schemas.openxmlformats.org/drawingml/2006/main" xmlns:pic="http://schemas.openxmlformats.org/drawingml/2006/picture">
            <wp:extent cx="3780000" cy="3402000"/>
            <wp:docPr id="17" name="Picture 17"/>
            <wp:cNvGraphicFramePr>
              <a:graphicFrameLocks noChangeAspect="1"/>
            </wp:cNvGraphicFramePr>
            <a:graphic>
              <a:graphicData uri="http://schemas.openxmlformats.org/drawingml/2006/picture">
                <pic:pic>
                  <pic:nvPicPr>
                    <pic:cNvPr id="0" name="confusion_svm.png"/>
                    <pic:cNvPicPr/>
                  </pic:nvPicPr>
                  <pic:blipFill>
                    <a:blip r:embed="rId27"/>
                    <a:stretch>
                      <a:fillRect/>
                    </a:stretch>
                  </pic:blipFill>
                  <pic:spPr>
                    <a:xfrm>
                      <a:off x="0" y="0"/>
                      <a:ext cx="3780000" cy="3402000"/>
                    </a:xfrm>
                    <a:prstGeom prst="rect"/>
                  </pic:spPr>
                </pic:pic>
              </a:graphicData>
            </a:graphic>
          </wp:inline>
        </w:drawing>
      </w:r>
    </w:p>
    <w:p>
      <w:pPr>
        <w:spacing w:after="160"/>
        <w:ind w:firstLine="0"/>
        <w:jc w:val="center"/>
      </w:pPr>
      <w:r>
        <w:rPr>
          <w:rFonts w:ascii="Times New Roman" w:hAnsi="Times New Roman" w:cs="Times New Roman"/>
          <w:sz w:val="28"/>
        </w:rPr>
        <w:t>Рисунок Б.1 — Метод опорних векторів (одне відведення)</w:t>
      </w:r>
    </w:p>
    <w:p>
      <w:pPr>
        <w:keepNext/>
        <w:spacing w:before="120"/>
        <w:ind w:firstLine="0"/>
        <w:jc w:val="center"/>
      </w:pPr>
      <w:r>
        <w:drawing>
          <wp:inline xmlns:a="http://schemas.openxmlformats.org/drawingml/2006/main" xmlns:pic="http://schemas.openxmlformats.org/drawingml/2006/picture">
            <wp:extent cx="3780000" cy="3402000"/>
            <wp:docPr id="18" name="Picture 18"/>
            <wp:cNvGraphicFramePr>
              <a:graphicFrameLocks noChangeAspect="1"/>
            </wp:cNvGraphicFramePr>
            <a:graphic>
              <a:graphicData uri="http://schemas.openxmlformats.org/drawingml/2006/picture">
                <pic:pic>
                  <pic:nvPicPr>
                    <pic:cNvPr id="0" name="confusion_random_forest.png"/>
                    <pic:cNvPicPr/>
                  </pic:nvPicPr>
                  <pic:blipFill>
                    <a:blip r:embed="rId28"/>
                    <a:stretch>
                      <a:fillRect/>
                    </a:stretch>
                  </pic:blipFill>
                  <pic:spPr>
                    <a:xfrm>
                      <a:off x="0" y="0"/>
                      <a:ext cx="3780000" cy="3402000"/>
                    </a:xfrm>
                    <a:prstGeom prst="rect"/>
                  </pic:spPr>
                </pic:pic>
              </a:graphicData>
            </a:graphic>
          </wp:inline>
        </w:drawing>
      </w:r>
    </w:p>
    <w:p>
      <w:pPr>
        <w:spacing w:after="160"/>
        <w:ind w:firstLine="0"/>
        <w:jc w:val="center"/>
      </w:pPr>
      <w:r>
        <w:rPr>
          <w:rFonts w:ascii="Times New Roman" w:hAnsi="Times New Roman" w:cs="Times New Roman"/>
          <w:sz w:val="28"/>
        </w:rPr>
        <w:t>Рисунок Б.2 — Випадковий ліс (одне відведення)</w:t>
      </w:r>
    </w:p>
    <w:p>
      <w:pPr>
        <w:keepNext/>
        <w:spacing w:before="120"/>
        <w:ind w:firstLine="0"/>
        <w:jc w:val="center"/>
      </w:pPr>
      <w:r>
        <w:drawing>
          <wp:inline xmlns:a="http://schemas.openxmlformats.org/drawingml/2006/main" xmlns:pic="http://schemas.openxmlformats.org/drawingml/2006/picture">
            <wp:extent cx="3780000" cy="3402000"/>
            <wp:docPr id="19" name="Picture 19"/>
            <wp:cNvGraphicFramePr>
              <a:graphicFrameLocks noChangeAspect="1"/>
            </wp:cNvGraphicFramePr>
            <a:graphic>
              <a:graphicData uri="http://schemas.openxmlformats.org/drawingml/2006/picture">
                <pic:pic>
                  <pic:nvPicPr>
                    <pic:cNvPr id="0" name="confusion_cnn.png"/>
                    <pic:cNvPicPr/>
                  </pic:nvPicPr>
                  <pic:blipFill>
                    <a:blip r:embed="rId29"/>
                    <a:stretch>
                      <a:fillRect/>
                    </a:stretch>
                  </pic:blipFill>
                  <pic:spPr>
                    <a:xfrm>
                      <a:off x="0" y="0"/>
                      <a:ext cx="3780000" cy="3402000"/>
                    </a:xfrm>
                    <a:prstGeom prst="rect"/>
                  </pic:spPr>
                </pic:pic>
              </a:graphicData>
            </a:graphic>
          </wp:inline>
        </w:drawing>
      </w:r>
    </w:p>
    <w:p>
      <w:pPr>
        <w:spacing w:after="160"/>
        <w:ind w:firstLine="0"/>
        <w:jc w:val="center"/>
      </w:pPr>
      <w:r>
        <w:rPr>
          <w:rFonts w:ascii="Times New Roman" w:hAnsi="Times New Roman" w:cs="Times New Roman"/>
          <w:sz w:val="28"/>
        </w:rPr>
        <w:t>Рисунок Б.3 — Одновимірна згорткова мережа (одне відведення)</w:t>
      </w:r>
    </w:p>
    <w:p>
      <w:pPr>
        <w:keepNext/>
        <w:spacing w:before="120"/>
        <w:ind w:firstLine="0"/>
        <w:jc w:val="center"/>
      </w:pPr>
      <w:r>
        <w:drawing>
          <wp:inline xmlns:a="http://schemas.openxmlformats.org/drawingml/2006/main" xmlns:pic="http://schemas.openxmlformats.org/drawingml/2006/picture">
            <wp:extent cx="3780000" cy="3402000"/>
            <wp:docPr id="20" name="Picture 20"/>
            <wp:cNvGraphicFramePr>
              <a:graphicFrameLocks noChangeAspect="1"/>
            </wp:cNvGraphicFramePr>
            <a:graphic>
              <a:graphicData uri="http://schemas.openxmlformats.org/drawingml/2006/picture">
                <pic:pic>
                  <pic:nvPicPr>
                    <pic:cNvPr id="0" name="confusion_hybrid.png"/>
                    <pic:cNvPicPr/>
                  </pic:nvPicPr>
                  <pic:blipFill>
                    <a:blip r:embed="rId30"/>
                    <a:stretch>
                      <a:fillRect/>
                    </a:stretch>
                  </pic:blipFill>
                  <pic:spPr>
                    <a:xfrm>
                      <a:off x="0" y="0"/>
                      <a:ext cx="3780000" cy="3402000"/>
                    </a:xfrm>
                    <a:prstGeom prst="rect"/>
                  </pic:spPr>
                </pic:pic>
              </a:graphicData>
            </a:graphic>
          </wp:inline>
        </w:drawing>
      </w:r>
    </w:p>
    <w:p>
      <w:pPr>
        <w:spacing w:after="160"/>
        <w:ind w:firstLine="0"/>
        <w:jc w:val="center"/>
      </w:pPr>
      <w:r>
        <w:rPr>
          <w:rFonts w:ascii="Times New Roman" w:hAnsi="Times New Roman" w:cs="Times New Roman"/>
          <w:sz w:val="28"/>
        </w:rPr>
        <w:t>Рисунок Б.4 — Гібридний класифікатор (одне відведення)</w:t>
      </w:r>
    </w:p>
    <w:p>
      <w:pPr>
        <w:keepNext/>
        <w:spacing w:before="120"/>
        <w:ind w:firstLine="0"/>
        <w:jc w:val="center"/>
      </w:pPr>
      <w:r>
        <w:drawing>
          <wp:inline xmlns:a="http://schemas.openxmlformats.org/drawingml/2006/main" xmlns:pic="http://schemas.openxmlformats.org/drawingml/2006/picture">
            <wp:extent cx="3780000" cy="3402000"/>
            <wp:docPr id="21" name="Picture 21"/>
            <wp:cNvGraphicFramePr>
              <a:graphicFrameLocks noChangeAspect="1"/>
            </wp:cNvGraphicFramePr>
            <a:graphic>
              <a:graphicData uri="http://schemas.openxmlformats.org/drawingml/2006/picture">
                <pic:pic>
                  <pic:nvPicPr>
                    <pic:cNvPr id="0" name="confusion_xgboost_2lead.png"/>
                    <pic:cNvPicPr/>
                  </pic:nvPicPr>
                  <pic:blipFill>
                    <a:blip r:embed="rId31"/>
                    <a:stretch>
                      <a:fillRect/>
                    </a:stretch>
                  </pic:blipFill>
                  <pic:spPr>
                    <a:xfrm>
                      <a:off x="0" y="0"/>
                      <a:ext cx="3780000" cy="3402000"/>
                    </a:xfrm>
                    <a:prstGeom prst="rect"/>
                  </pic:spPr>
                </pic:pic>
              </a:graphicData>
            </a:graphic>
          </wp:inline>
        </w:drawing>
      </w:r>
    </w:p>
    <w:p>
      <w:pPr>
        <w:spacing w:after="160"/>
        <w:ind w:firstLine="0"/>
        <w:jc w:val="center"/>
      </w:pPr>
      <w:r>
        <w:rPr>
          <w:rFonts w:ascii="Times New Roman" w:hAnsi="Times New Roman" w:cs="Times New Roman"/>
          <w:sz w:val="28"/>
        </w:rPr>
        <w:t>Рисунок Б.5 — XGBoost (два відведення)</w:t>
      </w:r>
    </w:p>
    <w:sectPr w:rsidR="00FC693F" w:rsidRPr="0006063C" w:rsidSect="00034616">
      <w:headerReference w:type="first" r:id="rId9"/>
      <w:headerReference w:type="default" r:id="rId10"/>
      <w:pgSz w:w="11906" w:h="16838"/>
      <w:pgMar w:top="1134" w:right="56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20"/>
      <w:jc w:val="both"/>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outlineLvl w:val="0"/>
    </w:pPr>
    <w:rPr>
      <w:rFonts w:asciiTheme="majorHAnsi" w:eastAsiaTheme="majorEastAsia" w:hAnsiTheme="majorHAnsi" w:cstheme="majorBidi" w:ascii="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240" w:line="360" w:lineRule="auto"/>
      <w:outlineLvl w:val="1"/>
    </w:pPr>
    <w:rPr>
      <w:rFonts w:asciiTheme="majorHAnsi" w:eastAsiaTheme="majorEastAsia" w:hAnsiTheme="majorHAnsi" w:cstheme="majorBidi"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240" w:line="360" w:lineRule="auto"/>
      <w:outlineLvl w:val="2"/>
    </w:pPr>
    <w:rPr>
      <w:rFonts w:asciiTheme="majorHAnsi" w:eastAsiaTheme="majorEastAsia" w:hAnsiTheme="majorHAnsi" w:cstheme="majorBidi" w:ascii="Times New Roman" w:hAnsi="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