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Текст доповіді на захист і можливі запитання</w:t>
      </w:r>
    </w:p>
    <w:p>
      <w:pPr>
        <w:jc w:val="center"/>
      </w:pPr>
      <w:r>
        <w:rPr>
          <w:rFonts w:ascii="Times New Roman" w:hAnsi="Times New Roman"/>
          <w:i/>
          <w:sz w:val="26"/>
        </w:rPr>
        <w:t>Кваліфікаційна робота бакалавра. Макаренко В. А., група ТК-41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Орієнтовна тривалість доповіді — до 10 хвилин (приблизно 1100 слів). Позначки [Слайд N] вказують момент перемикання слайдів.</w:t>
      </w:r>
    </w:p>
    <w:p>
      <w:pPr>
        <w:spacing w:before="200"/>
      </w:pPr>
      <w:r>
        <w:rPr>
          <w:rFonts w:ascii="Times New Roman" w:hAnsi="Times New Roman"/>
          <w:b/>
          <w:color w:val="19407A"/>
          <w:sz w:val="32"/>
        </w:rPr>
        <w:t>Доповідь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1]  </w:t>
      </w:r>
      <w:r>
        <w:rPr>
          <w:rFonts w:ascii="Times New Roman" w:hAnsi="Times New Roman"/>
          <w:sz w:val="28"/>
        </w:rPr>
        <w:t>Шановний голово та члени екзаменаційної комісії! Вашій увазі пропонується кваліфікаційна робота на тему «Уніфікована система обробки та класифікації ЕКГ-сигналів різних форматів з використанням методів машинного навчання». Її виконав студент групи ТК-41 Макаренко Вадим, науковий керівник — професор Крак Юрій Васильович.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2]  </w:t>
      </w:r>
      <w:r>
        <w:rPr>
          <w:rFonts w:ascii="Times New Roman" w:hAnsi="Times New Roman"/>
          <w:sz w:val="28"/>
        </w:rPr>
        <w:t>Ця робота є прямим продовженням моєї курсової. У курсовій було створено уніфікований парсер форматів ЕКГ, ансамблевий детектор R-піків та модулі морфологічного аналізу й аналізу варіабельності ритму. Проте класифікація аритмій там трималася лише на правилах — фіксованих порогах. Такий підхід прозорий, але погано працює на нетипових формах і не дає кількісної оцінки за стандартним протоколом. Тому головне завдання диплома — замінити правила повноцінним конвеєром машинного навчання, зберігши вже перевірені компоненти обробки сигналу. Нового тут три речі: конвеєр машинного навчання на базі MIT-BIH, дві наукові новизни та програмні інтерфейси.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3]  </w:t>
      </w:r>
      <w:r>
        <w:rPr>
          <w:rFonts w:ascii="Times New Roman" w:hAnsi="Times New Roman"/>
          <w:sz w:val="28"/>
        </w:rPr>
        <w:t>Актуальність подвійна. По-перше, серцево-судинні захворювання лишаються головною причиною смертності, а холтерівські записи надто великі для ручного аналізу. По-друге, ЕКГ зберігається в десятках несумісних форматів, і алгоритм на практиці має приймати їх усі. Мета роботи — побудувати єдину систему, що приймає ЕКГ різних форматів, зводить їх до спільного подання й класифікує кожне серцеве скорочення методами машинного навчання. І окремо — кількісно довести, що якість класифікації не падає після перетворення між форматами.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4]  </w:t>
      </w:r>
      <w:r>
        <w:rPr>
          <w:rFonts w:ascii="Times New Roman" w:hAnsi="Times New Roman"/>
          <w:sz w:val="28"/>
        </w:rPr>
        <w:t>Експерименти проведено на еталонній базі MIT-BIH: 48 записів, частота 360 герц, два відведення. Усі типи скорочень згруповано у п’ять класів за стандартом AAMI. Принципово важливий момент — поділ даних. Я використав чесний міжпацієнтний поділ де Шазаля: пацієнти навчальної й тестової вибірок не перетинаються. Це дає реальну оцінку узагальнюваності, а не запам’ятовування ритму конкретного пацієнта, і саме тому числа нижчі, ніж у роботах із випадковим поділом. Дані сильно незбалансовані — близько дев’яноста відсотків це норма, тому головною метрикою я обрав macro-F1, а не загальну точність.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5]  </w:t>
      </w:r>
      <w:r>
        <w:rPr>
          <w:rFonts w:ascii="Times New Roman" w:hAnsi="Times New Roman"/>
          <w:sz w:val="28"/>
        </w:rPr>
        <w:t>Систему оформлено як модульний пакет. Будь-який вхідний формат зводиться до спільного проміжного подання у форматі XML, і всі подальші модулі працюють лише з ним — щоб додати новий формат, достатньо одного перетворювача. Компоненти обробки сигналу повторно використано з курсової роботи. Доступ до системи — через REST-API та інтерфейс командного рядка.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6]  </w:t>
      </w:r>
      <w:r>
        <w:rPr>
          <w:rFonts w:ascii="Times New Roman" w:hAnsi="Times New Roman"/>
          <w:sz w:val="28"/>
        </w:rPr>
        <w:t>Для кожного скорочення вирізається вікно у 260 відліків навколо R-піка й нормалізується. З нього формується вектор із 35 ознак: інтервали RR, морфологія QRS, статистика та вейвлет-коефіцієнти. На цих ознаках навчаються класичні моделі — XGBoost, випадковий ліс і метод опорних векторів. Паралельно глибокі моделі працюють із сирим сигналом. Стара класифікація на основі правил залишена як базова лінія.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7]  </w:t>
      </w:r>
      <w:r>
        <w:rPr>
          <w:rFonts w:ascii="Times New Roman" w:hAnsi="Times New Roman"/>
          <w:sz w:val="28"/>
        </w:rPr>
        <w:t>Перша новизна — двопотоковий гібридний класифікатор. Ідея в пізньому злитті: один потік — це XGBoost над ручними ознаками, другий — згорткова мережа над сирим сигналом. Кожен повертає ймовірності п’яти класів, а невеликий мета-класифікатор навчається їх поєднувати. Навіщо це? Бо ознаки RR добре розрізняють ритмічні класи, а згортка — форму скорочення; потоки доповнюють один одного. Щоб уникнути перенавчання, ймовірності для мета-класифікатора отримано поза навчанням, за схемою стекового узагальнення.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8]  </w:t>
      </w:r>
      <w:r>
        <w:rPr>
          <w:rFonts w:ascii="Times New Roman" w:hAnsi="Times New Roman"/>
          <w:sz w:val="28"/>
        </w:rPr>
        <w:t>Друга новизна — бенчмарк багатоформатної стійкості. Логіка проста: я класифікую нативний запис, потім конвертую його у CSV та EDF, знову зчитую через спільне подання, знову класифікую — і міряю, яка частка міток збіглася. Це важливо, бо слово «багатоформатна» в назві має сенс лише тоді, коли якість не падає після конвертації, а майже жодна робота цього не перевіряє. Результат: для CSV узгодженість міток сто відсотків, для EDF — не менше дев’яноста дев’яти й трьох десятих відсотка, тобто фактично без втрат.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9]  </w:t>
      </w:r>
      <w:r>
        <w:rPr>
          <w:rFonts w:ascii="Times New Roman" w:hAnsi="Times New Roman"/>
          <w:sz w:val="28"/>
        </w:rPr>
        <w:t>Тепер результати. Найкращою моделлю виявився метод опорних векторів на двох відведеннях: macro-F1 нуль ціла чотириста шістдесят шість, що відповідає рівню опублікованих результатів для цього протоколу. Хочу окремо звернути увагу: загальна точність оманлива. Випадковий ліс має найвищу точність — нуль ціла дев’яносто три, але macro-F1 лише нуль ціла тридцять сім, бо він майже завжди передбачає норму й не виявляє патологій. Саме тому accuracy не можна брати головною метрикою.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10]  </w:t>
      </w:r>
      <w:r>
        <w:rPr>
          <w:rFonts w:ascii="Times New Roman" w:hAnsi="Times New Roman"/>
          <w:sz w:val="28"/>
        </w:rPr>
        <w:t>Найбільший приріст дало друге відведення, особливо за рідкісними класами. Щодо гібрида буду чесним: він не перевершує метод опорних векторів за збалансованими метриками, але його повнота за зливними скороченнями нуль ціла вісімдесят дев’ять перевищує обидва власні потоки — у XGBoost це нуль ціла вісімдесят два, а в самої згорткової мережі лише нуль ціла нуль сім. Тобто пізнє злиття відновлює корисний внесок слабкої мережі й майже наздоганяє найкращу модель. А бенчмарк форматів підтвердив: CSV без втрат, EDF — у межах шуму квантування.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11]  </w:t>
      </w:r>
      <w:r>
        <w:rPr>
          <w:rFonts w:ascii="Times New Roman" w:hAnsi="Times New Roman"/>
          <w:sz w:val="28"/>
        </w:rPr>
        <w:t>Підсумую. Створено конвеєр машинного навчання на MIT-BIH за міжпацієнтним протоколом, навчено й порівняно сім моделей, найкраща дає macro-F1 нуль ціла чотириста шістдесят шість. Запропоновано гібридний класифікатор і бенчмарк багатоформатної стійкості, систему доповнено REST-API та командним рядком. Практична цінність — скринінг аритмій, телемедицина та єдиний вхід для різних форматів. Подальший розвиток — навчання на відеокарті з аугментацією, перехід до дванадцяти відведень і розширення бенчмарку.</w:t>
      </w:r>
    </w:p>
    <w:p>
      <w:pPr>
        <w:spacing w:before="160"/>
        <w:jc w:val="both"/>
      </w:pPr>
      <w:r>
        <w:rPr>
          <w:rFonts w:ascii="Times New Roman" w:hAnsi="Times New Roman"/>
          <w:b/>
          <w:color w:val="B03030"/>
          <w:sz w:val="26"/>
        </w:rPr>
        <w:t xml:space="preserve">[Слайд 12]  </w:t>
      </w:r>
      <w:r>
        <w:rPr>
          <w:rFonts w:ascii="Times New Roman" w:hAnsi="Times New Roman"/>
          <w:sz w:val="28"/>
        </w:rPr>
        <w:t>Дякую за увагу! Готовий відповісти на запитання.</w:t>
      </w:r>
    </w:p>
    <w:p>
      <w:r>
        <w:br w:type="page"/>
      </w:r>
    </w:p>
    <w:p>
      <w:pPr>
        <w:spacing w:before="200"/>
      </w:pPr>
      <w:r>
        <w:rPr>
          <w:rFonts w:ascii="Times New Roman" w:hAnsi="Times New Roman"/>
          <w:b/>
          <w:color w:val="19407A"/>
          <w:sz w:val="32"/>
        </w:rPr>
        <w:t>Можливі запитання та відповіді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Чому показники (macro-F1 близько 0,47) такі невисокі — це нормально?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Так, для обраного протоколу це очікувано. Я використав міжпацієнтний поділ де Шазаля — найскладніший і найчесніший. На ньому опубліковані роботи дають macro-F1 у межах 0,42–0,50. Роботи, де заявляють 95–99 % точності, користуються випадковим або внутрішньопацієнтним поділом, у якому удари того самого пацієнта є і в навчанні, і в тесті; це штучно завищує оцінку. Мої числа реалістичні й порівнянні з літературою.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Чому головна метрика — macro-F1, а не точність (accuracy)?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Через сильну незбалансованість: близько 90 % ударів — норма. Класифікатор, що завжди передбачає «норму», має 90 % точності, але не виявляє жодної патології. macro-F1 усереднює якість за класами з однаковою вагою, тому карає модель за ігнорування рідкісних класів. У роботі це прямо видно: випадковий ліс має найвищу точність, але один із гірших macro-F1.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У чому полягає новизна гібрида, якщо він не найкращий?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Новизна насамперед методологічна: я запропонував і строго оцінив двопотокове пізнє злиття в межах цієї системи. Емпіричний результат теж цінний і чесний: злиття піднімає повноту за зливними скороченнями вище за обидва базові потоки — 0,89 проти 0,82 у XGBoost і 0,07 у згорткової мережі. Те, що сильні ручні ознаки з методом опорних векторів не вдалося перевершити, — це теж інформативний науковий висновок про цей протокол.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Чому глибокі мережі гірші за класичні моделі?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Три причини: навчання на процесорі обмеженою кількістю епох, лише одне-два відведення та відсутність аугментації даних. На потужному залізі згорткові мережі підтягуються; у літературі глибокі моделі дають близько 93 %, але на пом’якшеному поділі на рівні ударів. На строгому міжпацієнтному протоколі з сильними ручними ознаками класичні методи виграють — це відома закономірність.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Чому саме п’ять класів?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Це стандарт ANSI/AAMI EC57. Пряме розрізнення всіх шістнадцяти типів MIT-BIH непрактичне через незбалансованість і клінічну близькість типів; п’ять суперкласів — загальноприйнята схема, яка дає змогу коректно порівнюватися з літературою.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Ви детектуєте R-піки чи берете їх із розмітки бази?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Для експериментів на MIT-BIH я беру анотовані R-піки з бази — це стандартна практика, яка відокремлює якість класифікації від похибок детекції. Ансамблевий детектор (Пан-Томпкінс, адаптивний поріг і вейвлет-аналіз) застосовується тоді, коли на вхід надходить файл без розмітки — через REST-API чи командний рядок.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Що таке «пізнє злиття» і чим воно краще за «раннє»?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Раннє злиття об’єднує ознаки до класифікації, пізнє — об’єднує вже вихідні ймовірності окремо навчених моделей. Пізнє дешевше, бо потоки навчаються незалежно, стійкіше до перенавчання й дозволяє мета-класифікатору по-різному довіряти потокам для різних класів.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Як працює бенчмарк багатоформатної стійкості?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Прогноз на нативному записі WFDB беремо за еталон. Далі той самий сигнал експортуємо у CSV або EDF, повторно зчитуємо через спільне XML-подання й знову класифікуємо. Порівнюємо частку міток, що збіглися, і середню різницю сигналу. CSV відновлюється точно, EDF — у межах 16-бітного квантування, тому класифікація фактично не змінюється.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Чому метод опорних векторів виявився кращим за нейромережу?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На міжпацієнтному MIT-BIH із сильними ручними ознаками, особливо інтервалами RR, метод опорних векторів із радіальним ядром краще використовує структуру класів, ніж недонавчені глибокі моделі. Це узгоджується з висновками літератури для цього протоколу.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Чи можна застосовувати систему в клініці?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Як інструмент скринінгу — так: для попереднього сортування записів і привернення уваги лікаря. Як самостійний діагностичний засіб — ні: для цього потрібні валідація на більших клінічних базах і відповідна сертифікація. Хибні тривоги дешево переглянути, а пропуск патології — небезпечний, тому система налаштована на чутливість.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Чим диплом відрізняється від курсової роботи?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Курсова — це обробка сигналу й класифікація на правилах. Диплом додає машинне навчання, строгий протокол оцінювання, дві новизни — гібридний класифікатор і бенчмарк форматів — та програмні інтерфейси. Компоненти обробки сигналу повторно використано, щоб не дублювати вже зроблене.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Що з класом Q (невизначені)?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Він майже відсутній у даних — лише вісім ударів у навчальній вибірці, тому його метрики статистично ненадійні. Я свідомо зосередився на класах N, S, V і F, які мають клінічне значення й достатню кількість прикладів.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Чому вікно саме 260 відліків?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Це приблизно 722 мілісекунди за частоти 360 герц — повний цикл від зубця P до зубця T. Беру 90 відліків до R-піка й 170 після, бо діагностично важливі зубець T і сегмент ST розташовані після комплексу QRS.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Які технології використано?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Мова Python і бібліотеки NumPy, SciPy, scikit-learn, XGBoost, PyTorch, PyWavelets, wfdb, pyedflib, pydicom та FastAPI.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 xml:space="preserve">Питання. </w:t>
      </w:r>
      <w:r>
        <w:rPr>
          <w:rFonts w:ascii="Times New Roman" w:hAnsi="Times New Roman"/>
          <w:b/>
          <w:sz w:val="28"/>
        </w:rPr>
        <w:t>Як забезпечено відтворюваність результатів?</w:t>
      </w:r>
    </w:p>
    <w:p>
      <w:pPr>
        <w:jc w:val="both"/>
      </w:pPr>
      <w:r>
        <w:rPr>
          <w:rFonts w:ascii="Times New Roman" w:hAnsi="Times New Roman"/>
          <w:i/>
          <w:sz w:val="28"/>
        </w:rPr>
        <w:t xml:space="preserve">Відповідь. </w:t>
      </w:r>
      <w:r>
        <w:rPr>
          <w:rFonts w:ascii="Times New Roman" w:hAnsi="Times New Roman"/>
          <w:sz w:val="28"/>
        </w:rPr>
        <w:t>Усі етапи — завантаження даних, навчання, оцінювання, бенчмарк і побудова рисунків — запускаються сценаріями репозиторію. Числа в таблицях роботи відповідають збереженим звітам у форматі 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