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9900ff"/>
        </w:rPr>
      </w:pPr>
      <w:hyperlink r:id="rId6">
        <w:r w:rsidDel="00000000" w:rsidR="00000000" w:rsidRPr="00000000">
          <w:rPr>
            <w:color w:val="1a0dab"/>
            <w:sz w:val="30"/>
            <w:szCs w:val="30"/>
            <w:highlight w:val="white"/>
            <w:u w:val="single"/>
            <w:rtl w:val="0"/>
          </w:rPr>
          <w:t xml:space="preserve">WILKE, Natalia - CIQUIBIC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Breve explicación y motivación del problema: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La microscopía óptica de transmisión permite observar células y vesículas sin tener que modificarlas con moléculas fluorescentes, como es el caso de la microscopía confocal.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Para mejorar el contraste de la imágen, se puede utilizar Interferencia diferencial de contraste (DIC, por sus siglas en inglés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Differential interference contrast) o contraste de fase (PC, </w:t>
      </w:r>
      <w:r w:rsidDel="00000000" w:rsidR="00000000" w:rsidRPr="00000000">
        <w:rPr>
          <w:rtl w:val="0"/>
        </w:rPr>
        <w:t xml:space="preserve">por sus siglas en inglés Phase Contrast).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 xml:space="preserve">Si se cuenta con una cámara de rápida adquisición y guardado de imágenes es posible obtener datos de procesos dinámicos de mejor calidad que empleando microscopía confocal, la cual es de barrido.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Sin embargo, el análisis de las imágenes es más complejo que en el caso de imágenes confocales.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 xml:space="preserve">En particular, nos interesa detectar el borde de vesículas gigantes (entre de 5-20 micrómetros de diámetro), y poder seguir este contorno en el tiempo. Esto es un desafío debido a que las vesículas se visualizan claramente al ojo, pero son muy difíciles de binarizar debido a que el contorno no corresponde a un nivel único de gris en toda la vesícula, sino que varía a lo largo de la misma. Lo que se observa es que el borde de la vesícula corresponde a un fuerte gradiente en los niveles de grises,  lo que implica un desafío a nivel de algoritmos que permitan detectar el contorno. 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 xml:space="preserve">Poder detectar el contorno de la vesícula y seguirlo en el tiempo permite conocer la rigidez de la vesícula y como este parámetro puede ser afectado con diferentes estresores a los cuales están sometidas las membranas celulares. Mediante este tipo de estudios podríamos conocer cómo afectan diferentes estresores (como etanol, analgésicos, antibióticos y otros fármacos) la bicapa lipídica que forma parte de la membrana celular, y de esta manera, establecer la sensibilidad de la célula al fármaco.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quibic.fcq.unc.edu.ar/integrantes/wilke-nat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