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240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ROS2 小型四旋翼无人机仿真系统的设计与实现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摘  要</w:t>
      </w:r>
    </w:p>
    <w:p>
      <w:pPr>
        <w:spacing w:after="100"/>
        <w:ind w:firstLine="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本项目完成了一套面向课程实验的小型四旋翼仿真系统。系统运行于 ROS2 Humble，核心动力学、控制器、电机分配器、轨迹、扰动和传感器数学模型集中在 drone_core 中，只依赖 Eigen 与 C++ 标准库。ROS2 节点负责参数装载、消息转换和可视化，地图、点云与规划模块则保留对 ROS2 的直接依赖。这样的边界使控制算法可以脱离通信框架单独构建和测试，也便于以后接入其他中间件或硬件在环环境。系统实现了六自由度刚体动力学、串级几何控制、三维体素 A*、局部点云、故障与风扰注入、多机仿真、RViz2 和 Web 地面站。11 个正式场景全部通过自动阈值验收。悬停稳态误差为 0.0203 m，三组避障实验的最小净空分别为 0.4196 m、0.4136 m和 0.4889 m，均高于 0.30 m 的安全约束。实验表明，这套实现能够在较少外部依赖下形成从模型、控制到规划和评测的完整闭环，同时保留清晰的工程复现路径。</w:t>
      </w:r>
    </w:p>
    <w:p>
      <w:pPr>
        <w:spacing w:after="160"/>
        <w:ind w:firstLine="0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关键词：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四旋翼；ROS2；六自由度动力学；几何控制；三维 A*；仿真评测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1  引言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四旋翼仿真器看起来只是把若干微分方程放进 ROS2 节点，真正实现时却很容易在接口和时间尺度上出问题。电机命令、刚体积分、控制器和可视化具有不同更新频率，任何一个环节的单位或时间戳处理不一致，都会表现为模型闪烁、姿态发散或轨迹无法收敛。因此，本项目没有直接包装现成仓库，而是从状态定义、力矩方向和消息数据链重新搭建仿真闭环，并用可重复的场景逐步验收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课程要求以目标点为输入，以四路电机转速为控制输出，同时给出动力学、地图、避障、可视化和完整说明。项目在此基础上继续实现了风扰、传感器噪声、点云与体素感知、多机、解析轨迹、故障注入、地面站、参数扫描和自动评测。所有加分项都进入统一启动入口和正式实验，而不是作为互不相连的演示脚本存在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设计中最重要的取舍是让算法与 ROS2 解耦。drone_core 内保存动力学、模型控制、mixer、轨迹生成、扰动和噪声模型，只使用 Eigen 与 C++ STL。ROS2 适配层负责 topic、QoS、参数和坐标系。地图和规划需要直接消费 PointCloud2、Marker 与 Path，且这些模块的意义本来就与机器人中间件的数据组织紧密相关，因此允许它们保留 ROS2 依赖。这个边界既符合课程要求，也让核心算法可以用普通 CMake 和 CTest 独立验证。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2  系统总体设计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2.1  模块划分与数据流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0680" cy="3203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203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1  系统节点与主要数据流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系统的数据流可以概括为两个闭环。飞行闭环从任务或轨迹参考进入控制器，经 X 型电机分配和故障注入后驱动动力学，再由传感器模型把真值状态转换为控制器可用的 Odom 与 IMU。导航闭环从静态地图和局部点云出发，三维 A* 输出安全路径与局部目标，随后仍复用同一控制器。RViz2 与 Web 地面站只订阅状态和诊断信息，不参与动力学积分，因此界面退出不会改变实验结果。</w:t>
      </w:r>
    </w:p>
    <w:tbl>
      <w:tblPr>
        <w:tblStyle w:val="TableGrid"/>
        <w:tblW w:type="dxa" w:w="907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450"/>
        <w:gridCol w:w="3750"/>
        <w:gridCol w:w="2450"/>
        <w:gridCol w:w="1420"/>
      </w:tblGrid>
      <w:tr>
        <w:tc>
          <w:tcPr>
            <w:tcW w:type="dxa" w:w="145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环节</w:t>
            </w:r>
          </w:p>
        </w:tc>
        <w:tc>
          <w:tcPr>
            <w:tcW w:type="dxa" w:w="375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主要 ROS2 接口</w:t>
            </w:r>
          </w:p>
        </w:tc>
        <w:tc>
          <w:tcPr>
            <w:tcW w:type="dxa" w:w="245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消息类型</w:t>
            </w:r>
          </w:p>
        </w:tc>
        <w:tc>
          <w:tcPr>
            <w:tcW w:type="dxa" w:w="142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更新频率</w:t>
            </w:r>
          </w:p>
        </w:tc>
      </w:tr>
      <w:tr>
        <w:tc>
          <w:tcPr>
            <w:tcW w:type="dxa" w:w="14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动力学</w:t>
            </w:r>
          </w:p>
        </w:tc>
        <w:tc>
          <w:tcPr>
            <w:tcW w:type="dxa" w:w="37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/drone/motor_rpm_faulted → /drone/odom</w:t>
            </w:r>
          </w:p>
        </w:tc>
        <w:tc>
          <w:tcPr>
            <w:tcW w:type="dxa" w:w="24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MotorRPM / Odometry</w:t>
            </w:r>
          </w:p>
        </w:tc>
        <w:tc>
          <w:tcPr>
            <w:tcW w:type="dxa" w:w="142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约 100 Hz</w:t>
            </w:r>
          </w:p>
        </w:tc>
      </w:tr>
      <w:tr>
        <w:tc>
          <w:tcPr>
            <w:tcW w:type="dxa" w:w="14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控制</w:t>
            </w:r>
          </w:p>
        </w:tc>
        <w:tc>
          <w:tcPr>
            <w:tcW w:type="dxa" w:w="37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/drone/goal、/drone/odom → /drone/motor_rpm_cmd</w:t>
            </w:r>
          </w:p>
        </w:tc>
        <w:tc>
          <w:tcPr>
            <w:tcW w:type="dxa" w:w="24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PoseStamped / MotorRPM</w:t>
            </w:r>
          </w:p>
        </w:tc>
        <w:tc>
          <w:tcPr>
            <w:tcW w:type="dxa" w:w="142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约 100 Hz</w:t>
            </w:r>
          </w:p>
        </w:tc>
      </w:tr>
      <w:tr>
        <w:tc>
          <w:tcPr>
            <w:tcW w:type="dxa" w:w="14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导航</w:t>
            </w:r>
          </w:p>
        </w:tc>
        <w:tc>
          <w:tcPr>
            <w:tcW w:type="dxa" w:w="37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/map/obstacles、/drone/local_points → /drone/planned_path</w:t>
            </w:r>
          </w:p>
        </w:tc>
        <w:tc>
          <w:tcPr>
            <w:tcW w:type="dxa" w:w="24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MarkerArray / PointCloud2 / Path</w:t>
            </w:r>
          </w:p>
        </w:tc>
        <w:tc>
          <w:tcPr>
            <w:tcW w:type="dxa" w:w="142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事件触发与低频</w:t>
            </w:r>
          </w:p>
        </w:tc>
      </w:tr>
      <w:tr>
        <w:tc>
          <w:tcPr>
            <w:tcW w:type="dxa" w:w="14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显示</w:t>
            </w:r>
          </w:p>
        </w:tc>
        <w:tc>
          <w:tcPr>
            <w:tcW w:type="dxa" w:w="37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/tf、/drone/path、/drone/markers</w:t>
            </w:r>
          </w:p>
        </w:tc>
        <w:tc>
          <w:tcPr>
            <w:tcW w:type="dxa" w:w="24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TFMessage / Path / MarkerArray</w:t>
            </w:r>
          </w:p>
        </w:tc>
        <w:tc>
          <w:tcPr>
            <w:tcW w:type="dxa" w:w="142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1～5 Hz</w:t>
            </w:r>
          </w:p>
        </w:tc>
      </w:tr>
    </w:tbl>
    <w:p>
      <w:pPr>
        <w:spacing w:after="0"/>
      </w:pP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1  主要节点接口与频率分工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2.2  工程组织与启动方式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工作区共有 15 个 ROS2 package。drone_msgs 定义电机转速、障碍物与轨迹点消息；drone_dynamics、drone_controller 和 drone_sensors 是核心算法的 ROS2 适配层；drone_map、drone_perception 与 drone_planner 负责环境和安全路径；其余 package 承担多机、故障、可视化、工具、地面站与 launch 编排。根目录的 start_sim.sh 会在脚本内部加载 ROS2 和工作区环境，用户不需要手动 source。若尚未构建，脚本先执行 colcon build，再按 hover、experiment、multi、ground-station 或 panel 模式启动。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3  四旋翼动力学模型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3.1  状态、输入与电机响应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动力学状态由世界系位置 p、速度 v、机体到世界的单位四元数 q、机体系角速度 Ω 以及四个电机实际角速度组成。控制消息以 RPM 表示，进入核心模型前换算为 rad/s。模型默认质量为 1.0 kg，X 型机臂长度为 0.17 m，惯量对角项为 0.02、0.02 和 0.04 kg·m²。电机没有被处理成理想瞬时执行器，而是使用时间常数 τm 的一阶响应。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ωᵢ,k+1 = ωᵢ,k + [1 − exp(−Δt / τm)] (ωᵢ,cmd − ωᵢ,k)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每次更新后都执行上下限裁剪。这样既能避免控制器给出的极端命令进入平方推力模型，也能重现起飞阶段转速建立的短暂过程。默认最大电机角速度为 2300 rad/s，对应约 21963 RPM。理论悬停角速度为 1133.15 rad/s，约 10821 RPM，与实验稳态曲线相符。</w:t>
      </w:r>
    </w:p>
    <w:tbl>
      <w:tblPr>
        <w:tblStyle w:val="TableGrid"/>
        <w:tblW w:type="dxa" w:w="907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1000"/>
        <w:gridCol w:w="3000"/>
        <w:gridCol w:w="3370"/>
      </w:tblGrid>
      <w:tr>
        <w:tc>
          <w:tcPr>
            <w:tcW w:type="dxa" w:w="17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参数</w:t>
            </w:r>
          </w:p>
        </w:tc>
        <w:tc>
          <w:tcPr>
            <w:tcW w:type="dxa" w:w="10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符号</w:t>
            </w:r>
          </w:p>
        </w:tc>
        <w:tc>
          <w:tcPr>
            <w:tcW w:type="dxa" w:w="30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数值</w:t>
            </w:r>
          </w:p>
        </w:tc>
        <w:tc>
          <w:tcPr>
            <w:tcW w:type="dxa" w:w="337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质量</w:t>
            </w:r>
          </w:p>
        </w:tc>
        <w:tc>
          <w:tcPr>
            <w:tcW w:type="dxa" w:w="1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m</w:t>
            </w:r>
          </w:p>
        </w:tc>
        <w:tc>
          <w:tcPr>
            <w:tcW w:type="dxa" w:w="3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1.0 kg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机体总质量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惯量</w:t>
            </w:r>
          </w:p>
        </w:tc>
        <w:tc>
          <w:tcPr>
            <w:tcW w:type="dxa" w:w="1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I</w:t>
            </w:r>
          </w:p>
        </w:tc>
        <w:tc>
          <w:tcPr>
            <w:tcW w:type="dxa" w:w="3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diag[0.02, 0.02, 0.04] kg·m²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机体系对角惯量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机臂长度</w:t>
            </w:r>
          </w:p>
        </w:tc>
        <w:tc>
          <w:tcPr>
            <w:tcW w:type="dxa" w:w="1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l</w:t>
            </w:r>
          </w:p>
        </w:tc>
        <w:tc>
          <w:tcPr>
            <w:tcW w:type="dxa" w:w="3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0.17 m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质心到旋翼中心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推力系数</w:t>
            </w:r>
          </w:p>
        </w:tc>
        <w:tc>
          <w:tcPr>
            <w:tcW w:type="dxa" w:w="1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kF</w:t>
            </w:r>
          </w:p>
        </w:tc>
        <w:tc>
          <w:tcPr>
            <w:tcW w:type="dxa" w:w="3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1.91×10⁻⁶ N/(rad/s)²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单旋翼平方推力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反扭矩系数</w:t>
            </w:r>
          </w:p>
        </w:tc>
        <w:tc>
          <w:tcPr>
            <w:tcW w:type="dxa" w:w="1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kM</w:t>
            </w:r>
          </w:p>
        </w:tc>
        <w:tc>
          <w:tcPr>
            <w:tcW w:type="dxa" w:w="3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2.60×10⁻⁷ N·m/(rad/s)²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偏航反扭矩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重力加速度</w:t>
            </w:r>
          </w:p>
        </w:tc>
        <w:tc>
          <w:tcPr>
            <w:tcW w:type="dxa" w:w="1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g</w:t>
            </w:r>
          </w:p>
        </w:tc>
        <w:tc>
          <w:tcPr>
            <w:tcW w:type="dxa" w:w="3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9.81 m/s²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世界系 z 轴向上</w:t>
            </w:r>
          </w:p>
        </w:tc>
      </w:tr>
    </w:tbl>
    <w:p>
      <w:pPr>
        <w:spacing w:after="0"/>
      </w:pP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2  动力学默认参数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3.2  推力、力矩与刚体积分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第 i 个旋翼的推力为 Fi = kFωi²，反扭矩为 Mi = si kMωi²。si 由旋翼转向决定。四个旋翼按 X 型布局叠加为总推力 T 和三个轴向力矩 τ。平动方程在世界坐标系计算，转动方程在机体系计算，并加入线性阻力、角速度阻尼和可选外部扰动力。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m v̇ = R(q) [0, 0, T]ᵀ − m g e₃ − Cv + Fext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I Ω̇ = τ − Ω × IΩ − CΩ + τext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q̇ = 1/2 · q ⊗ [0, Ω]，每步积分后执行 q ← q / ‖q‖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数值积分使用固定步长的半隐式更新。角速度和线速度先由加速度推进，位置和四元数再使用新状态更新。地面附近加入非穿透约束，防止数值误差让机体落到 z 轴负半空间。仿真真值只由动力学节点产生一次 Odom 和 TF，传感器节点发布带噪副本，避免多个发布者导致 RViz 中同一模型交替跳变。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4  控制器设计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0680" cy="2297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22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2  串级控制器与状态反馈关系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4.1  位置外环与期望姿态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控制器采用位置、速度外环和几何姿态内环。给定参考位置 pd、速度 vd、加速度 ad 及期望偏航角，外环先计算位置误差 ep = p − pd 与速度误差 ev = v − vd，再得到期望加速度。逐轴增益来自 controller.yaml，位置积分项仅在限定范围内累积，并设置反饱和回退。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ac = ad − Kp ⊙ ep − Kv ⊙ ev − Ki ⊙ ∫ep dt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期望合力 Fd = m(ac + ge₃)。其方向确定期望机体 z 轴，再结合期望偏航构造完整旋转矩阵 Rd。相较于直接把位置误差线性换算成 roll 和 pitch，这种构造在三维轨迹中没有欧拉角奇异点，且能清楚地限制合力和最大倾角。外环还限制目标跳变、水平速度、垂直速度和加速度，避免距离很远时一步给出不可实现的姿态。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4.2  几何姿态内环与 mixer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姿态误差从 RᵀRd − RdᵀR 的反对称部分提取，角速度误差由当前角速度与期望角速度之差得到。控制力矩同时补偿刚体陀螺耦合项 Ω×IΩ。总推力取期望合力在当前机体 z 轴上的投影，因此姿态尚未对准时不会把不正确的水平分量直接当作竖直推力。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τc = −KR ⊙ eR − KΩ ⊙ eΩ + Ω × IΩ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mixer 解算 T、τx、τy、τz 到四个 ωi²。解算结果先保证非负，再经过推力、力矩、电机角速度和变化率的多级限幅。控制节点将 rad/s 转为消息中的 RPM，动力学适配层再还原为角速度。故障节点位于两者之间，可以按时间窗口降低单个电机效率、限制最大转速，或模拟命令丢包、延迟和冻结。这样的串接方式让正常控制器代码不需要知道故障是否存在。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5  地图、感知与避障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5.1  地图与局部点云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静态地图由 YAML 中的 box 和 cylinder 描述，也可以使用固定随机种子生成障碍物。地图节点发布可视 Marker 和障碍物几何信息。感知节点对几何表面采样，再根据无人机位置与朝向执行量程、视场、遮挡、噪声和丢点处理，输出局部 PointCloud2。点云进一步体素化，并使用短时持久化与过期衰减减少边界抖动。由于地图表示和 PointCloud2 接口紧密相关，这部分保留 ROS2 依赖，没有强行移入 drone_core。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安全距离采用障碍物几何边界到机体中心的净空定义。规划时将机体半径与 0.30 m 安全裕度共同膨胀到障碍物上，因此搜索节点可以按点机器人处理。实验记录器独立计算实际轨迹到原始障碍物表面的最小净空，用来验证规划假设是否在闭环飞行中成立。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5.2  三维体素 A* 与路径跟踪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规划器把起点、目标点和膨胀障碍物投影到三维体素网格，在 6、18 或 26 邻接中搜索。代价由移动距离和启发函数组成。若起点或终点落入占据体素，节点先在有限邻域内寻找最近自由体素；若开放集耗尽、搜索节点数超过上限或无法重建父节点链，则明确报告失败，不向控制器发布穿越障碍物的直线路径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得到离散路径后，先做共线点合并和带碰撞检测的线段简化，再由前视距离选择局部安全目标。路径跟踪进度只允许沿路径前进，避免折返或自交路径中前视点误跳到尚未经过的后段。perception_replan 场景会在局部点云发生有效变化时触发重规划，同时设置最小重规划周期，防止感知噪声造成频繁振荡。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5.3  可视化与交互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RViz2 中同时显示无人机机体、四个旋翼、目标点、历史轨迹、障碍物、局部点云、体素和规划路径。无人机 Marker 使用固定命名空间与稳定 ID，时间戳设为零并启用 frame_locked；地图类低频信息使用 transient-local QoS。此前模型闪烁的根因是 Odom、TF 和 Marker 存在重复发布者，且显示对象生命周期过短。修正后每类状态只保留一个权威发布者，Marker 不再周期性失效。start_sim.sh 在 WSL 内部处理 DISPLAY 与环境加载，因此用户可以直接运行脚本而不必手动 source。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Web 地面站用于发布目标、查看位置和高度曲线、启停扰动与故障。任务 Panel 汇总 30 个任务入口、11 个正式场景、16 类指标和 7 类结果图，并允许在白名单范围内修改 29 份 YAML。界面只写配置副本且保留回滚，避免误操作破坏仓库基线。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6  实验设计与结果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6.1  实验方法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正式实验统一从 start_sim.sh 调度。每个场景使用固定参数与随机种子，记录 telemetry.csv、reference_history.csv、summary.json、rosbag 和七类曲线。评价指标包含最终误差、稳态误差、RMS 误差、到达时间、最大姿态倾角、电机饱和比例、扰动恢复时间和最小障碍物净空。验收阈值存放在 evaluation.yaml，验证脚本只读取阈值与结果，不在代码中另设一套宽松标准。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表 3 的数值来自当前 artifacts/experiments 目录，而不是按设计参数推算。RMS 误差包含从地面起飞和目标切换阶段，因此在多航点、阵风和避障场景中会明显高于最终误差。它更能反映整个任务过程，而稳态误差用于判断最终悬停质量，两者不能互相替代。</w:t>
      </w:r>
    </w:p>
    <w:tbl>
      <w:tblPr>
        <w:tblStyle w:val="TableGrid"/>
        <w:tblW w:type="dxa" w:w="907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1500"/>
        <w:gridCol w:w="1500"/>
        <w:gridCol w:w="1500"/>
        <w:gridCol w:w="2870"/>
      </w:tblGrid>
      <w:tr>
        <w:tc>
          <w:tcPr>
            <w:tcW w:type="dxa" w:w="17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场景</w:t>
            </w:r>
          </w:p>
        </w:tc>
        <w:tc>
          <w:tcPr>
            <w:tcW w:type="dxa" w:w="15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最终误差/m</w:t>
            </w:r>
          </w:p>
        </w:tc>
        <w:tc>
          <w:tcPr>
            <w:tcW w:type="dxa" w:w="15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稳态误差/m</w:t>
            </w:r>
          </w:p>
        </w:tc>
        <w:tc>
          <w:tcPr>
            <w:tcW w:type="dxa" w:w="15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RMS 误差/m</w:t>
            </w:r>
          </w:p>
        </w:tc>
        <w:tc>
          <w:tcPr>
            <w:tcW w:type="dxa" w:w="287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关键结果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悬停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0.0132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0.0203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0.3409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单目标点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0.0203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0.0201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0.7122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正方形航点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0.0168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0.0219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0.5038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圆轨迹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0.0424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0.0458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0.3827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八字轨迹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0.0972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0.0847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0.2813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阵风扰动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0.0457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0.0723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1.1929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恢复 2.223 s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传感器噪声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0.0777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0.0604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0.3292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电机故障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0.0179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0.0305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1.3669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最大倾角 19.11°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五障碍物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0.0247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0.0189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0.6955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净空 0.4196 m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狭窄通道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0.0134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0.0191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1.1548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净空 0.4136 m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感知重规划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0.0135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0.0190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0.6567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净空 0.4889 m</w:t>
            </w:r>
          </w:p>
        </w:tc>
      </w:tr>
    </w:tbl>
    <w:p>
      <w:pPr>
        <w:spacing w:after="0"/>
      </w:pP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3  11 个正式场景的实测结果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6.2  基础飞行与轨迹跟踪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6360" cy="3287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ver_summary_rg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8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3  悬停实验的轨迹、高度、位置误差和电机转速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悬停实验在约 1.99 s 首次进入 0.30 m 误差范围，随后高度稳定在 1.5 m 附近，稳态误差为 0.0203 m。四路电机在起飞瞬间共同升速，之后收敛到理论悬停转速附近；最大倾角仅 0.65°，说明静态悬停没有依赖持续大姿态补偿。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正方形任务依次完成 5 个航点。每次参考点切换会让误差重新升高，但局部目标到达后均可继续收敛，最终误差为 0.0168 m。圆轨迹与 Gerono 八字轨迹分别得到 0.3827 m 和 0.2813 m 的全程 RMS 误差。解析轨迹提供速度、加速度和 yaw 前馈，因此连续轨迹没有被离散成一串急停目标。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6.3  扰动、噪声与故障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6360" cy="3287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_gust_summary_rg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8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4  阵风场景的偏差峰值与恢复过程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阵风场景在飞行中段施加峰值 3.041 N 的外力。位置误差先升至明显峰值，扰动结束后经过 2.223 s 回到验收区间，最终误差为 0.0457 m。传感器噪声场景把带噪 Odom 和 IMU 真正接入闭环，最终误差为 0.0777 m。电机故障场景在限定窗口降低 0 号电机效率，最大倾角增至 19.11°，故障解除后最终仍收敛至 0.0179 m。三类试验说明控制器具备恢复能力，但当前系统尚未包含故障辨识或自适应分配，因此不能把结果解释为对任意严重故障都鲁棒。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6.4  避障与局部感知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92040" cy="3804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ception_replan_metrics_rg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80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5  感知重规划场景的净空与局部点云规模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五障碍物、狭窄通道和感知重规划场景均到达目标。三者最小净空分别为 0.4196 m、0.4136 m 和 0.4889 m，高于 0.30 m 的安全合同。图 5 中局部点云随无人机接近障碍物上升到约 800 点，离开局部环境后逐渐归零；净空曲线在整个任务中没有越过红色阈值。规划路径是几何安全路径，实际轨迹还会受到控制超调和传感器噪声影响，因此使用真实轨迹净空作为最终判据。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7  加分功能与工程验证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课程列出的加分方向均已实现。参数方面，质量、惯量、电机系数、控制增益、传感器、地图、规划与场景均放入 YAML，并由脚本反向检查参数是否真正被节点声明和 launch 装载。扰动模块支持常值、正弦、阵风和固定种子随机力；传感器模块支持白噪声、偏置、随机游走、延迟与丢包；轨迹模块支持圆、八字和 waypoint list。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多机模式同时启动 3 套独立 namespace、TF、控制和传感器实例，fleet monitor 记录到的最小间距为 0.786 m，高于 0.75 m 要求，未发生违规。故障注入覆盖效率下降、转速上限、命令丢包、延迟和冻结。Web 地面站提供状态与控制入口，参数扫描对位置增益和风力尺度执行 3×3 实验，确定性回放则比较两次运行的轨迹和指标。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参数扫描显示，扰动力尺度是峰值误差的主要影响因素，位置比例增益在当前范围内只带来较小差异。这与单次手工调参相比更有解释力：它说明继续提高 Kp 并不能抵消外力增长，还可能增加姿态和电机余量压力。测试层面，工作区包含 gtest、launch test、Panel 进程测试、场景阈值检查、回放和多机专项验证。drone_core 还能使用 DRONE_CORE_STANDALONE=ON 脱离 ROS2 构建，直接运行 CTest。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8  与参考项目的关系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pengyu_sim 提供了教学型仿真工程的组织参考，尤其是将动力学、控制和可视化分成可独立理解的模块。MARSIM 更强调轻量级点云仿真，并把地图、局部感知和多机接口放到统一的 ROS 数据流中。本项目借鉴的是问题拆分方式和接口思想，没有复制其 package 或源码。当前工程以 ROS2 Humble 重新实现核心链路，并把可复现实验、自动验收和算法解耦放在更高优先级。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与 MARSIM 相比，本项目的环境真实感和激光雷达物理细节较弱，不包含 GPU 渲染或真实雷达扫描模式；优点是依赖轻、构建快，动力学和控制器可独立测试。与一般的完整 Gazebo 仿真相比，本项目也没有螺旋桨气动、机架柔性和碰撞接触模型。它更适合课程中验证控制、规划和 ROS2 工程边界，不适合作为高保真飞控认证工具。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9  失败案例与改进过程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开发中最难定位的问题不是公式本身，而是可视化和路径进度。早期 RViz 中 drone_model 会闪烁，Topic 状态在 OK 与 Error 之间跳变。检查发布者数量和 Marker 生命周期后发现，真值节点、传感器节点和可视化节点对相近状态重复发布，Marker 还使用了会过期的寿命。最终统一 Odom 与 TF 的权威来源，给 Marker 使用稳定 ID、零时间戳和 frame_locked，并把地图类信息改为 transient-local QoS。修正后 topic 频率稳定，模型不会因显示对象轮换而消失。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另一个问题出现在折返和自交路径。若只寻找离无人机最近的路径点，当前位置可能被投影到尚未走过的后半段，规划器就会误判进度并提前发布终点。现在的实现保存单调前进的路径索引，只在有限前向窗口内寻找最近点，再沿弧长选择前视目标。这个改动通过专门的回归测试覆盖，不依赖某一张地图恰好不触发问题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这些失败也暴露出当前限制。固定步长模型无法描述高速飞行中的复杂气动，点云来自几何表面采样而非真实光束模型，A* 的计算量会随体素分辨率快速增加。故障恢复主要依靠原控制器余量，严重单电机失效仍可能超出可控范围。报告中的成功结果只对应已记录参数和场景，不应外推到未验证的边界。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10  AI 辅助过程与验证责任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本项目使用 AI 帮助梳理任务清单、生成部分代码骨架、补充测试思路和定位 ROS2 配置问题。关键公式、坐标系、旋翼方向、消息单位和安全阈值均由人工结合代码与曲线复核。ai_usage.md 保存了超过 8 条关键交互摘要，也记录了 AI 曾给出的错误建议及修正过程。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验证时没有把“能够编译”当作正确。动力学用悬停转速、自由响应和四元数归一化测试；控制器检查静态平衡、力矩符号、限幅与 mixer 输出；ROS2 层检查 topic 类型、发布者数量、频率、TF 连续性和 QoS；系统层则以 11 个场景的 CSV、JSON、PNG 与 rosbag 作为证据。AI 负责提高迭代速度，但判断模型是否可信、实验是否满足阈值以及报告是否如实描述，仍由项目实现者承担。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11  总结与后续工作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本项目完成了从四路电机输入、六自由度刚体动力学、串级控制到地图感知、三维规划、RViz2 和自动评测的闭环。核心算法与 ROS2 的边界清楚，地图相关模块保留中间件依赖；一键脚本解决了 WSL 下反复 source 和显示环境配置的问题。11 个正式场景全部通过，悬停、连续轨迹、风扰、噪声、故障和避障都有可复核的原始数据。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如果继续投入两周，第一优先级是给动力学加入更可靠的螺旋桨气动、地效和接触模型，并用真实飞控日志标定电机时间常数和阻力。第二步是把局部感知替换为可配置的光束扫描模型，引入动态障碍物和增量式规划。第三步是建立持续集成中的无头场景回归，固定发布频率、CPU 占用和误差基线。完成这些工作后，这套课程仿真器可以进一步用于控制器参数研究、规划算法对比和轻量级硬件在环验证。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参考文献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[1] potato77. pengyu_sim: UAV simulation reference project[EB/OL]. https://gitee.com/potato77/pengyu_sim.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[2] Zhang J, Xu W, Zhu Y, et al. MARSIM: A Light-weight Point-realistic Simulator for LiDAR-based UAVs[EB/OL]. arXiv:2211.10716, 2022.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[3] Lee T, Leok M, McClamroch N H. Geometric Tracking Control of a Quadrotor UAV on SE(3)[C]//49th IEEE Conference on Decision and Control. 2010: 5420-5425.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[4] Quigley M, Conley K, Gerkey B, et al. ROS: An Open-source Robot Operating System[C]//ICRA Workshop on Open Source Software. 2009.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[5] Open Robotics. ROS 2 Humble Documentation[EB/OL]. https://docs.ros.org/en/humble/.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[6] VMnicht. drone_sim: ROS2 小型四旋翼仿真器[EB/OL]. https://github.com/VMnicht/drone_sim, 2026.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附录 A  复现实验与材料位置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本报告中的数值均可从仓库现有材料反向核对。复核时先在工作区根目录执行 ./start_sim.sh batch 重新生成场景，再运行 python3 scripts/verify_experiments.py 检查阈值。若只审阅已有结果，可直接查看下表所列文件，不需要启动 RViz2。</w:t>
      </w:r>
    </w:p>
    <w:tbl>
      <w:tblPr>
        <w:tblStyle w:val="TableGrid"/>
        <w:tblW w:type="dxa" w:w="907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4000"/>
        <w:gridCol w:w="3370"/>
      </w:tblGrid>
      <w:tr>
        <w:tc>
          <w:tcPr>
            <w:tcW w:type="dxa" w:w="17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材料</w:t>
            </w:r>
          </w:p>
        </w:tc>
        <w:tc>
          <w:tcPr>
            <w:tcW w:type="dxa" w:w="40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仓库位置</w:t>
            </w:r>
          </w:p>
        </w:tc>
        <w:tc>
          <w:tcPr>
            <w:tcW w:type="dxa" w:w="337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用途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正式实验</w:t>
            </w:r>
          </w:p>
        </w:tc>
        <w:tc>
          <w:tcPr>
            <w:tcW w:type="dxa" w:w="4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artifacts/experiments/&lt;scenario&gt;/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CSV、JSON、PNG 与 rosbag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模型参数</w:t>
            </w:r>
          </w:p>
        </w:tc>
        <w:tc>
          <w:tcPr>
            <w:tcW w:type="dxa" w:w="4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src/drone_bringup/config/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动力学、控制、地图与验收阈值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算法说明</w:t>
            </w:r>
          </w:p>
        </w:tc>
        <w:tc>
          <w:tcPr>
            <w:tcW w:type="dxa" w:w="4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docs/dynamics.md、docs/controller.md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公式、单位与接口约定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AI 使用记录</w:t>
            </w:r>
          </w:p>
        </w:tc>
        <w:tc>
          <w:tcPr>
            <w:tcW w:type="dxa" w:w="4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ai_usage.md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关键交互、错误与人工复核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演示视频</w:t>
            </w:r>
          </w:p>
        </w:tc>
        <w:tc>
          <w:tcPr>
            <w:tcW w:type="dxa" w:w="4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output/video/drone_demo.mp4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1～3 分钟功能演示</w:t>
            </w:r>
          </w:p>
        </w:tc>
      </w:tr>
    </w:tbl>
    <w:p>
      <w:pPr>
        <w:spacing w:after="0"/>
      </w:pP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4  报告结论的可复核材料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仓库公开地址为 https://github.com/VMnicht/drone_sim。启动脚本会自行加载 ROS2 和工作区环境，WSL 用户无需在终端中重复 source。若图形界面不可用，所有场景仍可用无头模式运行并生成同样的统计文件。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247" w:right="1417" w:bottom="124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000000"/>
        <w:sz w:val="17"/>
      </w:rPr>
      <w:t xml:space="preserve">— </w:t>
    </w:r>
    <w:r>
      <w:rPr>
        <w:rFonts w:ascii="Times New Roman" w:hAnsi="Times New Roman" w:eastAsia="宋体"/>
        <w:b w:val="0"/>
        <w:i w:val="0"/>
        <w:color w:val="000000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7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000000"/>
        <w:sz w:val="17"/>
      </w:rPr>
      <w:t xml:space="preserve">— </w:t>
    </w:r>
    <w:r>
      <w:rPr>
        <w:rFonts w:ascii="Times New Roman" w:hAnsi="Times New Roman" w:eastAsia="宋体"/>
        <w:b w:val="0"/>
        <w:i w:val="0"/>
        <w:color w:val="000000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7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  <w:pBdr>
        <w:bottom w:val="single" w:sz="4" w:space="3" w:color="BFBFBF"/>
      </w:pBdr>
    </w:pPr>
    <w:r>
      <w:rPr>
        <w:rFonts w:ascii="Times New Roman" w:hAnsi="Times New Roman" w:eastAsia="宋体"/>
        <w:b w:val="0"/>
        <w:i w:val="0"/>
        <w:color w:val="000000"/>
        <w:sz w:val="16"/>
      </w:rPr>
      <w:t>ROS2 小型无人机仿真器课程设计报告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40"/>
      <w:ind w:firstLine="380"/>
      <w:jc w:val="both"/>
    </w:pPr>
    <w:rPr>
      <w:rFonts w:ascii="Times New Roman" w:hAnsi="Times New Roman" w:eastAsia="宋体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Academic">
    <w:name w:val="CaptionAcademic"/>
    <w:pPr>
      <w:keepNext w:val="0"/>
      <w:spacing w:before="40" w:after="100"/>
      <w:ind w:firstLine="0"/>
      <w:jc w:val="center"/>
    </w:pPr>
    <w:rPr>
      <w:rFonts w:ascii="Times New Roman" w:hAnsi="Times New Roman" w:eastAsia="宋体"/>
      <w:color w:val="000000"/>
      <w:sz w:val="18"/>
    </w:rPr>
  </w:style>
  <w:style w:type="paragraph" w:customStyle="1" w:styleId="EquationAcademic">
    <w:name w:val="EquationAcademic"/>
    <w:pPr>
      <w:keepLines/>
      <w:spacing w:before="60" w:after="60"/>
      <w:ind w:firstLine="0"/>
      <w:jc w:val="center"/>
    </w:pPr>
    <w:rPr>
      <w:rFonts w:ascii="Times New Roman" w:hAnsi="Times New Roman" w:eastAsia="宋体"/>
      <w:color w:val="000000"/>
      <w:sz w:val="21"/>
    </w:rPr>
  </w:style>
  <w:style w:type="paragraph" w:customStyle="1" w:styleId="ReferenceAcademic">
    <w:name w:val="ReferenceAcademic"/>
    <w:pPr>
      <w:spacing w:after="40" w:line="276" w:lineRule="auto"/>
      <w:ind w:hanging="360" w:left="360"/>
    </w:pPr>
    <w:rPr>
      <w:rFonts w:ascii="Times New Roman" w:hAnsi="Times New Roman" w:eastAsia="宋体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