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98536">
      <w:bookmarkStart w:id="0" w:name="_GoBack"/>
      <w:bookmarkEnd w:id="0"/>
    </w:p>
    <w:p w14:paraId="1244872D"/>
    <w:p w14:paraId="05F0555F"/>
    <w:p w14:paraId="08DB6377">
      <w:pPr>
        <w:jc w:val="center"/>
      </w:pPr>
      <w:r>
        <w:rPr>
          <w:b/>
          <w:color w:val="2E74B5"/>
          <w:sz w:val="24"/>
        </w:rPr>
        <w:t>TOMNIHUBOS</w:t>
      </w:r>
    </w:p>
    <w:p w14:paraId="5E182144">
      <w:pPr>
        <w:spacing w:before="240" w:after="240"/>
        <w:jc w:val="center"/>
      </w:pPr>
      <w:r>
        <w:rPr>
          <w:rFonts w:ascii="Calibri" w:hAnsi="Calibri"/>
          <w:b/>
          <w:color w:val="0B2545"/>
          <w:sz w:val="56"/>
        </w:rPr>
        <w:t>PRODUCT OVERVIEW</w:t>
      </w:r>
      <w:r>
        <w:rPr>
          <w:rFonts w:ascii="Calibri" w:hAnsi="Calibri"/>
          <w:b/>
          <w:color w:val="0B2545"/>
          <w:sz w:val="56"/>
        </w:rPr>
        <w:br w:type="textWrapping"/>
      </w:r>
      <w:r>
        <w:rPr>
          <w:rFonts w:ascii="Calibri" w:hAnsi="Calibri"/>
          <w:b/>
          <w:color w:val="0B2545"/>
          <w:sz w:val="56"/>
        </w:rPr>
        <w:t>&amp; MVP MASTER PLAN</w:t>
      </w:r>
    </w:p>
    <w:p w14:paraId="28886D65">
      <w:pPr>
        <w:spacing w:after="440"/>
        <w:jc w:val="center"/>
      </w:pPr>
      <w:r>
        <w:rPr>
          <w:color w:val="5A6878"/>
          <w:sz w:val="26"/>
        </w:rPr>
        <w:t>Hub Agent OS  |  Trust &amp; User Intelligence  |  Store/Package Ecosystem</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2100"/>
        <w:gridCol w:w="5160"/>
      </w:tblGrid>
      <w:tr w14:paraId="69B3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32E8AD5A">
            <w:pPr>
              <w:jc w:val="left"/>
            </w:pPr>
            <w:r>
              <w:rPr>
                <w:b/>
                <w:color w:val="0B2545"/>
              </w:rPr>
              <w:t>STATUS</w:t>
            </w:r>
          </w:p>
        </w:tc>
        <w:tc>
          <w:tcPr>
            <w:tcW w:w="2100" w:type="dxa"/>
            <w:shd w:val="clear" w:color="auto" w:fill="E8EEF5"/>
            <w:tcMar>
              <w:top w:w="80" w:type="dxa"/>
              <w:left w:w="120" w:type="dxa"/>
              <w:bottom w:w="80" w:type="dxa"/>
              <w:right w:w="120" w:type="dxa"/>
            </w:tcMar>
            <w:vAlign w:val="center"/>
          </w:tcPr>
          <w:p w14:paraId="2F65C1AF">
            <w:pPr>
              <w:jc w:val="left"/>
            </w:pPr>
            <w:r>
              <w:rPr>
                <w:b/>
                <w:color w:val="0B2545"/>
              </w:rPr>
              <w:t>SYNCHRONIZED</w:t>
            </w:r>
          </w:p>
        </w:tc>
        <w:tc>
          <w:tcPr>
            <w:tcW w:w="5160" w:type="dxa"/>
            <w:shd w:val="clear" w:color="auto" w:fill="E8EEF5"/>
            <w:tcMar>
              <w:top w:w="80" w:type="dxa"/>
              <w:left w:w="120" w:type="dxa"/>
              <w:bottom w:w="80" w:type="dxa"/>
              <w:right w:w="120" w:type="dxa"/>
            </w:tcMar>
            <w:vAlign w:val="center"/>
          </w:tcPr>
          <w:p w14:paraId="76D8CE19">
            <w:pPr>
              <w:jc w:val="left"/>
            </w:pPr>
            <w:r>
              <w:rPr>
                <w:b/>
                <w:color w:val="0B2545"/>
              </w:rPr>
              <w:t>CANONICAL SOURCE</w:t>
            </w:r>
          </w:p>
        </w:tc>
      </w:tr>
      <w:tr w14:paraId="7A41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4ADAADD8">
            <w:r>
              <w:rPr>
                <w:sz w:val="18"/>
              </w:rPr>
              <w:t>TARGET</w:t>
            </w:r>
          </w:p>
        </w:tc>
        <w:tc>
          <w:tcPr>
            <w:tcW w:w="2100" w:type="dxa"/>
            <w:tcMar>
              <w:top w:w="80" w:type="dxa"/>
              <w:left w:w="120" w:type="dxa"/>
              <w:bottom w:w="80" w:type="dxa"/>
              <w:right w:w="120" w:type="dxa"/>
            </w:tcMar>
            <w:vAlign w:val="center"/>
          </w:tcPr>
          <w:p w14:paraId="65AAE01D">
            <w:r>
              <w:rPr>
                <w:sz w:val="18"/>
              </w:rPr>
              <w:t>14/08/2026</w:t>
            </w:r>
          </w:p>
        </w:tc>
        <w:tc>
          <w:tcPr>
            <w:tcW w:w="5160" w:type="dxa"/>
            <w:tcMar>
              <w:top w:w="80" w:type="dxa"/>
              <w:left w:w="120" w:type="dxa"/>
              <w:bottom w:w="80" w:type="dxa"/>
              <w:right w:w="120" w:type="dxa"/>
            </w:tcMar>
            <w:vAlign w:val="center"/>
          </w:tcPr>
          <w:p w14:paraId="4C5FF3A0">
            <w:r>
              <w:rPr>
                <w:sz w:val="18"/>
              </w:rPr>
              <w:t>mvp-plan.md | SHA-256 28c2ec49c5c9</w:t>
            </w:r>
          </w:p>
        </w:tc>
      </w:tr>
    </w:tbl>
    <w:p w14:paraId="404CB677">
      <w:pPr>
        <w:spacing w:after="0"/>
      </w:pPr>
    </w:p>
    <w:p w14:paraId="785524FB"/>
    <w:p w14:paraId="78989370">
      <w:pPr>
        <w:jc w:val="center"/>
      </w:pPr>
      <w:r>
        <w:rPr>
          <w:i/>
          <w:color w:val="5A6878"/>
          <w:sz w:val="20"/>
        </w:rPr>
        <w:t>This Word document is the human-facing companion. If anything differs, canonical Markdown and current-revision code/evidence take precedence.</w:t>
      </w:r>
    </w:p>
    <w:p w14:paraId="72CFEDFD">
      <w:r>
        <w:br w:type="page"/>
      </w:r>
    </w:p>
    <w:p w14:paraId="526BC6AA">
      <w:pPr>
        <w:pStyle w:val="2"/>
      </w:pPr>
      <w:r>
        <w:t>1. Product decision</w:t>
      </w:r>
    </w:p>
    <w:tbl>
      <w:tblPr>
        <w:tblStyle w:val="12"/>
        <w:tblW w:w="9360" w:type="dxa"/>
        <w:jc w:val="center"/>
        <w:tblLayout w:type="fixed"/>
        <w:tblCellMar>
          <w:top w:w="0" w:type="dxa"/>
          <w:left w:w="108" w:type="dxa"/>
          <w:bottom w:w="0" w:type="dxa"/>
          <w:right w:w="108" w:type="dxa"/>
        </w:tblCellMar>
      </w:tblPr>
      <w:tblGrid>
        <w:gridCol w:w="9360"/>
      </w:tblGrid>
      <w:tr w14:paraId="7B2C4515">
        <w:tblPrEx>
          <w:tblCellMar>
            <w:top w:w="0" w:type="dxa"/>
            <w:left w:w="108" w:type="dxa"/>
            <w:bottom w:w="0" w:type="dxa"/>
            <w:right w:w="108" w:type="dxa"/>
          </w:tblCellMar>
        </w:tblPrEx>
        <w:trPr>
          <w:cantSplit/>
          <w:tblHeader/>
          <w:jc w:val="center"/>
        </w:trPr>
        <w:tc>
          <w:tcPr>
            <w:tcW w:w="9360" w:type="dxa"/>
            <w:shd w:val="clear" w:color="auto" w:fill="DFF3E4"/>
            <w:tcMar>
              <w:top w:w="80" w:type="dxa"/>
              <w:left w:w="120" w:type="dxa"/>
              <w:bottom w:w="80" w:type="dxa"/>
              <w:right w:w="120" w:type="dxa"/>
            </w:tcMar>
            <w:vAlign w:val="center"/>
          </w:tcPr>
          <w:p w14:paraId="37853E1A">
            <w:pPr>
              <w:spacing w:after="60"/>
            </w:pPr>
            <w:r>
              <w:rPr>
                <w:b/>
                <w:color w:val="0B2545"/>
              </w:rPr>
              <w:t>One-sentence definition</w:t>
            </w:r>
          </w:p>
          <w:p w14:paraId="58B849D8">
            <w:r>
              <w:t>TomniHubOS is a provider-neutral Hub Agent OS: the user describes an outcome, the system coordinates a governed team of agents across local, cloud, CLI, MCP, and package capabilities, protects secrets and side effects, and returns a complete artifact with verifiable evidence.</w:t>
            </w:r>
          </w:p>
        </w:tc>
      </w:tr>
    </w:tbl>
    <w:p w14:paraId="57DBBE85">
      <w:pPr>
        <w:spacing w:after="0"/>
      </w:pPr>
    </w:p>
    <w:p w14:paraId="2CB5DB33">
      <w:r>
        <w:t xml:space="preserve">The two cores completed first are </w:t>
      </w:r>
      <w:r>
        <w:rPr>
          <w:b/>
        </w:rPr>
        <w:t>Hub Agent OS</w:t>
      </w:r>
      <w:r>
        <w:t xml:space="preserve"> and </w:t>
      </w:r>
      <w:r>
        <w:rPr>
          <w:b/>
        </w:rPr>
        <w:t>Trust &amp; causal User Intelligence</w:t>
      </w:r>
      <w:r>
        <w:t>. Store/package work starts in parallel at C0 because packages expand capability without embedding IDE, Browser, Office, Studio, or media applications in the base app. Managed AI and managed cloud are independently gated support tracks with separate kill switches.</w:t>
      </w:r>
    </w:p>
    <w:p w14:paraId="488CDF04">
      <w:r>
        <w:t>The durable advantage is not data lock-in. It is safe coordination across many AI systems and packages, genuine understanding of the reason behind user choices, reuse of verified procedures, and user control over every retained datum.</w:t>
      </w:r>
    </w:p>
    <w:p w14:paraId="6EBFF52D">
      <w:pPr>
        <w:pStyle w:val="2"/>
      </w:pPr>
      <w:r>
        <w:t>2. How the completed application works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0904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E8EEF5"/>
            <w:tcMar>
              <w:top w:w="80" w:type="dxa"/>
              <w:left w:w="120" w:type="dxa"/>
              <w:bottom w:w="80" w:type="dxa"/>
              <w:right w:w="120" w:type="dxa"/>
            </w:tcMar>
            <w:vAlign w:val="center"/>
          </w:tcPr>
          <w:p w14:paraId="19D4E25D">
            <w:pPr>
              <w:jc w:val="left"/>
            </w:pPr>
            <w:r>
              <w:rPr>
                <w:b/>
                <w:color w:val="0B2545"/>
              </w:rPr>
              <w:t>STEP</w:t>
            </w:r>
          </w:p>
        </w:tc>
        <w:tc>
          <w:tcPr>
            <w:tcW w:w="7560" w:type="dxa"/>
            <w:shd w:val="clear" w:color="auto" w:fill="E8EEF5"/>
            <w:tcMar>
              <w:top w:w="80" w:type="dxa"/>
              <w:left w:w="120" w:type="dxa"/>
              <w:bottom w:w="80" w:type="dxa"/>
              <w:right w:w="120" w:type="dxa"/>
            </w:tcMar>
            <w:vAlign w:val="center"/>
          </w:tcPr>
          <w:p w14:paraId="522A9127">
            <w:pPr>
              <w:jc w:val="left"/>
            </w:pPr>
            <w:r>
              <w:rPr>
                <w:b/>
                <w:color w:val="0B2545"/>
              </w:rPr>
              <w:t>BEHAVIOR</w:t>
            </w:r>
          </w:p>
        </w:tc>
      </w:tr>
      <w:tr w14:paraId="76A7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120" w:type="dxa"/>
              <w:bottom w:w="80" w:type="dxa"/>
              <w:right w:w="120" w:type="dxa"/>
            </w:tcMar>
            <w:vAlign w:val="center"/>
          </w:tcPr>
          <w:p w14:paraId="347F1234">
            <w:r>
              <w:rPr>
                <w:sz w:val="18"/>
              </w:rPr>
              <w:t>1 | Goal</w:t>
            </w:r>
          </w:p>
        </w:tc>
        <w:tc>
          <w:tcPr>
            <w:tcW w:w="7560" w:type="dxa"/>
            <w:tcMar>
              <w:top w:w="80" w:type="dxa"/>
              <w:left w:w="120" w:type="dxa"/>
              <w:bottom w:w="80" w:type="dxa"/>
              <w:right w:w="120" w:type="dxa"/>
            </w:tcMar>
            <w:vAlign w:val="center"/>
          </w:tcPr>
          <w:p w14:paraId="74CF3490">
            <w:r>
              <w:rPr>
                <w:sz w:val="18"/>
              </w:rPr>
              <w:t>The user states the desired outcome, constraints, budget, and autonomy level.</w:t>
            </w:r>
          </w:p>
        </w:tc>
      </w:tr>
      <w:tr w14:paraId="6127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5F8FB"/>
            <w:tcMar>
              <w:top w:w="80" w:type="dxa"/>
              <w:left w:w="120" w:type="dxa"/>
              <w:bottom w:w="80" w:type="dxa"/>
              <w:right w:w="120" w:type="dxa"/>
            </w:tcMar>
            <w:vAlign w:val="center"/>
          </w:tcPr>
          <w:p w14:paraId="1E4C25CA">
            <w:r>
              <w:rPr>
                <w:sz w:val="18"/>
              </w:rPr>
              <w:t>2 | Context</w:t>
            </w:r>
          </w:p>
        </w:tc>
        <w:tc>
          <w:tcPr>
            <w:tcW w:w="7560" w:type="dxa"/>
            <w:shd w:val="clear" w:color="auto" w:fill="F5F8FB"/>
            <w:tcMar>
              <w:top w:w="80" w:type="dxa"/>
              <w:left w:w="120" w:type="dxa"/>
              <w:bottom w:w="80" w:type="dxa"/>
              <w:right w:w="120" w:type="dxa"/>
            </w:tcMar>
            <w:vAlign w:val="center"/>
          </w:tcPr>
          <w:p w14:paraId="478C13B3">
            <w:r>
              <w:rPr>
                <w:sz w:val="18"/>
              </w:rPr>
              <w:t>ContextProjection retrieves only consented data and preserves context -&gt; origin/evidence -&gt; reason -&gt; scope.</w:t>
            </w:r>
          </w:p>
        </w:tc>
      </w:tr>
      <w:tr w14:paraId="0761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120" w:type="dxa"/>
              <w:bottom w:w="80" w:type="dxa"/>
              <w:right w:w="120" w:type="dxa"/>
            </w:tcMar>
            <w:vAlign w:val="center"/>
          </w:tcPr>
          <w:p w14:paraId="104ECB40">
            <w:r>
              <w:rPr>
                <w:sz w:val="18"/>
              </w:rPr>
              <w:t>3 | Resolve</w:t>
            </w:r>
          </w:p>
        </w:tc>
        <w:tc>
          <w:tcPr>
            <w:tcW w:w="7560" w:type="dxa"/>
            <w:tcMar>
              <w:top w:w="80" w:type="dxa"/>
              <w:left w:w="120" w:type="dxa"/>
              <w:bottom w:w="80" w:type="dxa"/>
              <w:right w:w="120" w:type="dxa"/>
            </w:tcMar>
            <w:vAlign w:val="center"/>
          </w:tcPr>
          <w:p w14:paraId="27F28882">
            <w:r>
              <w:rPr>
                <w:sz w:val="18"/>
              </w:rPr>
              <w:t>Capability Resolver searches trusted base, installed packages, remote zero-install capabilities, and installable Store entries.</w:t>
            </w:r>
          </w:p>
        </w:tc>
      </w:tr>
      <w:tr w14:paraId="3EA8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5F8FB"/>
            <w:tcMar>
              <w:top w:w="80" w:type="dxa"/>
              <w:left w:w="120" w:type="dxa"/>
              <w:bottom w:w="80" w:type="dxa"/>
              <w:right w:w="120" w:type="dxa"/>
            </w:tcMar>
            <w:vAlign w:val="center"/>
          </w:tcPr>
          <w:p w14:paraId="4B8E3D28">
            <w:r>
              <w:rPr>
                <w:sz w:val="18"/>
              </w:rPr>
              <w:t>4 | Plan</w:t>
            </w:r>
          </w:p>
        </w:tc>
        <w:tc>
          <w:tcPr>
            <w:tcW w:w="7560" w:type="dxa"/>
            <w:shd w:val="clear" w:color="auto" w:fill="F5F8FB"/>
            <w:tcMar>
              <w:top w:w="80" w:type="dxa"/>
              <w:left w:w="120" w:type="dxa"/>
              <w:bottom w:w="80" w:type="dxa"/>
              <w:right w:w="120" w:type="dxa"/>
            </w:tcMar>
            <w:vAlign w:val="center"/>
          </w:tcPr>
          <w:p w14:paraId="121839F4">
            <w:r>
              <w:rPr>
                <w:sz w:val="18"/>
              </w:rPr>
              <w:t>The Orchestrator creates parent/child Runs and narrows capability, context, and budget for each agent.</w:t>
            </w:r>
          </w:p>
        </w:tc>
      </w:tr>
      <w:tr w14:paraId="5F97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120" w:type="dxa"/>
              <w:bottom w:w="80" w:type="dxa"/>
              <w:right w:w="120" w:type="dxa"/>
            </w:tcMar>
            <w:vAlign w:val="center"/>
          </w:tcPr>
          <w:p w14:paraId="7A6E8415">
            <w:r>
              <w:rPr>
                <w:sz w:val="18"/>
              </w:rPr>
              <w:t>5 | Govern</w:t>
            </w:r>
          </w:p>
        </w:tc>
        <w:tc>
          <w:tcPr>
            <w:tcW w:w="7560" w:type="dxa"/>
            <w:tcMar>
              <w:top w:w="80" w:type="dxa"/>
              <w:left w:w="120" w:type="dxa"/>
              <w:bottom w:w="80" w:type="dxa"/>
              <w:right w:w="120" w:type="dxa"/>
            </w:tcMar>
            <w:vAlign w:val="center"/>
          </w:tcPr>
          <w:p w14:paraId="4856DE0F">
            <w:r>
              <w:rPr>
                <w:sz w:val="18"/>
              </w:rPr>
              <w:t>TrustBroker evaluates identity, permission, secret handles, egress, side effects, deadlines, and resource leases on the shared seam.</w:t>
            </w:r>
          </w:p>
        </w:tc>
      </w:tr>
      <w:tr w14:paraId="4285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5F8FB"/>
            <w:tcMar>
              <w:top w:w="80" w:type="dxa"/>
              <w:left w:w="120" w:type="dxa"/>
              <w:bottom w:w="80" w:type="dxa"/>
              <w:right w:w="120" w:type="dxa"/>
            </w:tcMar>
            <w:vAlign w:val="center"/>
          </w:tcPr>
          <w:p w14:paraId="61D17575">
            <w:r>
              <w:rPr>
                <w:sz w:val="18"/>
              </w:rPr>
              <w:t>6 | Execute</w:t>
            </w:r>
          </w:p>
        </w:tc>
        <w:tc>
          <w:tcPr>
            <w:tcW w:w="7560" w:type="dxa"/>
            <w:shd w:val="clear" w:color="auto" w:fill="F5F8FB"/>
            <w:tcMar>
              <w:top w:w="80" w:type="dxa"/>
              <w:left w:w="120" w:type="dxa"/>
              <w:bottom w:w="80" w:type="dxa"/>
              <w:right w:w="120" w:type="dxa"/>
            </w:tcMar>
            <w:vAlign w:val="center"/>
          </w:tcPr>
          <w:p w14:paraId="02C5BE19">
            <w:r>
              <w:rPr>
                <w:sz w:val="18"/>
              </w:rPr>
              <w:t>Target Router chooses a cloud model, local model, CLI, MCP, package, or cloud sandbox under deterministic policy.</w:t>
            </w:r>
          </w:p>
        </w:tc>
      </w:tr>
      <w:tr w14:paraId="16A5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120" w:type="dxa"/>
              <w:bottom w:w="80" w:type="dxa"/>
              <w:right w:w="120" w:type="dxa"/>
            </w:tcMar>
            <w:vAlign w:val="center"/>
          </w:tcPr>
          <w:p w14:paraId="58EBB1AC">
            <w:r>
              <w:rPr>
                <w:sz w:val="18"/>
              </w:rPr>
              <w:t>7 | Observe</w:t>
            </w:r>
          </w:p>
        </w:tc>
        <w:tc>
          <w:tcPr>
            <w:tcW w:w="7560" w:type="dxa"/>
            <w:tcMar>
              <w:top w:w="80" w:type="dxa"/>
              <w:left w:w="120" w:type="dxa"/>
              <w:bottom w:w="80" w:type="dxa"/>
              <w:right w:w="120" w:type="dxa"/>
            </w:tcMar>
            <w:vAlign w:val="center"/>
          </w:tcPr>
          <w:p w14:paraId="049A202C">
            <w:r>
              <w:rPr>
                <w:sz w:val="18"/>
              </w:rPr>
              <w:t>The user sees the plan, agent activity, and emerging artifacts, and can correct, approve, cancel, or continue.</w:t>
            </w:r>
          </w:p>
        </w:tc>
      </w:tr>
      <w:tr w14:paraId="40AD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5F8FB"/>
            <w:tcMar>
              <w:top w:w="80" w:type="dxa"/>
              <w:left w:w="120" w:type="dxa"/>
              <w:bottom w:w="80" w:type="dxa"/>
              <w:right w:w="120" w:type="dxa"/>
            </w:tcMar>
            <w:vAlign w:val="center"/>
          </w:tcPr>
          <w:p w14:paraId="12244132">
            <w:r>
              <w:rPr>
                <w:sz w:val="18"/>
              </w:rPr>
              <w:t>8 | Verify</w:t>
            </w:r>
          </w:p>
        </w:tc>
        <w:tc>
          <w:tcPr>
            <w:tcW w:w="7560" w:type="dxa"/>
            <w:shd w:val="clear" w:color="auto" w:fill="F5F8FB"/>
            <w:tcMar>
              <w:top w:w="80" w:type="dxa"/>
              <w:left w:w="120" w:type="dxa"/>
              <w:bottom w:w="80" w:type="dxa"/>
              <w:right w:w="120" w:type="dxa"/>
            </w:tcMar>
            <w:vAlign w:val="center"/>
          </w:tcPr>
          <w:p w14:paraId="32B2B0F8">
            <w:r>
              <w:rPr>
                <w:sz w:val="18"/>
              </w:rPr>
              <w:t>The Run ends with artifacts, evidence, resource/usage records, and exactly one terminal receipt; a verified graph can be packaged for replay.</w:t>
            </w:r>
          </w:p>
        </w:tc>
      </w:tr>
    </w:tbl>
    <w:p w14:paraId="49BD28D5">
      <w:pPr>
        <w:spacing w:after="0"/>
      </w:pPr>
    </w:p>
    <w:tbl>
      <w:tblPr>
        <w:tblStyle w:val="12"/>
        <w:tblW w:w="9360" w:type="dxa"/>
        <w:jc w:val="center"/>
        <w:tblLayout w:type="fixed"/>
        <w:tblCellMar>
          <w:top w:w="0" w:type="dxa"/>
          <w:left w:w="108" w:type="dxa"/>
          <w:bottom w:w="0" w:type="dxa"/>
          <w:right w:w="108" w:type="dxa"/>
        </w:tblCellMar>
      </w:tblPr>
      <w:tblGrid>
        <w:gridCol w:w="9360"/>
      </w:tblGrid>
      <w:tr w14:paraId="634B7B46">
        <w:tblPrEx>
          <w:tblCellMar>
            <w:top w:w="0" w:type="dxa"/>
            <w:left w:w="108" w:type="dxa"/>
            <w:bottom w:w="0" w:type="dxa"/>
            <w:right w:w="108" w:type="dxa"/>
          </w:tblCellMar>
        </w:tblPrEx>
        <w:trPr>
          <w:cantSplit/>
          <w:tblHeader/>
          <w:jc w:val="center"/>
        </w:trPr>
        <w:tc>
          <w:tcPr>
            <w:tcW w:w="9360" w:type="dxa"/>
            <w:shd w:val="clear" w:color="auto" w:fill="E8EEF5"/>
            <w:tcMar>
              <w:top w:w="80" w:type="dxa"/>
              <w:left w:w="120" w:type="dxa"/>
              <w:bottom w:w="80" w:type="dxa"/>
              <w:right w:w="120" w:type="dxa"/>
            </w:tcMar>
            <w:vAlign w:val="center"/>
          </w:tcPr>
          <w:p w14:paraId="15C4259F">
            <w:pPr>
              <w:spacing w:after="60"/>
            </w:pPr>
            <w:r>
              <w:rPr>
                <w:b/>
                <w:color w:val="0B2545"/>
              </w:rPr>
              <w:t>Example: build a TikTok channel</w:t>
            </w:r>
          </w:p>
          <w:p w14:paraId="7567FE6F">
            <w:r>
              <w:t>The Hub can research the market through a web capability, plan content, generate a video, prepare an account through opaque secret handles, ask before external side effects, and deliver the first video plus a direction report. The user can watch and intervene. A desktop package is installed only for direct UI, local/offline execution, or explicit user choice.</w:t>
            </w:r>
          </w:p>
        </w:tc>
      </w:tr>
    </w:tbl>
    <w:p w14:paraId="089BEB1E">
      <w:pPr>
        <w:spacing w:after="0"/>
      </w:pPr>
    </w:p>
    <w:p w14:paraId="0FE7CB92">
      <w:pPr>
        <w:pStyle w:val="2"/>
      </w:pPr>
      <w:r>
        <w:t>3. Two cores and supporting tracks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5313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0" w:type="dxa"/>
            <w:shd w:val="clear" w:color="auto" w:fill="E8EEF5"/>
            <w:tcMar>
              <w:top w:w="80" w:type="dxa"/>
              <w:left w:w="120" w:type="dxa"/>
              <w:bottom w:w="80" w:type="dxa"/>
              <w:right w:w="120" w:type="dxa"/>
            </w:tcMar>
            <w:vAlign w:val="center"/>
          </w:tcPr>
          <w:p w14:paraId="2DE5BC2D">
            <w:pPr>
              <w:jc w:val="left"/>
            </w:pPr>
            <w:r>
              <w:rPr>
                <w:b/>
                <w:color w:val="0B2545"/>
              </w:rPr>
              <w:t>BLOCK</w:t>
            </w:r>
          </w:p>
        </w:tc>
        <w:tc>
          <w:tcPr>
            <w:tcW w:w="6960" w:type="dxa"/>
            <w:shd w:val="clear" w:color="auto" w:fill="E8EEF5"/>
            <w:tcMar>
              <w:top w:w="80" w:type="dxa"/>
              <w:left w:w="120" w:type="dxa"/>
              <w:bottom w:w="80" w:type="dxa"/>
              <w:right w:w="120" w:type="dxa"/>
            </w:tcMar>
            <w:vAlign w:val="center"/>
          </w:tcPr>
          <w:p w14:paraId="62D23D7E">
            <w:pPr>
              <w:jc w:val="left"/>
            </w:pPr>
            <w:r>
              <w:rPr>
                <w:b/>
                <w:color w:val="0B2545"/>
              </w:rPr>
              <w:t>RESPONSIBILITY</w:t>
            </w:r>
          </w:p>
        </w:tc>
      </w:tr>
      <w:tr w14:paraId="44BA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Mar>
              <w:top w:w="80" w:type="dxa"/>
              <w:left w:w="120" w:type="dxa"/>
              <w:bottom w:w="80" w:type="dxa"/>
              <w:right w:w="120" w:type="dxa"/>
            </w:tcMar>
            <w:vAlign w:val="center"/>
          </w:tcPr>
          <w:p w14:paraId="04D9F609">
            <w:r>
              <w:rPr>
                <w:sz w:val="18"/>
              </w:rPr>
              <w:t>Hub Agent OS</w:t>
            </w:r>
          </w:p>
        </w:tc>
        <w:tc>
          <w:tcPr>
            <w:tcW w:w="6960" w:type="dxa"/>
            <w:tcMar>
              <w:top w:w="80" w:type="dxa"/>
              <w:left w:w="120" w:type="dxa"/>
              <w:bottom w:w="80" w:type="dxa"/>
              <w:right w:w="120" w:type="dxa"/>
            </w:tcMar>
            <w:vAlign w:val="center"/>
          </w:tcPr>
          <w:p w14:paraId="11B40296">
            <w:r>
              <w:rPr>
                <w:sz w:val="18"/>
              </w:rPr>
              <w:t>One Run Kernel owns lifecycle, orchestration, delegation, capability resolution, routing, cancellation, evidence, and receipts.</w:t>
            </w:r>
          </w:p>
        </w:tc>
      </w:tr>
      <w:tr w14:paraId="0AE5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shd w:val="clear" w:color="auto" w:fill="F5F8FB"/>
            <w:tcMar>
              <w:top w:w="80" w:type="dxa"/>
              <w:left w:w="120" w:type="dxa"/>
              <w:bottom w:w="80" w:type="dxa"/>
              <w:right w:w="120" w:type="dxa"/>
            </w:tcMar>
            <w:vAlign w:val="center"/>
          </w:tcPr>
          <w:p w14:paraId="2796A5C4">
            <w:r>
              <w:rPr>
                <w:sz w:val="18"/>
              </w:rPr>
              <w:t>Trust &amp; User Intelligence</w:t>
            </w:r>
          </w:p>
        </w:tc>
        <w:tc>
          <w:tcPr>
            <w:tcW w:w="6960" w:type="dxa"/>
            <w:shd w:val="clear" w:color="auto" w:fill="F5F8FB"/>
            <w:tcMar>
              <w:top w:w="80" w:type="dxa"/>
              <w:left w:w="120" w:type="dxa"/>
              <w:bottom w:w="80" w:type="dxa"/>
              <w:right w:w="120" w:type="dxa"/>
            </w:tcMar>
            <w:vAlign w:val="center"/>
          </w:tcPr>
          <w:p w14:paraId="22CE1F35">
            <w:r>
              <w:rPr>
                <w:sz w:val="18"/>
              </w:rPr>
              <w:t>Permissions, secrets, egress, audit, recovery, and causal understanding. Understanding never grants authorization.</w:t>
            </w:r>
          </w:p>
        </w:tc>
      </w:tr>
      <w:tr w14:paraId="3C07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Mar>
              <w:top w:w="80" w:type="dxa"/>
              <w:left w:w="120" w:type="dxa"/>
              <w:bottom w:w="80" w:type="dxa"/>
              <w:right w:w="120" w:type="dxa"/>
            </w:tcMar>
            <w:vAlign w:val="center"/>
          </w:tcPr>
          <w:p w14:paraId="7F881D22">
            <w:r>
              <w:rPr>
                <w:sz w:val="18"/>
              </w:rPr>
              <w:t>Store / Package</w:t>
            </w:r>
          </w:p>
        </w:tc>
        <w:tc>
          <w:tcPr>
            <w:tcW w:w="6960" w:type="dxa"/>
            <w:tcMar>
              <w:top w:w="80" w:type="dxa"/>
              <w:left w:w="120" w:type="dxa"/>
              <w:bottom w:w="80" w:type="dxa"/>
              <w:right w:w="120" w:type="dxa"/>
            </w:tcMar>
            <w:vAlign w:val="center"/>
          </w:tcPr>
          <w:p w14:paraId="611CD18B">
            <w:r>
              <w:rPr>
                <w:sz w:val="18"/>
              </w:rPr>
              <w:t>Catalog, commerce, and ABI remain in base; optional implementations are signed, isolated, lifecycle-managed packages.</w:t>
            </w:r>
          </w:p>
        </w:tc>
      </w:tr>
      <w:tr w14:paraId="4F0B4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shd w:val="clear" w:color="auto" w:fill="F5F8FB"/>
            <w:tcMar>
              <w:top w:w="80" w:type="dxa"/>
              <w:left w:w="120" w:type="dxa"/>
              <w:bottom w:w="80" w:type="dxa"/>
              <w:right w:w="120" w:type="dxa"/>
            </w:tcMar>
            <w:vAlign w:val="center"/>
          </w:tcPr>
          <w:p w14:paraId="799E014E">
            <w:r>
              <w:rPr>
                <w:sz w:val="18"/>
              </w:rPr>
              <w:t>AI targets</w:t>
            </w:r>
          </w:p>
        </w:tc>
        <w:tc>
          <w:tcPr>
            <w:tcW w:w="6960" w:type="dxa"/>
            <w:shd w:val="clear" w:color="auto" w:fill="F5F8FB"/>
            <w:tcMar>
              <w:top w:w="80" w:type="dxa"/>
              <w:left w:w="120" w:type="dxa"/>
              <w:bottom w:w="80" w:type="dxa"/>
              <w:right w:w="120" w:type="dxa"/>
            </w:tcMar>
            <w:vAlign w:val="center"/>
          </w:tcPr>
          <w:p w14:paraId="6FA82B7A">
            <w:r>
              <w:rPr>
                <w:sz w:val="18"/>
              </w:rPr>
              <w:t>API key, supported OAuth/router, CLI/MCP, cloud models, and local models use the same Run and Trust contracts.</w:t>
            </w:r>
          </w:p>
        </w:tc>
      </w:tr>
      <w:tr w14:paraId="525E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Mar>
              <w:top w:w="80" w:type="dxa"/>
              <w:left w:w="120" w:type="dxa"/>
              <w:bottom w:w="80" w:type="dxa"/>
              <w:right w:w="120" w:type="dxa"/>
            </w:tcMar>
            <w:vAlign w:val="center"/>
          </w:tcPr>
          <w:p w14:paraId="7586B552">
            <w:r>
              <w:rPr>
                <w:sz w:val="18"/>
              </w:rPr>
              <w:t>Managed usage</w:t>
            </w:r>
          </w:p>
        </w:tc>
        <w:tc>
          <w:tcPr>
            <w:tcW w:w="6960" w:type="dxa"/>
            <w:tcMar>
              <w:top w:w="80" w:type="dxa"/>
              <w:left w:w="120" w:type="dxa"/>
              <w:bottom w:w="80" w:type="dxa"/>
              <w:right w:w="120" w:type="dxa"/>
            </w:tcMar>
            <w:vAlign w:val="center"/>
          </w:tcPr>
          <w:p w14:paraId="0D2CF43E">
            <w:r>
              <w:rPr>
                <w:sz w:val="18"/>
              </w:rPr>
              <w:t>Managed AI and cloud execution are prepaid, metered separately, scale to zero, and fail without disabling local/BYOK/user-owned cloud.</w:t>
            </w:r>
          </w:p>
        </w:tc>
      </w:tr>
    </w:tbl>
    <w:p w14:paraId="143F627A">
      <w:pPr>
        <w:spacing w:after="0"/>
      </w:pPr>
    </w:p>
    <w:p w14:paraId="4744A43E">
      <w:pPr>
        <w:pStyle w:val="2"/>
      </w:pPr>
      <w:r>
        <w:t>4. User understanding means understanding causes</w:t>
      </w:r>
    </w:p>
    <w:p w14:paraId="4E773317">
      <w:r>
        <w:t xml:space="preserve">A choice becomes reusable context only when the system preserves </w:t>
      </w:r>
      <w:r>
        <w:rPr>
          <w:b/>
        </w:rPr>
        <w:t>context -&gt; origin/evidence -&gt; reason -&gt; scope -&gt; proposal -&gt; outcome</w:t>
      </w:r>
      <w:r>
        <w:t>. A request such as 'keep videos under 45 seconds' is not a global habit. The system must know why, which series or format it applies to, and ask when a new scope is uncertain.</w:t>
      </w:r>
    </w:p>
    <w:p w14:paraId="0303B841">
      <w:r>
        <w:t>Personality, psychology, taste, aesthetics, and decision style are sensitive, purpose-bound context. They may shape a proposal or presentation, but never grant capability, reduce consent, raise package trust, or drive targeted advertising. Users can inspect provenance, explain, confirm, reject, correct, forget, export, delete, or pause learning.</w:t>
      </w:r>
    </w:p>
    <w:tbl>
      <w:tblPr>
        <w:tblStyle w:val="12"/>
        <w:tblW w:w="9360" w:type="dxa"/>
        <w:jc w:val="center"/>
        <w:tblLayout w:type="fixed"/>
        <w:tblCellMar>
          <w:top w:w="0" w:type="dxa"/>
          <w:left w:w="108" w:type="dxa"/>
          <w:bottom w:w="0" w:type="dxa"/>
          <w:right w:w="108" w:type="dxa"/>
        </w:tblCellMar>
      </w:tblPr>
      <w:tblGrid>
        <w:gridCol w:w="9360"/>
      </w:tblGrid>
      <w:tr w14:paraId="3C690C57">
        <w:tblPrEx>
          <w:tblCellMar>
            <w:top w:w="0" w:type="dxa"/>
            <w:left w:w="108" w:type="dxa"/>
            <w:bottom w:w="0" w:type="dxa"/>
            <w:right w:w="108" w:type="dxa"/>
          </w:tblCellMar>
        </w:tblPrEx>
        <w:trPr>
          <w:cantSplit/>
          <w:tblHeader/>
          <w:jc w:val="center"/>
        </w:trPr>
        <w:tc>
          <w:tcPr>
            <w:tcW w:w="9360" w:type="dxa"/>
            <w:shd w:val="clear" w:color="auto" w:fill="FFF2CC"/>
            <w:tcMar>
              <w:top w:w="80" w:type="dxa"/>
              <w:left w:w="120" w:type="dxa"/>
              <w:bottom w:w="80" w:type="dxa"/>
              <w:right w:w="120" w:type="dxa"/>
            </w:tcMar>
            <w:vAlign w:val="center"/>
          </w:tcPr>
          <w:p w14:paraId="7E20B041">
            <w:pPr>
              <w:spacing w:after="60"/>
            </w:pPr>
            <w:r>
              <w:rPr>
                <w:b/>
                <w:color w:val="0B2545"/>
              </w:rPr>
              <w:t>Always look back to the reason</w:t>
            </w:r>
          </w:p>
          <w:p w14:paraId="24CF8644">
            <w:r>
              <w:t>Do not remember an action without its cause. Trying to find an apply button on a closed job is a lesson to avoid; 'the CV is in folder abc' applies only to the stated scope and does not imply using a full-time CV for every part-time role.</w:t>
            </w:r>
          </w:p>
        </w:tc>
      </w:tr>
    </w:tbl>
    <w:p w14:paraId="5440D6A2">
      <w:pPr>
        <w:spacing w:after="0"/>
      </w:pPr>
    </w:p>
    <w:p w14:paraId="20720F70">
      <w:pPr>
        <w:pStyle w:val="2"/>
      </w:pPr>
      <w:r>
        <w:t>5. Orchestration and the package ecosystem</w:t>
      </w:r>
    </w:p>
    <w:p w14:paraId="234E4934">
      <w:r>
        <w:t xml:space="preserve">The architecture does not invoke a separate LLM for every layer. State, policy, discovery, accounting, and lifecycle are deterministic services; a model is called only when the active step needs reasoning. Capability Resolver returns </w:t>
      </w:r>
      <w:r>
        <w:rPr>
          <w:rFonts w:ascii="Consolas" w:hAnsi="Consolas"/>
          <w:color w:val="0B2545"/>
          <w:sz w:val="18"/>
        </w:rPr>
        <w:t>ready-local</w:t>
      </w:r>
      <w:r>
        <w:t xml:space="preserve">, </w:t>
      </w:r>
      <w:r>
        <w:rPr>
          <w:rFonts w:ascii="Consolas" w:hAnsi="Consolas"/>
          <w:color w:val="0B2545"/>
          <w:sz w:val="18"/>
        </w:rPr>
        <w:t>ready-remote</w:t>
      </w:r>
      <w:r>
        <w:t xml:space="preserve">, </w:t>
      </w:r>
      <w:r>
        <w:rPr>
          <w:rFonts w:ascii="Consolas" w:hAnsi="Consolas"/>
          <w:color w:val="0B2545"/>
          <w:sz w:val="18"/>
        </w:rPr>
        <w:t>installable</w:t>
      </w:r>
      <w:r>
        <w:t xml:space="preserve">, or </w:t>
      </w:r>
      <w:r>
        <w:rPr>
          <w:rFonts w:ascii="Consolas" w:hAnsi="Consolas"/>
          <w:color w:val="0B2545"/>
          <w:sz w:val="18"/>
        </w:rPr>
        <w:t>unavailable</w:t>
      </w:r>
      <w:r>
        <w:t>.</w:t>
      </w:r>
    </w:p>
    <w:p w14:paraId="7CAB7123">
      <w:r>
        <w:t>Remote zero-install lets agents use large capability catalogs without downloading desktop executables. Installation occurs only for direct UI, local/offline execution, or explicit consent. Package A calls package B through a brokered grant with caller/callee identity, capability, budget, and receipt, never through implementation imports or privilege union.</w:t>
      </w:r>
    </w:p>
    <w:p w14:paraId="4ED1D9BB">
      <w:r>
        <w:t xml:space="preserve">Theme packages use semantic tokens and compatibility contracts. A workflow is an operational graph. A </w:t>
      </w:r>
      <w:r>
        <w:rPr>
          <w:b/>
        </w:rPr>
        <w:t>Super Package</w:t>
      </w:r>
      <w:r>
        <w:t xml:space="preserve"> bundles a verified graph, input form, package dependencies, checkpoints, and prior failure lessons so the backend can replay work faster and with fewer tokens while still passing through Run, Trust, billing, and package policy.</w:t>
      </w:r>
    </w:p>
    <w:p w14:paraId="63AAD5E9">
      <w:pPr>
        <w:pStyle w:val="2"/>
      </w:pPr>
      <w:r>
        <w:t>6. Store, Credit, and cloud economics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14:paraId="780A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E8EEF5"/>
            <w:tcMar>
              <w:top w:w="80" w:type="dxa"/>
              <w:left w:w="120" w:type="dxa"/>
              <w:bottom w:w="80" w:type="dxa"/>
              <w:right w:w="120" w:type="dxa"/>
            </w:tcMar>
            <w:vAlign w:val="center"/>
          </w:tcPr>
          <w:p w14:paraId="6AD12194">
            <w:pPr>
              <w:jc w:val="left"/>
            </w:pPr>
            <w:r>
              <w:rPr>
                <w:b/>
                <w:color w:val="0B2545"/>
              </w:rPr>
              <w:t>AREA</w:t>
            </w:r>
          </w:p>
        </w:tc>
        <w:tc>
          <w:tcPr>
            <w:tcW w:w="7160" w:type="dxa"/>
            <w:shd w:val="clear" w:color="auto" w:fill="E8EEF5"/>
            <w:tcMar>
              <w:top w:w="80" w:type="dxa"/>
              <w:left w:w="120" w:type="dxa"/>
              <w:bottom w:w="80" w:type="dxa"/>
              <w:right w:w="120" w:type="dxa"/>
            </w:tcMar>
            <w:vAlign w:val="center"/>
          </w:tcPr>
          <w:p w14:paraId="662D42BA">
            <w:pPr>
              <w:jc w:val="left"/>
            </w:pPr>
            <w:r>
              <w:rPr>
                <w:b/>
                <w:color w:val="0B2545"/>
              </w:rPr>
              <w:t>RULE</w:t>
            </w:r>
          </w:p>
        </w:tc>
      </w:tr>
      <w:tr w14:paraId="7382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Mar>
              <w:top w:w="80" w:type="dxa"/>
              <w:left w:w="120" w:type="dxa"/>
              <w:bottom w:w="80" w:type="dxa"/>
              <w:right w:w="120" w:type="dxa"/>
            </w:tcMar>
            <w:vAlign w:val="center"/>
          </w:tcPr>
          <w:p w14:paraId="268A3E44">
            <w:r>
              <w:rPr>
                <w:sz w:val="18"/>
              </w:rPr>
              <w:t>Core platform</w:t>
            </w:r>
          </w:p>
        </w:tc>
        <w:tc>
          <w:tcPr>
            <w:tcW w:w="7160" w:type="dxa"/>
            <w:tcMar>
              <w:top w:w="80" w:type="dxa"/>
              <w:left w:w="120" w:type="dxa"/>
              <w:bottom w:w="80" w:type="dxa"/>
              <w:right w:w="120" w:type="dxa"/>
            </w:tcMar>
            <w:vAlign w:val="center"/>
          </w:tcPr>
          <w:p w14:paraId="78989422">
            <w:r>
              <w:rPr>
                <w:sz w:val="18"/>
              </w:rPr>
              <w:t>Free. Local, BYOK, CLI/MCP, and user-owned cloud have no platform usage fee.</w:t>
            </w:r>
          </w:p>
        </w:tc>
      </w:tr>
      <w:tr w14:paraId="03EA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5F8FB"/>
            <w:tcMar>
              <w:top w:w="80" w:type="dxa"/>
              <w:left w:w="120" w:type="dxa"/>
              <w:bottom w:w="80" w:type="dxa"/>
              <w:right w:w="120" w:type="dxa"/>
            </w:tcMar>
            <w:vAlign w:val="center"/>
          </w:tcPr>
          <w:p w14:paraId="7A290533">
            <w:r>
              <w:rPr>
                <w:sz w:val="18"/>
              </w:rPr>
              <w:t>Managed usage</w:t>
            </w:r>
          </w:p>
        </w:tc>
        <w:tc>
          <w:tcPr>
            <w:tcW w:w="7160" w:type="dxa"/>
            <w:shd w:val="clear" w:color="auto" w:fill="F5F8FB"/>
            <w:tcMar>
              <w:top w:w="80" w:type="dxa"/>
              <w:left w:w="120" w:type="dxa"/>
              <w:bottom w:w="80" w:type="dxa"/>
              <w:right w:w="120" w:type="dxa"/>
            </w:tcMar>
            <w:vAlign w:val="center"/>
          </w:tcPr>
          <w:p w14:paraId="06532F6D">
            <w:r>
              <w:rPr>
                <w:sz w:val="18"/>
              </w:rPr>
              <w:t>One Tomni Credit (TC) is the payment unit; AI and cloud keep separate rate cards and meters, quote first, reserve, then settle.</w:t>
            </w:r>
          </w:p>
        </w:tc>
      </w:tr>
      <w:tr w14:paraId="4325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Mar>
              <w:top w:w="80" w:type="dxa"/>
              <w:left w:w="120" w:type="dxa"/>
              <w:bottom w:w="80" w:type="dxa"/>
              <w:right w:w="120" w:type="dxa"/>
            </w:tcMar>
            <w:vAlign w:val="center"/>
          </w:tcPr>
          <w:p w14:paraId="55A7D334">
            <w:r>
              <w:rPr>
                <w:sz w:val="18"/>
              </w:rPr>
              <w:t>Store</w:t>
            </w:r>
          </w:p>
        </w:tc>
        <w:tc>
          <w:tcPr>
            <w:tcW w:w="7160" w:type="dxa"/>
            <w:tcMar>
              <w:top w:w="80" w:type="dxa"/>
              <w:left w:w="120" w:type="dxa"/>
              <w:bottom w:w="80" w:type="dxa"/>
              <w:right w:w="120" w:type="dxa"/>
            </w:tcMar>
            <w:vAlign w:val="center"/>
          </w:tcPr>
          <w:p w14:paraId="518B35F3">
            <w:r>
              <w:rPr>
                <w:sz w:val="18"/>
              </w:rPr>
              <w:t>Package purchases use ordinary money, not TC at MVP. The standard fixture records 15% Tomni and 85% publisher after tax/refund.</w:t>
            </w:r>
          </w:p>
        </w:tc>
      </w:tr>
      <w:tr w14:paraId="3618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5F8FB"/>
            <w:tcMar>
              <w:top w:w="80" w:type="dxa"/>
              <w:left w:w="120" w:type="dxa"/>
              <w:bottom w:w="80" w:type="dxa"/>
              <w:right w:w="120" w:type="dxa"/>
            </w:tcMar>
            <w:vAlign w:val="center"/>
          </w:tcPr>
          <w:p w14:paraId="0C2B3E38">
            <w:r>
              <w:rPr>
                <w:sz w:val="18"/>
              </w:rPr>
              <w:t>Cloud</w:t>
            </w:r>
          </w:p>
        </w:tc>
        <w:tc>
          <w:tcPr>
            <w:tcW w:w="7160" w:type="dxa"/>
            <w:shd w:val="clear" w:color="auto" w:fill="F5F8FB"/>
            <w:tcMar>
              <w:top w:w="80" w:type="dxa"/>
              <w:left w:w="120" w:type="dxa"/>
              <w:bottom w:w="80" w:type="dxa"/>
              <w:right w:w="120" w:type="dxa"/>
            </w:tcMar>
            <w:vAlign w:val="center"/>
          </w:tcPr>
          <w:p w14:paraId="08D628E8">
            <w:r>
              <w:rPr>
                <w:sz w:val="18"/>
              </w:rPr>
              <w:t>Prepaid and scale-to-zero. MVP supports one General on-demand class; no warm pool or reserved capacity before measured economics justify it.</w:t>
            </w:r>
          </w:p>
        </w:tc>
      </w:tr>
      <w:tr w14:paraId="7287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Mar>
              <w:top w:w="80" w:type="dxa"/>
              <w:left w:w="120" w:type="dxa"/>
              <w:bottom w:w="80" w:type="dxa"/>
              <w:right w:w="120" w:type="dxa"/>
            </w:tcMar>
            <w:vAlign w:val="center"/>
          </w:tcPr>
          <w:p w14:paraId="699D9447">
            <w:r>
              <w:rPr>
                <w:sz w:val="18"/>
              </w:rPr>
              <w:t>Launch</w:t>
            </w:r>
          </w:p>
        </w:tc>
        <w:tc>
          <w:tcPr>
            <w:tcW w:w="7160" w:type="dxa"/>
            <w:tcMar>
              <w:top w:w="80" w:type="dxa"/>
              <w:left w:w="120" w:type="dxa"/>
              <w:bottom w:w="80" w:type="dxa"/>
              <w:right w:w="120" w:type="dxa"/>
            </w:tcMar>
            <w:vAlign w:val="center"/>
          </w:tcPr>
          <w:p w14:paraId="7A85E2CF">
            <w:r>
              <w:rPr>
                <w:sz w:val="18"/>
              </w:rPr>
              <w:t>Near-zero fixed infrastructure cost. Each managed-AI/cloud user prepays enough to cover the action; Store and managed-usage margin scale with activity.</w:t>
            </w:r>
          </w:p>
        </w:tc>
      </w:tr>
    </w:tbl>
    <w:p w14:paraId="2E720832">
      <w:pPr>
        <w:spacing w:after="0"/>
      </w:pPr>
    </w:p>
    <w:tbl>
      <w:tblPr>
        <w:tblStyle w:val="12"/>
        <w:tblW w:w="9360" w:type="dxa"/>
        <w:jc w:val="center"/>
        <w:tblLayout w:type="fixed"/>
        <w:tblCellMar>
          <w:top w:w="0" w:type="dxa"/>
          <w:left w:w="108" w:type="dxa"/>
          <w:bottom w:w="0" w:type="dxa"/>
          <w:right w:w="108" w:type="dxa"/>
        </w:tblCellMar>
      </w:tblPr>
      <w:tblGrid>
        <w:gridCol w:w="9360"/>
      </w:tblGrid>
      <w:tr w14:paraId="238DE9BE">
        <w:tblPrEx>
          <w:tblCellMar>
            <w:top w:w="0" w:type="dxa"/>
            <w:left w:w="108" w:type="dxa"/>
            <w:bottom w:w="0" w:type="dxa"/>
            <w:right w:w="108" w:type="dxa"/>
          </w:tblCellMar>
        </w:tblPrEx>
        <w:trPr>
          <w:cantSplit/>
          <w:tblHeader/>
          <w:jc w:val="center"/>
        </w:trPr>
        <w:tc>
          <w:tcPr>
            <w:tcW w:w="9360" w:type="dxa"/>
            <w:shd w:val="clear" w:color="auto" w:fill="FCE4E4"/>
            <w:tcMar>
              <w:top w:w="80" w:type="dxa"/>
              <w:left w:w="120" w:type="dxa"/>
              <w:bottom w:w="80" w:type="dxa"/>
              <w:right w:w="120" w:type="dxa"/>
            </w:tcMar>
            <w:vAlign w:val="center"/>
          </w:tcPr>
          <w:p w14:paraId="1AE20E7F">
            <w:pPr>
              <w:spacing w:after="60"/>
            </w:pPr>
            <w:r>
              <w:rPr>
                <w:b/>
                <w:color w:val="0B2545"/>
              </w:rPr>
              <w:t>Legal boundary</w:t>
            </w:r>
          </w:p>
          <w:p w14:paraId="0C282F09">
            <w:r>
              <w:t>Public third-party payout is post-MVP and BLOCKED until Merchant-of-Record, tax, KYC/sanctions, refund, chargeback, reserve, and negative-publisher-balance policies and tests exist.</w:t>
            </w:r>
          </w:p>
        </w:tc>
      </w:tr>
    </w:tbl>
    <w:p w14:paraId="63BBA6C6">
      <w:pPr>
        <w:spacing w:after="0"/>
      </w:pPr>
    </w:p>
    <w:p w14:paraId="25CDB246">
      <w:pPr>
        <w:pStyle w:val="2"/>
      </w:pPr>
      <w:r>
        <w:t>7. Two MVP release checkpoints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700"/>
        <w:gridCol w:w="2560"/>
      </w:tblGrid>
      <w:tr w14:paraId="7C484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5A8E38BC">
            <w:pPr>
              <w:jc w:val="left"/>
            </w:pPr>
            <w:r>
              <w:rPr>
                <w:b/>
                <w:color w:val="0B2545"/>
              </w:rPr>
              <w:t>CHECKPOINT</w:t>
            </w:r>
          </w:p>
        </w:tc>
        <w:tc>
          <w:tcPr>
            <w:tcW w:w="4700" w:type="dxa"/>
            <w:shd w:val="clear" w:color="auto" w:fill="E8EEF5"/>
            <w:tcMar>
              <w:top w:w="80" w:type="dxa"/>
              <w:left w:w="120" w:type="dxa"/>
              <w:bottom w:w="80" w:type="dxa"/>
              <w:right w:w="120" w:type="dxa"/>
            </w:tcMar>
            <w:vAlign w:val="center"/>
          </w:tcPr>
          <w:p w14:paraId="7C2FB92A">
            <w:pPr>
              <w:jc w:val="left"/>
            </w:pPr>
            <w:r>
              <w:rPr>
                <w:b/>
                <w:color w:val="0B2545"/>
              </w:rPr>
              <w:t>INCLUDES</w:t>
            </w:r>
          </w:p>
        </w:tc>
        <w:tc>
          <w:tcPr>
            <w:tcW w:w="2560" w:type="dxa"/>
            <w:shd w:val="clear" w:color="auto" w:fill="E8EEF5"/>
            <w:tcMar>
              <w:top w:w="80" w:type="dxa"/>
              <w:left w:w="120" w:type="dxa"/>
              <w:bottom w:w="80" w:type="dxa"/>
              <w:right w:w="120" w:type="dxa"/>
            </w:tcMar>
            <w:vAlign w:val="center"/>
          </w:tcPr>
          <w:p w14:paraId="13BB3673">
            <w:pPr>
              <w:jc w:val="left"/>
            </w:pPr>
            <w:r>
              <w:rPr>
                <w:b/>
                <w:color w:val="0B2545"/>
              </w:rPr>
              <w:t>MUST NOT BE CALLED</w:t>
            </w:r>
          </w:p>
        </w:tc>
      </w:tr>
      <w:tr w14:paraId="70C0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355DA2EF">
            <w:r>
              <w:rPr>
                <w:sz w:val="18"/>
              </w:rPr>
              <w:t>Core plus Store candidate</w:t>
            </w:r>
          </w:p>
        </w:tc>
        <w:tc>
          <w:tcPr>
            <w:tcW w:w="4700" w:type="dxa"/>
            <w:tcMar>
              <w:top w:w="80" w:type="dxa"/>
              <w:left w:w="120" w:type="dxa"/>
              <w:bottom w:w="80" w:type="dxa"/>
              <w:right w:w="120" w:type="dxa"/>
            </w:tcMar>
            <w:vAlign w:val="center"/>
          </w:tcPr>
          <w:p w14:paraId="7B70C6E0">
            <w:r>
              <w:rPr>
                <w:sz w:val="18"/>
              </w:rPr>
              <w:t>Hub/Trust/causal context; provider-neutral targets; resolver; signed pilot; extracted IDE; paid first-party Store; recovery and package absence.</w:t>
            </w:r>
          </w:p>
        </w:tc>
        <w:tc>
          <w:tcPr>
            <w:tcW w:w="2560" w:type="dxa"/>
            <w:tcMar>
              <w:top w:w="80" w:type="dxa"/>
              <w:left w:w="120" w:type="dxa"/>
              <w:bottom w:w="80" w:type="dxa"/>
              <w:right w:w="120" w:type="dxa"/>
            </w:tcMar>
            <w:vAlign w:val="center"/>
          </w:tcPr>
          <w:p w14:paraId="0689F28F">
            <w:r>
              <w:rPr>
                <w:sz w:val="18"/>
              </w:rPr>
              <w:t>Full managed-usage MVP while managed AI/cloud gates remain incomplete.</w:t>
            </w:r>
          </w:p>
        </w:tc>
      </w:tr>
      <w:tr w14:paraId="3B17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0E760A11">
            <w:r>
              <w:rPr>
                <w:sz w:val="18"/>
              </w:rPr>
              <w:t>Full managed-usage MVP</w:t>
            </w:r>
          </w:p>
        </w:tc>
        <w:tc>
          <w:tcPr>
            <w:tcW w:w="4700" w:type="dxa"/>
            <w:shd w:val="clear" w:color="auto" w:fill="F5F8FB"/>
            <w:tcMar>
              <w:top w:w="80" w:type="dxa"/>
              <w:left w:w="120" w:type="dxa"/>
              <w:bottom w:w="80" w:type="dxa"/>
              <w:right w:w="120" w:type="dxa"/>
            </w:tcMar>
            <w:vAlign w:val="center"/>
          </w:tcPr>
          <w:p w14:paraId="78DC5CEC">
            <w:r>
              <w:rPr>
                <w:sz w:val="18"/>
              </w:rPr>
              <w:t>Adds managed-AI quote/reserve/meter/settle and prepaid scale-to-zero managed cloud with cleanup and reconciliation.</w:t>
            </w:r>
          </w:p>
        </w:tc>
        <w:tc>
          <w:tcPr>
            <w:tcW w:w="2560" w:type="dxa"/>
            <w:shd w:val="clear" w:color="auto" w:fill="F5F8FB"/>
            <w:tcMar>
              <w:top w:w="80" w:type="dxa"/>
              <w:left w:w="120" w:type="dxa"/>
              <w:bottom w:w="80" w:type="dxa"/>
              <w:right w:w="120" w:type="dxa"/>
            </w:tcMar>
            <w:vAlign w:val="center"/>
          </w:tcPr>
          <w:p w14:paraId="44871C04">
            <w:r>
              <w:rPr>
                <w:sz w:val="18"/>
              </w:rPr>
              <w:t>Complete merely because an unproven feature switch is disabled.</w:t>
            </w:r>
          </w:p>
        </w:tc>
      </w:tr>
    </w:tbl>
    <w:p w14:paraId="50B78FE6">
      <w:pPr>
        <w:spacing w:after="0"/>
      </w:pPr>
    </w:p>
    <w:p w14:paraId="1DF403D3">
      <w:pPr>
        <w:pStyle w:val="2"/>
      </w:pPr>
      <w:r>
        <w:t>8. C0-C6 checkpoints and continuous Store</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400"/>
        <w:gridCol w:w="6060"/>
      </w:tblGrid>
      <w:tr w14:paraId="5FC1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E8EEF5"/>
            <w:tcMar>
              <w:top w:w="80" w:type="dxa"/>
              <w:left w:w="120" w:type="dxa"/>
              <w:bottom w:w="80" w:type="dxa"/>
              <w:right w:w="120" w:type="dxa"/>
            </w:tcMar>
            <w:vAlign w:val="center"/>
          </w:tcPr>
          <w:p w14:paraId="2A0819A3">
            <w:pPr>
              <w:jc w:val="left"/>
            </w:pPr>
            <w:r>
              <w:rPr>
                <w:b/>
                <w:color w:val="0B2545"/>
              </w:rPr>
              <w:t>ID</w:t>
            </w:r>
          </w:p>
        </w:tc>
        <w:tc>
          <w:tcPr>
            <w:tcW w:w="2400" w:type="dxa"/>
            <w:shd w:val="clear" w:color="auto" w:fill="E8EEF5"/>
            <w:tcMar>
              <w:top w:w="80" w:type="dxa"/>
              <w:left w:w="120" w:type="dxa"/>
              <w:bottom w:w="80" w:type="dxa"/>
              <w:right w:w="120" w:type="dxa"/>
            </w:tcMar>
            <w:vAlign w:val="center"/>
          </w:tcPr>
          <w:p w14:paraId="4B156582">
            <w:pPr>
              <w:jc w:val="left"/>
            </w:pPr>
            <w:r>
              <w:rPr>
                <w:b/>
                <w:color w:val="0B2545"/>
              </w:rPr>
              <w:t>OBJECTIVE</w:t>
            </w:r>
          </w:p>
        </w:tc>
        <w:tc>
          <w:tcPr>
            <w:tcW w:w="6060" w:type="dxa"/>
            <w:shd w:val="clear" w:color="auto" w:fill="E8EEF5"/>
            <w:tcMar>
              <w:top w:w="80" w:type="dxa"/>
              <w:left w:w="120" w:type="dxa"/>
              <w:bottom w:w="80" w:type="dxa"/>
              <w:right w:w="120" w:type="dxa"/>
            </w:tcMar>
            <w:vAlign w:val="center"/>
          </w:tcPr>
          <w:p w14:paraId="3CC6B177">
            <w:pPr>
              <w:jc w:val="left"/>
            </w:pPr>
            <w:r>
              <w:rPr>
                <w:b/>
                <w:color w:val="0B2545"/>
              </w:rPr>
              <w:t>KEY EXIT</w:t>
            </w:r>
          </w:p>
        </w:tc>
      </w:tr>
      <w:tr w14:paraId="59FE9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Mar>
              <w:top w:w="80" w:type="dxa"/>
              <w:left w:w="120" w:type="dxa"/>
              <w:bottom w:w="80" w:type="dxa"/>
              <w:right w:w="120" w:type="dxa"/>
            </w:tcMar>
            <w:vAlign w:val="center"/>
          </w:tcPr>
          <w:p w14:paraId="47989423">
            <w:r>
              <w:rPr>
                <w:sz w:val="18"/>
              </w:rPr>
              <w:t>C0</w:t>
            </w:r>
          </w:p>
        </w:tc>
        <w:tc>
          <w:tcPr>
            <w:tcW w:w="2400" w:type="dxa"/>
            <w:tcMar>
              <w:top w:w="80" w:type="dxa"/>
              <w:left w:w="120" w:type="dxa"/>
              <w:bottom w:w="80" w:type="dxa"/>
              <w:right w:w="120" w:type="dxa"/>
            </w:tcMar>
            <w:vAlign w:val="center"/>
          </w:tcPr>
          <w:p w14:paraId="11CFB64A">
            <w:r>
              <w:rPr>
                <w:sz w:val="18"/>
              </w:rPr>
              <w:t>Evidence lock</w:t>
            </w:r>
          </w:p>
        </w:tc>
        <w:tc>
          <w:tcPr>
            <w:tcW w:w="6060" w:type="dxa"/>
            <w:tcMar>
              <w:top w:w="80" w:type="dxa"/>
              <w:left w:w="120" w:type="dxa"/>
              <w:bottom w:w="80" w:type="dxa"/>
              <w:right w:w="120" w:type="dxa"/>
            </w:tcMar>
            <w:vAlign w:val="center"/>
          </w:tcPr>
          <w:p w14:paraId="09BAA463">
            <w:r>
              <w:rPr>
                <w:sz w:val="18"/>
              </w:rPr>
              <w:t>Deterministic inventory; every executor, egress, IPC, package action, and money path has an owner.</w:t>
            </w:r>
          </w:p>
        </w:tc>
      </w:tr>
      <w:tr w14:paraId="47DE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shd w:val="clear" w:color="auto" w:fill="F5F8FB"/>
            <w:tcMar>
              <w:top w:w="80" w:type="dxa"/>
              <w:left w:w="120" w:type="dxa"/>
              <w:bottom w:w="80" w:type="dxa"/>
              <w:right w:w="120" w:type="dxa"/>
            </w:tcMar>
            <w:vAlign w:val="center"/>
          </w:tcPr>
          <w:p w14:paraId="58C448B2">
            <w:r>
              <w:rPr>
                <w:sz w:val="18"/>
              </w:rPr>
              <w:t>C1</w:t>
            </w:r>
          </w:p>
        </w:tc>
        <w:tc>
          <w:tcPr>
            <w:tcW w:w="2400" w:type="dxa"/>
            <w:shd w:val="clear" w:color="auto" w:fill="F5F8FB"/>
            <w:tcMar>
              <w:top w:w="80" w:type="dxa"/>
              <w:left w:w="120" w:type="dxa"/>
              <w:bottom w:w="80" w:type="dxa"/>
              <w:right w:w="120" w:type="dxa"/>
            </w:tcMar>
            <w:vAlign w:val="center"/>
          </w:tcPr>
          <w:p w14:paraId="1C67FCC3">
            <w:r>
              <w:rPr>
                <w:sz w:val="18"/>
              </w:rPr>
              <w:t>Minimal contracts</w:t>
            </w:r>
          </w:p>
        </w:tc>
        <w:tc>
          <w:tcPr>
            <w:tcW w:w="6060" w:type="dxa"/>
            <w:shd w:val="clear" w:color="auto" w:fill="F5F8FB"/>
            <w:tcMar>
              <w:top w:w="80" w:type="dxa"/>
              <w:left w:w="120" w:type="dxa"/>
              <w:bottom w:w="80" w:type="dxa"/>
              <w:right w:w="120" w:type="dxa"/>
            </w:tcMar>
            <w:vAlign w:val="center"/>
          </w:tcPr>
          <w:p w14:paraId="3F0D0F4E">
            <w:r>
              <w:rPr>
                <w:sz w:val="18"/>
              </w:rPr>
              <w:t>Freeze Run/Trust/Context, package/resolution, and Store commerce in short serialized batches.</w:t>
            </w:r>
          </w:p>
        </w:tc>
      </w:tr>
      <w:tr w14:paraId="3E05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Mar>
              <w:top w:w="80" w:type="dxa"/>
              <w:left w:w="120" w:type="dxa"/>
              <w:bottom w:w="80" w:type="dxa"/>
              <w:right w:w="120" w:type="dxa"/>
            </w:tcMar>
            <w:vAlign w:val="center"/>
          </w:tcPr>
          <w:p w14:paraId="04293958">
            <w:r>
              <w:rPr>
                <w:sz w:val="18"/>
              </w:rPr>
              <w:t>C2</w:t>
            </w:r>
          </w:p>
        </w:tc>
        <w:tc>
          <w:tcPr>
            <w:tcW w:w="2400" w:type="dxa"/>
            <w:tcMar>
              <w:top w:w="80" w:type="dxa"/>
              <w:left w:w="120" w:type="dxa"/>
              <w:bottom w:w="80" w:type="dxa"/>
              <w:right w:w="120" w:type="dxa"/>
            </w:tcMar>
            <w:vAlign w:val="center"/>
          </w:tcPr>
          <w:p w14:paraId="4949A562">
            <w:r>
              <w:rPr>
                <w:sz w:val="18"/>
              </w:rPr>
              <w:t>First safe vertical</w:t>
            </w:r>
          </w:p>
        </w:tc>
        <w:tc>
          <w:tcPr>
            <w:tcW w:w="6060" w:type="dxa"/>
            <w:tcMar>
              <w:top w:w="80" w:type="dxa"/>
              <w:left w:w="120" w:type="dxa"/>
              <w:bottom w:w="80" w:type="dxa"/>
              <w:right w:w="120" w:type="dxa"/>
            </w:tcMar>
            <w:vAlign w:val="center"/>
          </w:tcPr>
          <w:p w14:paraId="44D2F626">
            <w:r>
              <w:rPr>
                <w:sz w:val="18"/>
              </w:rPr>
              <w:t>One governed Hub run and one free Store path work end to end.</w:t>
            </w:r>
          </w:p>
        </w:tc>
      </w:tr>
      <w:tr w14:paraId="29791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shd w:val="clear" w:color="auto" w:fill="F5F8FB"/>
            <w:tcMar>
              <w:top w:w="80" w:type="dxa"/>
              <w:left w:w="120" w:type="dxa"/>
              <w:bottom w:w="80" w:type="dxa"/>
              <w:right w:w="120" w:type="dxa"/>
            </w:tcMar>
            <w:vAlign w:val="center"/>
          </w:tcPr>
          <w:p w14:paraId="6E71506E">
            <w:r>
              <w:rPr>
                <w:sz w:val="18"/>
              </w:rPr>
              <w:t>C3</w:t>
            </w:r>
          </w:p>
        </w:tc>
        <w:tc>
          <w:tcPr>
            <w:tcW w:w="2400" w:type="dxa"/>
            <w:shd w:val="clear" w:color="auto" w:fill="F5F8FB"/>
            <w:tcMar>
              <w:top w:w="80" w:type="dxa"/>
              <w:left w:w="120" w:type="dxa"/>
              <w:bottom w:w="80" w:type="dxa"/>
              <w:right w:w="120" w:type="dxa"/>
            </w:tcMar>
            <w:vAlign w:val="center"/>
          </w:tcPr>
          <w:p w14:paraId="26D62238">
            <w:r>
              <w:rPr>
                <w:sz w:val="18"/>
              </w:rPr>
              <w:t>Two cores + ecosystem</w:t>
            </w:r>
          </w:p>
        </w:tc>
        <w:tc>
          <w:tcPr>
            <w:tcW w:w="6060" w:type="dxa"/>
            <w:shd w:val="clear" w:color="auto" w:fill="F5F8FB"/>
            <w:tcMar>
              <w:top w:w="80" w:type="dxa"/>
              <w:left w:w="120" w:type="dxa"/>
              <w:bottom w:w="80" w:type="dxa"/>
              <w:right w:w="120" w:type="dxa"/>
            </w:tcMar>
            <w:vAlign w:val="center"/>
          </w:tcPr>
          <w:p w14:paraId="2FE2BEC5">
            <w:r>
              <w:rPr>
                <w:sz w:val="18"/>
              </w:rPr>
              <w:t>Delegation, Trust breadth, causal context, local/CLI/MCP, resolver, remote and package interoperability.</w:t>
            </w:r>
          </w:p>
        </w:tc>
      </w:tr>
      <w:tr w14:paraId="4724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Mar>
              <w:top w:w="80" w:type="dxa"/>
              <w:left w:w="120" w:type="dxa"/>
              <w:bottom w:w="80" w:type="dxa"/>
              <w:right w:w="120" w:type="dxa"/>
            </w:tcMar>
            <w:vAlign w:val="center"/>
          </w:tcPr>
          <w:p w14:paraId="40E92C7C">
            <w:r>
              <w:rPr>
                <w:sz w:val="18"/>
              </w:rPr>
              <w:t>C4</w:t>
            </w:r>
          </w:p>
        </w:tc>
        <w:tc>
          <w:tcPr>
            <w:tcW w:w="2400" w:type="dxa"/>
            <w:tcMar>
              <w:top w:w="80" w:type="dxa"/>
              <w:left w:w="120" w:type="dxa"/>
              <w:bottom w:w="80" w:type="dxa"/>
              <w:right w:w="120" w:type="dxa"/>
            </w:tcMar>
            <w:vAlign w:val="center"/>
          </w:tcPr>
          <w:p w14:paraId="6282BB79">
            <w:r>
              <w:rPr>
                <w:sz w:val="18"/>
              </w:rPr>
              <w:t>Commerce + managed</w:t>
            </w:r>
          </w:p>
        </w:tc>
        <w:tc>
          <w:tcPr>
            <w:tcW w:w="6060" w:type="dxa"/>
            <w:tcMar>
              <w:top w:w="80" w:type="dxa"/>
              <w:left w:w="120" w:type="dxa"/>
              <w:bottom w:w="80" w:type="dxa"/>
              <w:right w:w="120" w:type="dxa"/>
            </w:tcMar>
            <w:vAlign w:val="center"/>
          </w:tcPr>
          <w:p w14:paraId="0C08F526">
            <w:r>
              <w:rPr>
                <w:sz w:val="18"/>
              </w:rPr>
              <w:t>Store commerce and managed usage have independent gates and kill switches.</w:t>
            </w:r>
          </w:p>
        </w:tc>
      </w:tr>
      <w:tr w14:paraId="653A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shd w:val="clear" w:color="auto" w:fill="F5F8FB"/>
            <w:tcMar>
              <w:top w:w="80" w:type="dxa"/>
              <w:left w:w="120" w:type="dxa"/>
              <w:bottom w:w="80" w:type="dxa"/>
              <w:right w:w="120" w:type="dxa"/>
            </w:tcMar>
            <w:vAlign w:val="center"/>
          </w:tcPr>
          <w:p w14:paraId="7CCB1421">
            <w:r>
              <w:rPr>
                <w:sz w:val="18"/>
              </w:rPr>
              <w:t>C5</w:t>
            </w:r>
          </w:p>
        </w:tc>
        <w:tc>
          <w:tcPr>
            <w:tcW w:w="2400" w:type="dxa"/>
            <w:shd w:val="clear" w:color="auto" w:fill="F5F8FB"/>
            <w:tcMar>
              <w:top w:w="80" w:type="dxa"/>
              <w:left w:w="120" w:type="dxa"/>
              <w:bottom w:w="80" w:type="dxa"/>
              <w:right w:w="120" w:type="dxa"/>
            </w:tcMar>
            <w:vAlign w:val="center"/>
          </w:tcPr>
          <w:p w14:paraId="0A580886">
            <w:r>
              <w:rPr>
                <w:sz w:val="18"/>
              </w:rPr>
              <w:t>IDE extraction</w:t>
            </w:r>
          </w:p>
        </w:tc>
        <w:tc>
          <w:tcPr>
            <w:tcW w:w="6060" w:type="dxa"/>
            <w:shd w:val="clear" w:color="auto" w:fill="F5F8FB"/>
            <w:tcMar>
              <w:top w:w="80" w:type="dxa"/>
              <w:left w:w="120" w:type="dxa"/>
              <w:bottom w:w="80" w:type="dxa"/>
              <w:right w:w="120" w:type="dxa"/>
            </w:tcMar>
            <w:vAlign w:val="center"/>
          </w:tcPr>
          <w:p w14:paraId="77967E5C">
            <w:r>
              <w:rPr>
                <w:sz w:val="18"/>
              </w:rPr>
              <w:t>IDE is a real package and the base artifact contains no optional implementation.</w:t>
            </w:r>
          </w:p>
        </w:tc>
      </w:tr>
      <w:tr w14:paraId="1FBC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Mar>
              <w:top w:w="80" w:type="dxa"/>
              <w:left w:w="120" w:type="dxa"/>
              <w:bottom w:w="80" w:type="dxa"/>
              <w:right w:w="120" w:type="dxa"/>
            </w:tcMar>
            <w:vAlign w:val="center"/>
          </w:tcPr>
          <w:p w14:paraId="029D4287">
            <w:r>
              <w:rPr>
                <w:sz w:val="18"/>
              </w:rPr>
              <w:t>C6</w:t>
            </w:r>
          </w:p>
        </w:tc>
        <w:tc>
          <w:tcPr>
            <w:tcW w:w="2400" w:type="dxa"/>
            <w:tcMar>
              <w:top w:w="80" w:type="dxa"/>
              <w:left w:w="120" w:type="dxa"/>
              <w:bottom w:w="80" w:type="dxa"/>
              <w:right w:w="120" w:type="dxa"/>
            </w:tcMar>
            <w:vAlign w:val="center"/>
          </w:tcPr>
          <w:p w14:paraId="2DD6C9CC">
            <w:r>
              <w:rPr>
                <w:sz w:val="18"/>
              </w:rPr>
              <w:t>Release decision</w:t>
            </w:r>
          </w:p>
        </w:tc>
        <w:tc>
          <w:tcPr>
            <w:tcW w:w="6060" w:type="dxa"/>
            <w:tcMar>
              <w:top w:w="80" w:type="dxa"/>
              <w:left w:w="120" w:type="dxa"/>
              <w:bottom w:w="80" w:type="dxa"/>
              <w:right w:w="120" w:type="dxa"/>
            </w:tcMar>
            <w:vAlign w:val="center"/>
          </w:tcPr>
          <w:p w14:paraId="3A7E99E5">
            <w:r>
              <w:rPr>
                <w:sz w:val="18"/>
              </w:rPr>
              <w:t>Security, reliability, clean-machine, economics, and same-revision evidence decide acceptance.</w:t>
            </w:r>
          </w:p>
        </w:tc>
      </w:tr>
    </w:tbl>
    <w:p w14:paraId="5EB53EE7">
      <w:pPr>
        <w:spacing w:after="0"/>
      </w:pPr>
    </w:p>
    <w:p w14:paraId="7DED0711">
      <w:r>
        <w:t>Store advances continuously through S0-S6: evidence, contracts, free ecosystem, commerce kernel, paid first-party, capability ecosystem, and release. Managed cloud is not on the Store dependency path.</w:t>
      </w:r>
    </w:p>
    <w:p w14:paraId="2422264A">
      <w:pPr>
        <w:pStyle w:val="2"/>
      </w:pPr>
      <w:r>
        <w:t>9. Product surfaces and preserved earlier ideas</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6910"/>
      </w:tblGrid>
      <w:tr w14:paraId="1524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50" w:type="dxa"/>
            <w:shd w:val="clear" w:color="auto" w:fill="E8EEF5"/>
            <w:tcMar>
              <w:top w:w="80" w:type="dxa"/>
              <w:left w:w="120" w:type="dxa"/>
              <w:bottom w:w="80" w:type="dxa"/>
              <w:right w:w="120" w:type="dxa"/>
            </w:tcMar>
            <w:vAlign w:val="center"/>
          </w:tcPr>
          <w:p w14:paraId="61D052D4">
            <w:pPr>
              <w:jc w:val="left"/>
            </w:pPr>
            <w:r>
              <w:rPr>
                <w:b/>
                <w:color w:val="0B2545"/>
              </w:rPr>
              <w:t>SURFACE</w:t>
            </w:r>
          </w:p>
        </w:tc>
        <w:tc>
          <w:tcPr>
            <w:tcW w:w="6910" w:type="dxa"/>
            <w:shd w:val="clear" w:color="auto" w:fill="E8EEF5"/>
            <w:tcMar>
              <w:top w:w="80" w:type="dxa"/>
              <w:left w:w="120" w:type="dxa"/>
              <w:bottom w:w="80" w:type="dxa"/>
              <w:right w:w="120" w:type="dxa"/>
            </w:tcMar>
            <w:vAlign w:val="center"/>
          </w:tcPr>
          <w:p w14:paraId="0D232B18">
            <w:pPr>
              <w:jc w:val="left"/>
            </w:pPr>
            <w:r>
              <w:rPr>
                <w:b/>
                <w:color w:val="0B2545"/>
              </w:rPr>
              <w:t>NORMALIZED ROLE</w:t>
            </w:r>
          </w:p>
        </w:tc>
      </w:tr>
      <w:tr w14:paraId="1B84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50" w:type="dxa"/>
            <w:tcMar>
              <w:top w:w="80" w:type="dxa"/>
              <w:left w:w="120" w:type="dxa"/>
              <w:bottom w:w="80" w:type="dxa"/>
              <w:right w:w="120" w:type="dxa"/>
            </w:tcMar>
            <w:vAlign w:val="center"/>
          </w:tcPr>
          <w:p w14:paraId="6843FD26">
            <w:r>
              <w:rPr>
                <w:sz w:val="18"/>
              </w:rPr>
              <w:t>Home</w:t>
            </w:r>
          </w:p>
        </w:tc>
        <w:tc>
          <w:tcPr>
            <w:tcW w:w="6910" w:type="dxa"/>
            <w:tcMar>
              <w:top w:w="80" w:type="dxa"/>
              <w:left w:w="120" w:type="dxa"/>
              <w:bottom w:w="80" w:type="dxa"/>
              <w:right w:w="120" w:type="dxa"/>
            </w:tcMar>
            <w:vAlign w:val="center"/>
          </w:tcPr>
          <w:p w14:paraId="00FE5829">
            <w:r>
              <w:rPr>
                <w:sz w:val="18"/>
              </w:rPr>
              <w:t>Goal entry, capability suggestions, recent Runs, and Store discovery; it never becomes a second lifecycle owner.</w:t>
            </w:r>
          </w:p>
        </w:tc>
      </w:tr>
      <w:tr w14:paraId="0820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50" w:type="dxa"/>
            <w:shd w:val="clear" w:color="auto" w:fill="F5F8FB"/>
            <w:tcMar>
              <w:top w:w="80" w:type="dxa"/>
              <w:left w:w="120" w:type="dxa"/>
              <w:bottom w:w="80" w:type="dxa"/>
              <w:right w:w="120" w:type="dxa"/>
            </w:tcMar>
            <w:vAlign w:val="center"/>
          </w:tcPr>
          <w:p w14:paraId="2E326E2E">
            <w:r>
              <w:rPr>
                <w:sz w:val="18"/>
              </w:rPr>
              <w:t>Tasks / Runs</w:t>
            </w:r>
          </w:p>
        </w:tc>
        <w:tc>
          <w:tcPr>
            <w:tcW w:w="6910" w:type="dxa"/>
            <w:shd w:val="clear" w:color="auto" w:fill="F5F8FB"/>
            <w:tcMar>
              <w:top w:w="80" w:type="dxa"/>
              <w:left w:w="120" w:type="dxa"/>
              <w:bottom w:w="80" w:type="dxa"/>
              <w:right w:w="120" w:type="dxa"/>
            </w:tcMar>
            <w:vAlign w:val="center"/>
          </w:tcPr>
          <w:p w14:paraId="238B637A">
            <w:r>
              <w:rPr>
                <w:sz w:val="18"/>
              </w:rPr>
              <w:t>Plan, parent/child agents, state, budget, approvals, cancellation, and receipts.</w:t>
            </w:r>
          </w:p>
        </w:tc>
      </w:tr>
      <w:tr w14:paraId="7A24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50" w:type="dxa"/>
            <w:tcMar>
              <w:top w:w="80" w:type="dxa"/>
              <w:left w:w="120" w:type="dxa"/>
              <w:bottom w:w="80" w:type="dxa"/>
              <w:right w:w="120" w:type="dxa"/>
            </w:tcMar>
            <w:vAlign w:val="center"/>
          </w:tcPr>
          <w:p w14:paraId="50EBD23C">
            <w:r>
              <w:rPr>
                <w:sz w:val="18"/>
              </w:rPr>
              <w:t>Artifacts</w:t>
            </w:r>
          </w:p>
        </w:tc>
        <w:tc>
          <w:tcPr>
            <w:tcW w:w="6910" w:type="dxa"/>
            <w:tcMar>
              <w:top w:w="80" w:type="dxa"/>
              <w:left w:w="120" w:type="dxa"/>
              <w:bottom w:w="80" w:type="dxa"/>
              <w:right w:w="120" w:type="dxa"/>
            </w:tcMar>
            <w:vAlign w:val="center"/>
          </w:tcPr>
          <w:p w14:paraId="702F64BA">
            <w:r>
              <w:rPr>
                <w:sz w:val="18"/>
              </w:rPr>
              <w:t>Emerging outputs, preview, versions, evidence, and export.</w:t>
            </w:r>
          </w:p>
        </w:tc>
      </w:tr>
      <w:tr w14:paraId="22F3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50" w:type="dxa"/>
            <w:shd w:val="clear" w:color="auto" w:fill="F5F8FB"/>
            <w:tcMar>
              <w:top w:w="80" w:type="dxa"/>
              <w:left w:w="120" w:type="dxa"/>
              <w:bottom w:w="80" w:type="dxa"/>
              <w:right w:w="120" w:type="dxa"/>
            </w:tcMar>
            <w:vAlign w:val="center"/>
          </w:tcPr>
          <w:p w14:paraId="296D97E1">
            <w:r>
              <w:rPr>
                <w:sz w:val="18"/>
              </w:rPr>
              <w:t>Store</w:t>
            </w:r>
          </w:p>
        </w:tc>
        <w:tc>
          <w:tcPr>
            <w:tcW w:w="6910" w:type="dxa"/>
            <w:shd w:val="clear" w:color="auto" w:fill="F5F8FB"/>
            <w:tcMar>
              <w:top w:w="80" w:type="dxa"/>
              <w:left w:w="120" w:type="dxa"/>
              <w:bottom w:w="80" w:type="dxa"/>
              <w:right w:w="120" w:type="dxa"/>
            </w:tcMar>
            <w:vAlign w:val="center"/>
          </w:tcPr>
          <w:p w14:paraId="2FAE7C22">
            <w:r>
              <w:rPr>
                <w:sz w:val="18"/>
              </w:rPr>
              <w:t>Search/detail, trust/permission/compatibility, checkout, owned/refunded, and install states.</w:t>
            </w:r>
          </w:p>
        </w:tc>
      </w:tr>
      <w:tr w14:paraId="4BCB8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50" w:type="dxa"/>
            <w:tcMar>
              <w:top w:w="80" w:type="dxa"/>
              <w:left w:w="120" w:type="dxa"/>
              <w:bottom w:w="80" w:type="dxa"/>
              <w:right w:w="120" w:type="dxa"/>
            </w:tcMar>
            <w:vAlign w:val="center"/>
          </w:tcPr>
          <w:p w14:paraId="27BAF68B">
            <w:r>
              <w:rPr>
                <w:sz w:val="18"/>
              </w:rPr>
              <w:t>History</w:t>
            </w:r>
          </w:p>
        </w:tc>
        <w:tc>
          <w:tcPr>
            <w:tcW w:w="6910" w:type="dxa"/>
            <w:tcMar>
              <w:top w:w="80" w:type="dxa"/>
              <w:left w:w="120" w:type="dxa"/>
              <w:bottom w:w="80" w:type="dxa"/>
              <w:right w:w="120" w:type="dxa"/>
            </w:tcMar>
            <w:vAlign w:val="center"/>
          </w:tcPr>
          <w:p w14:paraId="32DB36E7">
            <w:r>
              <w:rPr>
                <w:sz w:val="18"/>
              </w:rPr>
              <w:t>Durable Run history and recovery, not a disconnected log.</w:t>
            </w:r>
          </w:p>
        </w:tc>
      </w:tr>
      <w:tr w14:paraId="16CC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50" w:type="dxa"/>
            <w:shd w:val="clear" w:color="auto" w:fill="F5F8FB"/>
            <w:tcMar>
              <w:top w:w="80" w:type="dxa"/>
              <w:left w:w="120" w:type="dxa"/>
              <w:bottom w:w="80" w:type="dxa"/>
              <w:right w:w="120" w:type="dxa"/>
            </w:tcMar>
            <w:vAlign w:val="center"/>
          </w:tcPr>
          <w:p w14:paraId="180D86E6">
            <w:r>
              <w:rPr>
                <w:sz w:val="18"/>
              </w:rPr>
              <w:t>Products</w:t>
            </w:r>
          </w:p>
        </w:tc>
        <w:tc>
          <w:tcPr>
            <w:tcW w:w="6910" w:type="dxa"/>
            <w:shd w:val="clear" w:color="auto" w:fill="F5F8FB"/>
            <w:tcMar>
              <w:top w:w="80" w:type="dxa"/>
              <w:left w:w="120" w:type="dxa"/>
              <w:bottom w:w="80" w:type="dxa"/>
              <w:right w:w="120" w:type="dxa"/>
            </w:tcMar>
            <w:vAlign w:val="center"/>
          </w:tcPr>
          <w:p w14:paraId="1D155AC7">
            <w:r>
              <w:rPr>
                <w:sz w:val="18"/>
              </w:rPr>
              <w:t>Workspace for workflows, Super Packages, and lasting outputs; drag-and-drop authoring is post-MVP.</w:t>
            </w:r>
          </w:p>
        </w:tc>
      </w:tr>
      <w:tr w14:paraId="11E5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50" w:type="dxa"/>
            <w:tcMar>
              <w:top w:w="80" w:type="dxa"/>
              <w:left w:w="120" w:type="dxa"/>
              <w:bottom w:w="80" w:type="dxa"/>
              <w:right w:w="120" w:type="dxa"/>
            </w:tcMar>
            <w:vAlign w:val="center"/>
          </w:tcPr>
          <w:p w14:paraId="33937EBD">
            <w:r>
              <w:rPr>
                <w:sz w:val="18"/>
              </w:rPr>
              <w:t>Settings</w:t>
            </w:r>
          </w:p>
        </w:tc>
        <w:tc>
          <w:tcPr>
            <w:tcW w:w="6910" w:type="dxa"/>
            <w:tcMar>
              <w:top w:w="80" w:type="dxa"/>
              <w:left w:w="120" w:type="dxa"/>
              <w:bottom w:w="80" w:type="dxa"/>
              <w:right w:w="120" w:type="dxa"/>
            </w:tcMar>
            <w:vAlign w:val="center"/>
          </w:tcPr>
          <w:p w14:paraId="038C59C4">
            <w:r>
              <w:rPr>
                <w:sz w:val="18"/>
              </w:rPr>
              <w:t>Identity, AI connections, secrets, privacy/context controls, packages, Credit/cloud, and diagnostics.</w:t>
            </w:r>
          </w:p>
        </w:tc>
      </w:tr>
      <w:tr w14:paraId="1B83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50" w:type="dxa"/>
            <w:shd w:val="clear" w:color="auto" w:fill="F5F8FB"/>
            <w:tcMar>
              <w:top w:w="80" w:type="dxa"/>
              <w:left w:w="120" w:type="dxa"/>
              <w:bottom w:w="80" w:type="dxa"/>
              <w:right w:w="120" w:type="dxa"/>
            </w:tcMar>
            <w:vAlign w:val="center"/>
          </w:tcPr>
          <w:p w14:paraId="724AD450">
            <w:r>
              <w:rPr>
                <w:sz w:val="18"/>
              </w:rPr>
              <w:t>Company/team visualization</w:t>
            </w:r>
          </w:p>
        </w:tc>
        <w:tc>
          <w:tcPr>
            <w:tcW w:w="6910" w:type="dxa"/>
            <w:shd w:val="clear" w:color="auto" w:fill="F5F8FB"/>
            <w:tcMar>
              <w:top w:w="80" w:type="dxa"/>
              <w:left w:w="120" w:type="dxa"/>
              <w:bottom w:w="80" w:type="dxa"/>
              <w:right w:w="120" w:type="dxa"/>
            </w:tcMar>
            <w:vAlign w:val="center"/>
          </w:tcPr>
          <w:p w14:paraId="36059023">
            <w:r>
              <w:rPr>
                <w:sz w:val="18"/>
              </w:rPr>
              <w:t>A post-MVP package or optional view. MVP requires clear agent progress and artifact visibility for user control.</w:t>
            </w:r>
          </w:p>
        </w:tc>
      </w:tr>
    </w:tbl>
    <w:p w14:paraId="4D8EC2D6">
      <w:pPr>
        <w:spacing w:after="0"/>
      </w:pPr>
    </w:p>
    <w:p w14:paraId="24A4D50A">
      <w:pPr>
        <w:pStyle w:val="2"/>
      </w:pPr>
      <w:r>
        <w:t>10. Multi-agent delivery model</w:t>
      </w:r>
    </w:p>
    <w:p w14:paraId="23152680">
      <w:r>
        <w:t xml:space="preserve">Each checkpoint uses four slots: </w:t>
      </w:r>
      <w:r>
        <w:rPr>
          <w:b/>
        </w:rPr>
        <w:t>one Integrator plus three subagents</w:t>
      </w:r>
      <w:r>
        <w:t>. The Integrator exclusively owns shared contracts, bootstrap/preload/IPC, schema/migrations, registry/resolver wiring, cross-track flags, canonical docs, and the release decision. At least one subagent keeps Store/package work moving until its release gate is green.</w:t>
      </w:r>
    </w:p>
    <w:p w14:paraId="16AA9992">
      <w:r>
        <w:t>Every handoff states changed files, symbols and flow, commands and exit codes, CURRENT/PARTIAL/TARGET status, acceptance evidence, rollback and kill behavior, risks, and dirty-path conflicts. The implementation author cannot be the sole verifier of a release gate.</w:t>
      </w:r>
    </w:p>
    <w:tbl>
      <w:tblPr>
        <w:tblStyle w:val="12"/>
        <w:tblW w:w="9360" w:type="dxa"/>
        <w:jc w:val="center"/>
        <w:tblLayout w:type="fixed"/>
        <w:tblCellMar>
          <w:top w:w="0" w:type="dxa"/>
          <w:left w:w="108" w:type="dxa"/>
          <w:bottom w:w="0" w:type="dxa"/>
          <w:right w:w="108" w:type="dxa"/>
        </w:tblCellMar>
      </w:tblPr>
      <w:tblGrid>
        <w:gridCol w:w="9360"/>
      </w:tblGrid>
      <w:tr w14:paraId="7FFCA89C">
        <w:tblPrEx>
          <w:tblCellMar>
            <w:top w:w="0" w:type="dxa"/>
            <w:left w:w="108" w:type="dxa"/>
            <w:bottom w:w="0" w:type="dxa"/>
            <w:right w:w="108" w:type="dxa"/>
          </w:tblCellMar>
        </w:tblPrEx>
        <w:trPr>
          <w:cantSplit/>
          <w:tblHeader/>
          <w:jc w:val="center"/>
        </w:trPr>
        <w:tc>
          <w:tcPr>
            <w:tcW w:w="9360" w:type="dxa"/>
            <w:shd w:val="clear" w:color="auto" w:fill="E8EEF5"/>
            <w:tcMar>
              <w:top w:w="80" w:type="dxa"/>
              <w:left w:w="120" w:type="dxa"/>
              <w:bottom w:w="80" w:type="dxa"/>
              <w:right w:w="120" w:type="dxa"/>
            </w:tcMar>
            <w:vAlign w:val="center"/>
          </w:tcPr>
          <w:p w14:paraId="6A19EB81">
            <w:pPr>
              <w:spacing w:after="60"/>
            </w:pPr>
            <w:r>
              <w:rPr>
                <w:b/>
                <w:color w:val="0B2545"/>
              </w:rPr>
              <w:t>Progress accounting</w:t>
            </w:r>
          </w:p>
          <w:p w14:paraId="7CDAE9B3">
            <w:r>
              <w:t>Completion equals passing required acceptance atoms divided by total required atoms at the same revision. Report Core plus Store and Full managed usage separately. Release readiness is the lowest completion among critical tracks, not an attractive average.</w:t>
            </w:r>
          </w:p>
        </w:tc>
      </w:tr>
    </w:tbl>
    <w:p w14:paraId="2CFE5604">
      <w:pPr>
        <w:spacing w:after="0"/>
      </w:pPr>
    </w:p>
    <w:p w14:paraId="35CA1BFE">
      <w:pPr>
        <w:pStyle w:val="2"/>
      </w:pPr>
      <w:r>
        <w:t>11. Documentation governance</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0"/>
        <w:gridCol w:w="2010"/>
      </w:tblGrid>
      <w:tr w14:paraId="54B9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350" w:type="dxa"/>
            <w:shd w:val="clear" w:color="auto" w:fill="E8EEF5"/>
            <w:tcMar>
              <w:top w:w="80" w:type="dxa"/>
              <w:left w:w="120" w:type="dxa"/>
              <w:bottom w:w="80" w:type="dxa"/>
              <w:right w:w="120" w:type="dxa"/>
            </w:tcMar>
            <w:vAlign w:val="center"/>
          </w:tcPr>
          <w:p w14:paraId="790879C7">
            <w:pPr>
              <w:jc w:val="left"/>
            </w:pPr>
            <w:r>
              <w:rPr>
                <w:b/>
                <w:color w:val="0B2545"/>
              </w:rPr>
              <w:t>CANONICAL FILE</w:t>
            </w:r>
          </w:p>
        </w:tc>
        <w:tc>
          <w:tcPr>
            <w:tcW w:w="2010" w:type="dxa"/>
            <w:shd w:val="clear" w:color="auto" w:fill="E8EEF5"/>
            <w:tcMar>
              <w:top w:w="80" w:type="dxa"/>
              <w:left w:w="120" w:type="dxa"/>
              <w:bottom w:w="80" w:type="dxa"/>
              <w:right w:w="120" w:type="dxa"/>
            </w:tcMar>
            <w:vAlign w:val="center"/>
          </w:tcPr>
          <w:p w14:paraId="50B27BAA">
            <w:pPr>
              <w:jc w:val="left"/>
            </w:pPr>
            <w:r>
              <w:rPr>
                <w:b/>
                <w:color w:val="0B2545"/>
              </w:rPr>
              <w:t>SHA-256</w:t>
            </w:r>
          </w:p>
        </w:tc>
      </w:tr>
      <w:tr w14:paraId="6896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tcMar>
              <w:top w:w="80" w:type="dxa"/>
              <w:left w:w="120" w:type="dxa"/>
              <w:bottom w:w="80" w:type="dxa"/>
              <w:right w:w="120" w:type="dxa"/>
            </w:tcMar>
            <w:vAlign w:val="center"/>
          </w:tcPr>
          <w:p w14:paraId="433BD503">
            <w:r>
              <w:rPr>
                <w:sz w:val="18"/>
              </w:rPr>
              <w:t>docs/product/vision.md</w:t>
            </w:r>
          </w:p>
        </w:tc>
        <w:tc>
          <w:tcPr>
            <w:tcW w:w="2010" w:type="dxa"/>
            <w:tcMar>
              <w:top w:w="80" w:type="dxa"/>
              <w:left w:w="120" w:type="dxa"/>
              <w:bottom w:w="80" w:type="dxa"/>
              <w:right w:w="120" w:type="dxa"/>
            </w:tcMar>
            <w:vAlign w:val="center"/>
          </w:tcPr>
          <w:p w14:paraId="33699DAD">
            <w:r>
              <w:rPr>
                <w:sz w:val="18"/>
              </w:rPr>
              <w:t>d2b8e77a005b</w:t>
            </w:r>
          </w:p>
        </w:tc>
      </w:tr>
      <w:tr w14:paraId="4ADE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shd w:val="clear" w:color="auto" w:fill="F5F8FB"/>
            <w:tcMar>
              <w:top w:w="80" w:type="dxa"/>
              <w:left w:w="120" w:type="dxa"/>
              <w:bottom w:w="80" w:type="dxa"/>
              <w:right w:w="120" w:type="dxa"/>
            </w:tcMar>
            <w:vAlign w:val="center"/>
          </w:tcPr>
          <w:p w14:paraId="4404ABD6">
            <w:r>
              <w:rPr>
                <w:sz w:val="18"/>
              </w:rPr>
              <w:t>docs/product/economics.md</w:t>
            </w:r>
          </w:p>
        </w:tc>
        <w:tc>
          <w:tcPr>
            <w:tcW w:w="2010" w:type="dxa"/>
            <w:shd w:val="clear" w:color="auto" w:fill="F5F8FB"/>
            <w:tcMar>
              <w:top w:w="80" w:type="dxa"/>
              <w:left w:w="120" w:type="dxa"/>
              <w:bottom w:w="80" w:type="dxa"/>
              <w:right w:w="120" w:type="dxa"/>
            </w:tcMar>
            <w:vAlign w:val="center"/>
          </w:tcPr>
          <w:p w14:paraId="730533FE">
            <w:r>
              <w:rPr>
                <w:sz w:val="18"/>
              </w:rPr>
              <w:t>94a47d9ab029</w:t>
            </w:r>
          </w:p>
        </w:tc>
      </w:tr>
      <w:tr w14:paraId="24F8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tcMar>
              <w:top w:w="80" w:type="dxa"/>
              <w:left w:w="120" w:type="dxa"/>
              <w:bottom w:w="80" w:type="dxa"/>
              <w:right w:w="120" w:type="dxa"/>
            </w:tcMar>
            <w:vAlign w:val="center"/>
          </w:tcPr>
          <w:p w14:paraId="1152CB82">
            <w:r>
              <w:rPr>
                <w:sz w:val="18"/>
              </w:rPr>
              <w:t>docs/architecture/current.md</w:t>
            </w:r>
          </w:p>
        </w:tc>
        <w:tc>
          <w:tcPr>
            <w:tcW w:w="2010" w:type="dxa"/>
            <w:tcMar>
              <w:top w:w="80" w:type="dxa"/>
              <w:left w:w="120" w:type="dxa"/>
              <w:bottom w:w="80" w:type="dxa"/>
              <w:right w:w="120" w:type="dxa"/>
            </w:tcMar>
            <w:vAlign w:val="center"/>
          </w:tcPr>
          <w:p w14:paraId="5A403BD0">
            <w:pPr>
              <w:rPr>
                <w:rFonts w:hint="default"/>
                <w:lang w:val="en-US"/>
              </w:rPr>
            </w:pPr>
            <w:r>
              <w:rPr>
                <w:sz w:val="18"/>
                <w:lang w:val="en-US"/>
              </w:rPr>
              <w:t>DBD9798C81FA</w:t>
            </w:r>
          </w:p>
        </w:tc>
      </w:tr>
      <w:tr w14:paraId="06BA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shd w:val="clear" w:color="auto" w:fill="F5F8FB"/>
            <w:tcMar>
              <w:top w:w="80" w:type="dxa"/>
              <w:left w:w="120" w:type="dxa"/>
              <w:bottom w:w="80" w:type="dxa"/>
              <w:right w:w="120" w:type="dxa"/>
            </w:tcMar>
            <w:vAlign w:val="center"/>
          </w:tcPr>
          <w:p w14:paraId="46547E15">
            <w:r>
              <w:rPr>
                <w:sz w:val="18"/>
              </w:rPr>
              <w:t>docs/architecture/target.md</w:t>
            </w:r>
          </w:p>
        </w:tc>
        <w:tc>
          <w:tcPr>
            <w:tcW w:w="2010" w:type="dxa"/>
            <w:shd w:val="clear" w:color="auto" w:fill="F5F8FB"/>
            <w:tcMar>
              <w:top w:w="80" w:type="dxa"/>
              <w:left w:w="120" w:type="dxa"/>
              <w:bottom w:w="80" w:type="dxa"/>
              <w:right w:w="120" w:type="dxa"/>
            </w:tcMar>
            <w:vAlign w:val="center"/>
          </w:tcPr>
          <w:p w14:paraId="77DD7D85">
            <w:r>
              <w:rPr>
                <w:sz w:val="18"/>
              </w:rPr>
              <w:t>6b2e02baf977</w:t>
            </w:r>
          </w:p>
        </w:tc>
      </w:tr>
      <w:tr w14:paraId="416C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tcMar>
              <w:top w:w="80" w:type="dxa"/>
              <w:left w:w="120" w:type="dxa"/>
              <w:bottom w:w="80" w:type="dxa"/>
              <w:right w:w="120" w:type="dxa"/>
            </w:tcMar>
            <w:vAlign w:val="center"/>
          </w:tcPr>
          <w:p w14:paraId="606505F9">
            <w:r>
              <w:rPr>
                <w:sz w:val="18"/>
              </w:rPr>
              <w:t>docs/core/ai-runtime.md</w:t>
            </w:r>
          </w:p>
        </w:tc>
        <w:tc>
          <w:tcPr>
            <w:tcW w:w="2010" w:type="dxa"/>
            <w:tcMar>
              <w:top w:w="80" w:type="dxa"/>
              <w:left w:w="120" w:type="dxa"/>
              <w:bottom w:w="80" w:type="dxa"/>
              <w:right w:w="120" w:type="dxa"/>
            </w:tcMar>
            <w:vAlign w:val="center"/>
          </w:tcPr>
          <w:p w14:paraId="07836636">
            <w:r>
              <w:rPr>
                <w:sz w:val="18"/>
              </w:rPr>
              <w:t>b5c362b0c97b</w:t>
            </w:r>
          </w:p>
        </w:tc>
      </w:tr>
      <w:tr w14:paraId="0F2F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shd w:val="clear" w:color="auto" w:fill="F5F8FB"/>
            <w:tcMar>
              <w:top w:w="80" w:type="dxa"/>
              <w:left w:w="120" w:type="dxa"/>
              <w:bottom w:w="80" w:type="dxa"/>
              <w:right w:w="120" w:type="dxa"/>
            </w:tcMar>
            <w:vAlign w:val="center"/>
          </w:tcPr>
          <w:p w14:paraId="46BC8CAA">
            <w:r>
              <w:rPr>
                <w:sz w:val="18"/>
              </w:rPr>
              <w:t>docs/core/trust-and-understanding.md</w:t>
            </w:r>
          </w:p>
        </w:tc>
        <w:tc>
          <w:tcPr>
            <w:tcW w:w="2010" w:type="dxa"/>
            <w:shd w:val="clear" w:color="auto" w:fill="F5F8FB"/>
            <w:tcMar>
              <w:top w:w="80" w:type="dxa"/>
              <w:left w:w="120" w:type="dxa"/>
              <w:bottom w:w="80" w:type="dxa"/>
              <w:right w:w="120" w:type="dxa"/>
            </w:tcMar>
            <w:vAlign w:val="center"/>
          </w:tcPr>
          <w:p w14:paraId="7E24A9B3">
            <w:pPr>
              <w:rPr>
                <w:rFonts w:hint="default"/>
                <w:lang w:val="en-US"/>
              </w:rPr>
            </w:pPr>
            <w:r>
              <w:rPr>
                <w:sz w:val="18"/>
                <w:lang w:val="en-US"/>
              </w:rPr>
              <w:t>ADD8660B5FA5</w:t>
            </w:r>
          </w:p>
        </w:tc>
      </w:tr>
      <w:tr w14:paraId="5F41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tcMar>
              <w:top w:w="80" w:type="dxa"/>
              <w:left w:w="120" w:type="dxa"/>
              <w:bottom w:w="80" w:type="dxa"/>
              <w:right w:w="120" w:type="dxa"/>
            </w:tcMar>
            <w:vAlign w:val="center"/>
          </w:tcPr>
          <w:p w14:paraId="0D375986">
            <w:r>
              <w:rPr>
                <w:sz w:val="18"/>
              </w:rPr>
              <w:t>docs/platform/packages.md</w:t>
            </w:r>
          </w:p>
        </w:tc>
        <w:tc>
          <w:tcPr>
            <w:tcW w:w="2010" w:type="dxa"/>
            <w:tcMar>
              <w:top w:w="80" w:type="dxa"/>
              <w:left w:w="120" w:type="dxa"/>
              <w:bottom w:w="80" w:type="dxa"/>
              <w:right w:w="120" w:type="dxa"/>
            </w:tcMar>
            <w:vAlign w:val="center"/>
          </w:tcPr>
          <w:p w14:paraId="537E05E7">
            <w:pPr>
              <w:rPr>
                <w:rFonts w:hint="default"/>
                <w:lang w:val="en-US"/>
              </w:rPr>
            </w:pPr>
            <w:r>
              <w:rPr>
                <w:sz w:val="18"/>
                <w:lang w:val="en-US"/>
              </w:rPr>
              <w:t>38897BEEC6CC</w:t>
            </w:r>
          </w:p>
        </w:tc>
      </w:tr>
      <w:tr w14:paraId="777B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shd w:val="clear" w:color="auto" w:fill="F5F8FB"/>
            <w:tcMar>
              <w:top w:w="80" w:type="dxa"/>
              <w:left w:w="120" w:type="dxa"/>
              <w:bottom w:w="80" w:type="dxa"/>
              <w:right w:w="120" w:type="dxa"/>
            </w:tcMar>
            <w:vAlign w:val="center"/>
          </w:tcPr>
          <w:p w14:paraId="16B2833D">
            <w:r>
              <w:rPr>
                <w:sz w:val="18"/>
              </w:rPr>
              <w:t>docs/platform/store-commerce.md</w:t>
            </w:r>
          </w:p>
        </w:tc>
        <w:tc>
          <w:tcPr>
            <w:tcW w:w="2010" w:type="dxa"/>
            <w:shd w:val="clear" w:color="auto" w:fill="F5F8FB"/>
            <w:tcMar>
              <w:top w:w="80" w:type="dxa"/>
              <w:left w:w="120" w:type="dxa"/>
              <w:bottom w:w="80" w:type="dxa"/>
              <w:right w:w="120" w:type="dxa"/>
            </w:tcMar>
            <w:vAlign w:val="center"/>
          </w:tcPr>
          <w:p w14:paraId="3E8E7232">
            <w:pPr>
              <w:rPr>
                <w:rFonts w:hint="default"/>
                <w:lang w:val="en-US"/>
              </w:rPr>
            </w:pPr>
            <w:r>
              <w:rPr>
                <w:sz w:val="18"/>
                <w:lang w:val="en-US"/>
              </w:rPr>
              <w:t>DAE821F92B60</w:t>
            </w:r>
          </w:p>
        </w:tc>
      </w:tr>
      <w:tr w14:paraId="3278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tcMar>
              <w:top w:w="80" w:type="dxa"/>
              <w:left w:w="120" w:type="dxa"/>
              <w:bottom w:w="80" w:type="dxa"/>
              <w:right w:w="120" w:type="dxa"/>
            </w:tcMar>
            <w:vAlign w:val="center"/>
          </w:tcPr>
          <w:p w14:paraId="209BFB4A">
            <w:r>
              <w:rPr>
                <w:sz w:val="18"/>
              </w:rPr>
              <w:t>docs/platform/credits-and-billing.md</w:t>
            </w:r>
          </w:p>
        </w:tc>
        <w:tc>
          <w:tcPr>
            <w:tcW w:w="2010" w:type="dxa"/>
            <w:tcMar>
              <w:top w:w="80" w:type="dxa"/>
              <w:left w:w="120" w:type="dxa"/>
              <w:bottom w:w="80" w:type="dxa"/>
              <w:right w:w="120" w:type="dxa"/>
            </w:tcMar>
            <w:vAlign w:val="center"/>
          </w:tcPr>
          <w:p w14:paraId="63744DCE">
            <w:r>
              <w:rPr>
                <w:sz w:val="18"/>
              </w:rPr>
              <w:t>04b754649809</w:t>
            </w:r>
          </w:p>
        </w:tc>
      </w:tr>
      <w:tr w14:paraId="1427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shd w:val="clear" w:color="auto" w:fill="F5F8FB"/>
            <w:tcMar>
              <w:top w:w="80" w:type="dxa"/>
              <w:left w:w="120" w:type="dxa"/>
              <w:bottom w:w="80" w:type="dxa"/>
              <w:right w:w="120" w:type="dxa"/>
            </w:tcMar>
            <w:vAlign w:val="center"/>
          </w:tcPr>
          <w:p w14:paraId="00A9B788">
            <w:r>
              <w:rPr>
                <w:sz w:val="18"/>
              </w:rPr>
              <w:t>docs/platform/cloud-execution.md</w:t>
            </w:r>
          </w:p>
        </w:tc>
        <w:tc>
          <w:tcPr>
            <w:tcW w:w="2010" w:type="dxa"/>
            <w:shd w:val="clear" w:color="auto" w:fill="F5F8FB"/>
            <w:tcMar>
              <w:top w:w="80" w:type="dxa"/>
              <w:left w:w="120" w:type="dxa"/>
              <w:bottom w:w="80" w:type="dxa"/>
              <w:right w:w="120" w:type="dxa"/>
            </w:tcMar>
            <w:vAlign w:val="center"/>
          </w:tcPr>
          <w:p w14:paraId="0787F7B7">
            <w:r>
              <w:rPr>
                <w:sz w:val="18"/>
              </w:rPr>
              <w:t>7658ad2984df</w:t>
            </w:r>
          </w:p>
        </w:tc>
      </w:tr>
      <w:tr w14:paraId="2CFC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tcMar>
              <w:top w:w="80" w:type="dxa"/>
              <w:left w:w="120" w:type="dxa"/>
              <w:bottom w:w="80" w:type="dxa"/>
              <w:right w:w="120" w:type="dxa"/>
            </w:tcMar>
            <w:vAlign w:val="center"/>
          </w:tcPr>
          <w:p w14:paraId="57DA7C5D">
            <w:r>
              <w:rPr>
                <w:sz w:val="18"/>
              </w:rPr>
              <w:t>docs/engineering/testing-and-release.md</w:t>
            </w:r>
          </w:p>
        </w:tc>
        <w:tc>
          <w:tcPr>
            <w:tcW w:w="2010" w:type="dxa"/>
            <w:tcMar>
              <w:top w:w="80" w:type="dxa"/>
              <w:left w:w="120" w:type="dxa"/>
              <w:bottom w:w="80" w:type="dxa"/>
              <w:right w:w="120" w:type="dxa"/>
            </w:tcMar>
            <w:vAlign w:val="center"/>
          </w:tcPr>
          <w:p w14:paraId="73A5EAB9">
            <w:pPr>
              <w:rPr>
                <w:rFonts w:hint="default"/>
                <w:lang w:val="en-US"/>
              </w:rPr>
            </w:pPr>
            <w:r>
              <w:rPr>
                <w:sz w:val="18"/>
                <w:lang w:val="en-US"/>
              </w:rPr>
              <w:t>66B56B686810</w:t>
            </w:r>
          </w:p>
        </w:tc>
      </w:tr>
      <w:tr w14:paraId="44C9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50" w:type="dxa"/>
            <w:shd w:val="clear" w:color="auto" w:fill="F5F8FB"/>
            <w:tcMar>
              <w:top w:w="80" w:type="dxa"/>
              <w:left w:w="120" w:type="dxa"/>
              <w:bottom w:w="80" w:type="dxa"/>
              <w:right w:w="120" w:type="dxa"/>
            </w:tcMar>
            <w:vAlign w:val="center"/>
          </w:tcPr>
          <w:p w14:paraId="5F91FA37">
            <w:r>
              <w:rPr>
                <w:sz w:val="18"/>
              </w:rPr>
              <w:t>docs/execution/mvp-plan.md</w:t>
            </w:r>
          </w:p>
        </w:tc>
        <w:tc>
          <w:tcPr>
            <w:tcW w:w="2010" w:type="dxa"/>
            <w:shd w:val="clear" w:color="auto" w:fill="F5F8FB"/>
            <w:tcMar>
              <w:top w:w="80" w:type="dxa"/>
              <w:left w:w="120" w:type="dxa"/>
              <w:bottom w:w="80" w:type="dxa"/>
              <w:right w:w="120" w:type="dxa"/>
            </w:tcMar>
            <w:vAlign w:val="center"/>
          </w:tcPr>
          <w:p w14:paraId="6CAB3EFE">
            <w:r>
              <w:rPr>
                <w:sz w:val="18"/>
              </w:rPr>
              <w:t>28c2ec49c5c9</w:t>
            </w:r>
          </w:p>
        </w:tc>
      </w:tr>
    </w:tbl>
    <w:p w14:paraId="6A518396">
      <w:pPr>
        <w:spacing w:after="0"/>
      </w:pPr>
    </w:p>
    <w:p w14:paraId="7E5A8CCB">
      <w:r>
        <w:t xml:space="preserve">Master-plan fingerprint embedded in this Word document: </w:t>
      </w:r>
      <w:r>
        <w:rPr>
          <w:rFonts w:ascii="Consolas" w:hAnsi="Consolas"/>
          <w:color w:val="0B2545"/>
          <w:sz w:val="18"/>
        </w:rPr>
        <w:t>28c2ec49c5c96594332b1db75a603ec4137749c1d6c8b47034b35de0f4ef6336</w:t>
      </w:r>
      <w:r>
        <w:t>. CURRENT requires a reachable path or test; TARGET is intent. This document does not create another rule system and never replaces AGENTS.md or canonical Markdown.</w:t>
      </w:r>
    </w:p>
    <w:p w14:paraId="16AD4181">
      <w:r>
        <w:br w:type="page"/>
      </w:r>
    </w:p>
    <w:p w14:paraId="4E6EC630">
      <w:pPr>
        <w:pStyle w:val="2"/>
      </w:pPr>
      <w:r>
        <w:t>Appendix A - Canonical master plan</w:t>
      </w:r>
    </w:p>
    <w:tbl>
      <w:tblPr>
        <w:tblStyle w:val="12"/>
        <w:tblW w:w="9360" w:type="dxa"/>
        <w:jc w:val="center"/>
        <w:tblLayout w:type="fixed"/>
        <w:tblCellMar>
          <w:top w:w="0" w:type="dxa"/>
          <w:left w:w="108" w:type="dxa"/>
          <w:bottom w:w="0" w:type="dxa"/>
          <w:right w:w="108" w:type="dxa"/>
        </w:tblCellMar>
      </w:tblPr>
      <w:tblGrid>
        <w:gridCol w:w="9360"/>
      </w:tblGrid>
      <w:tr w14:paraId="7669CE24">
        <w:tblPrEx>
          <w:tblCellMar>
            <w:top w:w="0" w:type="dxa"/>
            <w:left w:w="108" w:type="dxa"/>
            <w:bottom w:w="0" w:type="dxa"/>
            <w:right w:w="108" w:type="dxa"/>
          </w:tblCellMar>
        </w:tblPrEx>
        <w:trPr>
          <w:cantSplit/>
          <w:tblHeader/>
          <w:jc w:val="center"/>
        </w:trPr>
        <w:tc>
          <w:tcPr>
            <w:tcW w:w="9360" w:type="dxa"/>
            <w:shd w:val="clear" w:color="auto" w:fill="DFF3E4"/>
            <w:tcMar>
              <w:top w:w="80" w:type="dxa"/>
              <w:left w:w="120" w:type="dxa"/>
              <w:bottom w:w="80" w:type="dxa"/>
              <w:right w:w="120" w:type="dxa"/>
            </w:tcMar>
            <w:vAlign w:val="center"/>
          </w:tcPr>
          <w:p w14:paraId="244C836D">
            <w:pPr>
              <w:spacing w:after="60"/>
            </w:pPr>
            <w:r>
              <w:rPr>
                <w:b/>
                <w:color w:val="0B2545"/>
              </w:rPr>
              <w:t>Exact synchronized source</w:t>
            </w:r>
          </w:p>
          <w:p w14:paraId="731B789F">
            <w:r>
              <w:t xml:space="preserve">The following section is rendered directly from </w:t>
            </w:r>
            <w:r>
              <w:rPr>
                <w:rFonts w:ascii="Consolas" w:hAnsi="Consolas"/>
                <w:color w:val="0B2545"/>
                <w:sz w:val="18"/>
              </w:rPr>
              <w:t>docs/execution/mvp-plan.md</w:t>
            </w:r>
            <w:r>
              <w:t xml:space="preserve"> at SHA-256 </w:t>
            </w:r>
            <w:r>
              <w:rPr>
                <w:rFonts w:ascii="Consolas" w:hAnsi="Consolas"/>
                <w:color w:val="0B2545"/>
                <w:sz w:val="18"/>
              </w:rPr>
              <w:t>28c2ec49c5c96594332b1db75a603ec4137749c1d6c8b47034b35de0f4ef6336</w:t>
            </w:r>
            <w:r>
              <w:t>. It does not reinterpret checkpoint order, gates, or dependencies into a competing plan.</w:t>
            </w:r>
          </w:p>
        </w:tc>
      </w:tr>
    </w:tbl>
    <w:p w14:paraId="64476627">
      <w:pPr>
        <w:spacing w:after="0"/>
      </w:pPr>
    </w:p>
    <w:p w14:paraId="1167F7F9">
      <w:r>
        <w:rPr>
          <w:b/>
        </w:rPr>
        <w:t>Status:</w:t>
      </w:r>
      <w:r>
        <w:t xml:space="preserve"> TARGET execution order.</w:t>
      </w:r>
    </w:p>
    <w:p w14:paraId="75B65CCC">
      <w:r>
        <w:rPr>
          <w:b/>
        </w:rPr>
        <w:t>Objective:</w:t>
      </w:r>
      <w:r>
        <w:t xml:space="preserve"> finish the smallest safe and commercially operable TomniHubOS MVP by advancing Hub Agent OS, Trust and User Intelligence, and Store/package ecosystem as parallel product tracks. Managed AI and managed cloud remain independently gated launch capabilities and cannot distort the two core architectures.</w:t>
      </w:r>
    </w:p>
    <w:p w14:paraId="52C1B4BB">
      <w:r>
        <w:t>This is the only implementation plan. Canonical product, architecture, security, package, billing, cloud, Store, and test rules remain owned by their linked documents. This plan owns dependency order, subagent allocation, convergence, and completion evidence.</w:t>
      </w:r>
    </w:p>
    <w:p w14:paraId="2CE0C510">
      <w:pPr>
        <w:pStyle w:val="2"/>
      </w:pPr>
      <w:r>
        <w:t>What counts as MVP</w:t>
      </w:r>
    </w:p>
    <w:p w14:paraId="6141A2D7">
      <w:r>
        <w:t>The plan has two explicit release checkpoints so infrastructure work cannot hide progress or hold safe desktop validation hostage.</w:t>
      </w:r>
    </w:p>
    <w:p w14:paraId="46134297">
      <w:pPr>
        <w:pStyle w:val="3"/>
      </w:pPr>
      <w:r>
        <w:t>Core plus Store candidate</w:t>
      </w:r>
    </w:p>
    <w:p w14:paraId="48B26B78">
      <w:r>
        <w:t>A clean desktop installation with no optional application package must prove:</w:t>
      </w:r>
    </w:p>
    <w:p w14:paraId="4CCF285E">
      <w:pPr>
        <w:pStyle w:val="29"/>
        <w:numPr>
          <w:ilvl w:val="0"/>
          <w:numId w:val="7"/>
        </w:numPr>
      </w:pPr>
      <w:r>
        <w:rPr>
          <w:b/>
        </w:rPr>
        <w:t>Governed Hub run:</w:t>
      </w:r>
      <w:r>
        <w:t xml:space="preserve"> a user submits a goal, sees plan and progress, receives intermediate artifacts, can cancel, and receives one durable terminal receipt.</w:t>
      </w:r>
    </w:p>
    <w:p w14:paraId="6A7A21E0">
      <w:pPr>
        <w:pStyle w:val="29"/>
        <w:numPr>
          <w:ilvl w:val="0"/>
          <w:numId w:val="7"/>
        </w:numPr>
      </w:pPr>
      <w:r>
        <w:rPr>
          <w:b/>
        </w:rPr>
        <w:t>Agent delegation:</w:t>
      </w:r>
      <w:r>
        <w:t xml:space="preserve"> one parent Run delegates at least one child step with narrower capabilities, context, and budget; cancellation cascades and verified evidence returns to the parent.</w:t>
      </w:r>
    </w:p>
    <w:p w14:paraId="54D29BA3">
      <w:pPr>
        <w:pStyle w:val="29"/>
        <w:numPr>
          <w:ilvl w:val="0"/>
          <w:numId w:val="7"/>
        </w:numPr>
      </w:pPr>
      <w:r>
        <w:rPr>
          <w:b/>
        </w:rPr>
        <w:t>Provider neutrality:</w:t>
      </w:r>
      <w:r>
        <w:t xml:space="preserve"> one cloud-model target, one local offline target, one supervised CLI, and one MCP tool use the same Run Kernel, TrustBroker, resource, cancellation, usage, and receipt contracts. API key, supported OAuth/router, and compliant CLI login are transport choices, not alternate security paths.</w:t>
      </w:r>
    </w:p>
    <w:p w14:paraId="164953B6">
      <w:pPr>
        <w:pStyle w:val="29"/>
        <w:numPr>
          <w:ilvl w:val="0"/>
          <w:numId w:val="7"/>
        </w:numPr>
      </w:pPr>
      <w:r>
        <w:rPr>
          <w:b/>
        </w:rPr>
        <w:t>Protected execution:</w:t>
      </w:r>
      <w:r>
        <w:t xml:space="preserve"> identity, permission, secret resolution, final egress, resource leases, side effects, recovery, and audit fail closed on the shared execution seam.</w:t>
      </w:r>
    </w:p>
    <w:p w14:paraId="078F24BF">
      <w:pPr>
        <w:pStyle w:val="29"/>
        <w:numPr>
          <w:ilvl w:val="0"/>
          <w:numId w:val="7"/>
        </w:numPr>
      </w:pPr>
      <w:r>
        <w:rPr>
          <w:b/>
        </w:rPr>
        <w:t>Causal User Intelligence:</w:t>
      </w:r>
      <w:r>
        <w:t xml:space="preserve"> one controlled loop preserves </w:t>
      </w:r>
      <w:r>
        <w:rPr>
          <w:rFonts w:ascii="Consolas" w:hAnsi="Consolas"/>
          <w:color w:val="0B2545"/>
          <w:sz w:val="18"/>
        </w:rPr>
        <w:t>context -&gt; origin/evidence -&gt; reason -&gt; scope -&gt; proposal -&gt; outcome</w:t>
      </w:r>
      <w:r>
        <w:t>; the user can explain, confirm, reject, correct, forget, export, delete, or pause it. Personality, psychology, taste, aesthetics, and decision style remain sensitive, purpose-bound context and never authorization.</w:t>
      </w:r>
    </w:p>
    <w:p w14:paraId="7C8D3977">
      <w:pPr>
        <w:pStyle w:val="29"/>
        <w:numPr>
          <w:ilvl w:val="0"/>
          <w:numId w:val="7"/>
        </w:numPr>
      </w:pPr>
      <w:r>
        <w:rPr>
          <w:b/>
        </w:rPr>
        <w:t>Capability resolution:</w:t>
      </w:r>
      <w:r>
        <w:t xml:space="preserve"> a missing capability resolves deterministically across trusted base, installed packages, signed remote zero-install capabilities, and installable Store entries as </w:t>
      </w:r>
      <w:r>
        <w:rPr>
          <w:rFonts w:ascii="Consolas" w:hAnsi="Consolas"/>
          <w:color w:val="0B2545"/>
          <w:sz w:val="18"/>
        </w:rPr>
        <w:t>ready-local</w:t>
      </w:r>
      <w:r>
        <w:t xml:space="preserve">, </w:t>
      </w:r>
      <w:r>
        <w:rPr>
          <w:rFonts w:ascii="Consolas" w:hAnsi="Consolas"/>
          <w:color w:val="0B2545"/>
          <w:sz w:val="18"/>
        </w:rPr>
        <w:t>ready-remote</w:t>
      </w:r>
      <w:r>
        <w:t xml:space="preserve">, </w:t>
      </w:r>
      <w:r>
        <w:rPr>
          <w:rFonts w:ascii="Consolas" w:hAnsi="Consolas"/>
          <w:color w:val="0B2545"/>
          <w:sz w:val="18"/>
        </w:rPr>
        <w:t>installable</w:t>
      </w:r>
      <w:r>
        <w:t xml:space="preserve">, or </w:t>
      </w:r>
      <w:r>
        <w:rPr>
          <w:rFonts w:ascii="Consolas" w:hAnsi="Consolas"/>
          <w:color w:val="0B2545"/>
          <w:sz w:val="18"/>
        </w:rPr>
        <w:t>unavailable</w:t>
      </w:r>
      <w:r>
        <w:t>.</w:t>
      </w:r>
    </w:p>
    <w:p w14:paraId="63C7E7BA">
      <w:pPr>
        <w:pStyle w:val="29"/>
        <w:numPr>
          <w:ilvl w:val="0"/>
          <w:numId w:val="7"/>
        </w:numPr>
      </w:pPr>
      <w:r>
        <w:rPr>
          <w:b/>
        </w:rPr>
        <w:t>Package lifecycle:</w:t>
      </w:r>
      <w:r>
        <w:t xml:space="preserve"> one tiny signed sandboxed pilot and one fully extracted IDE package install, activate, update, disable, roll back, revoke, and uninstall without rebuilding the base or leaving a route, process, lease, secret, or undeclared datum.</w:t>
      </w:r>
    </w:p>
    <w:p w14:paraId="6D0E970F">
      <w:pPr>
        <w:pStyle w:val="29"/>
        <w:numPr>
          <w:ilvl w:val="0"/>
          <w:numId w:val="7"/>
        </w:numPr>
      </w:pPr>
      <w:r>
        <w:rPr>
          <w:b/>
        </w:rPr>
        <w:t>Store lifecycle:</w:t>
      </w:r>
      <w:r>
        <w:t xml:space="preserve"> catalog and search work on the clean base; one paid first-party package completes checkout, entitlement, install, activation, refund, and revocation exactly once; a third-party fixture proves the standard 15/85 split without enabling public payout.</w:t>
      </w:r>
    </w:p>
    <w:p w14:paraId="0CBE714D">
      <w:pPr>
        <w:pStyle w:val="29"/>
        <w:numPr>
          <w:ilvl w:val="0"/>
          <w:numId w:val="7"/>
        </w:numPr>
      </w:pPr>
      <w:r>
        <w:rPr>
          <w:b/>
        </w:rPr>
        <w:t>Ecosystem cooperation:</w:t>
      </w:r>
      <w:r>
        <w:t xml:space="preserve"> one remote capability runs without downloading a desktop executable, one package calls another through a narrowed brokered grant, and one private workflow or Super Package replays a verified graph without bypassing Run, Trust, billing, or package policy.</w:t>
      </w:r>
    </w:p>
    <w:p w14:paraId="090F2B73">
      <w:pPr>
        <w:pStyle w:val="29"/>
        <w:numPr>
          <w:ilvl w:val="0"/>
          <w:numId w:val="7"/>
        </w:numPr>
      </w:pPr>
      <w:r>
        <w:rPr>
          <w:b/>
        </w:rPr>
        <w:t>Recovery and absence:</w:t>
      </w:r>
      <w:r>
        <w:t xml:space="preserve"> application restart never duplicates a committed effect, order, entitlement, debit, or refund; normal Hub, context, Store, settings, update, and recovery work while every optional package is absent.</w:t>
      </w:r>
    </w:p>
    <w:p w14:paraId="063B212F">
      <w:r>
        <w:t>The base graph and release artifact must contain zero implementation owned by the generated optional-domain registry. IDE, Browser, Office, Studio-related, Music, MakeVideo, Terminal, Testing, Monitor, media/design, and every future manifest marked optional are package owners, not base modules.</w:t>
      </w:r>
    </w:p>
    <w:p w14:paraId="35FD19E3">
      <w:pPr>
        <w:pStyle w:val="3"/>
      </w:pPr>
      <w:r>
        <w:t>Full managed-usage MVP</w:t>
      </w:r>
    </w:p>
    <w:p w14:paraId="59A41700">
      <w:r>
        <w:t>The full managed-usage checkpoint adds:</w:t>
      </w:r>
    </w:p>
    <w:p w14:paraId="59FDE488">
      <w:pPr>
        <w:pStyle w:val="29"/>
        <w:numPr>
          <w:ilvl w:val="0"/>
          <w:numId w:val="8"/>
        </w:numPr>
      </w:pPr>
      <w:r>
        <w:t>one Tomni-managed AI call using versioned quote, atomic Credit reservation, normalized metering, exactly-once settlement, release or refund, and reconciliation;</w:t>
      </w:r>
    </w:p>
    <w:p w14:paraId="54948581">
      <w:pPr>
        <w:pStyle w:val="29"/>
        <w:numPr>
          <w:ilvl w:val="0"/>
          <w:numId w:val="8"/>
        </w:numPr>
      </w:pPr>
      <w:r>
        <w:t>one prepaid scale-to-zero managed-cloud task using one General on-demand resource class, with reservation before provider creation and verified termination of compute, disk, secret, and leases;</w:t>
      </w:r>
    </w:p>
    <w:p w14:paraId="1A7B53EF">
      <w:pPr>
        <w:pStyle w:val="29"/>
        <w:numPr>
          <w:ilvl w:val="0"/>
          <w:numId w:val="8"/>
        </w:numPr>
      </w:pPr>
      <w:r>
        <w:t>zero managed compute-resource charge during an idle test period;</w:t>
      </w:r>
    </w:p>
    <w:p w14:paraId="352ADFA5">
      <w:pPr>
        <w:pStyle w:val="29"/>
        <w:numPr>
          <w:ilvl w:val="0"/>
          <w:numId w:val="8"/>
        </w:numPr>
      </w:pPr>
      <w:r>
        <w:t>no negative Credit balance, charge above the accepted maximum, duplicate mint, double spend, or unreconciled provider usage.</w:t>
      </w:r>
    </w:p>
    <w:p w14:paraId="232E2268">
      <w:r>
        <w:t>The Core plus Store candidate may be distributed with managed switches disabled. It cannot be called the full managed-usage MVP until the second checkpoint passes. A failed cloud gate disables only managed cloud; it never restores an unsafe path or blocks local, BYOK, supported CLI, MCP, user-owned cloud, catalog, or already valid entitlements.</w:t>
      </w:r>
    </w:p>
    <w:p w14:paraId="34F2B4FB">
      <w:pPr>
        <w:pStyle w:val="2"/>
      </w:pPr>
      <w:r>
        <w:t>MVP scope guard</w:t>
      </w:r>
    </w:p>
    <w:p w14:paraId="4C90F0E5">
      <w:r>
        <w:t>The fastest acceptable scope is:</w:t>
      </w:r>
    </w:p>
    <w:p w14:paraId="7A75298B">
      <w:pPr>
        <w:pStyle w:val="23"/>
      </w:pPr>
      <w:r>
        <w:t>one ordinary Hub surface and one lifecycle owner;</w:t>
      </w:r>
    </w:p>
    <w:p w14:paraId="37916822">
      <w:pPr>
        <w:pStyle w:val="23"/>
      </w:pPr>
      <w:r>
        <w:t>one cloud-model target, one local loopback engine/model, one CLI, and one MCP path;</w:t>
      </w:r>
    </w:p>
    <w:p w14:paraId="4B47813C">
      <w:pPr>
        <w:pStyle w:val="23"/>
      </w:pPr>
      <w:r>
        <w:t>deterministic routing only; no learned target ranking;</w:t>
      </w:r>
    </w:p>
    <w:p w14:paraId="73504906">
      <w:pPr>
        <w:pStyle w:val="23"/>
      </w:pPr>
      <w:r>
        <w:t>one signed pilot, one extracted IDE package, one remote descriptor, and one package-to-package fixture;</w:t>
      </w:r>
    </w:p>
    <w:p w14:paraId="45B6ABD5">
      <w:pPr>
        <w:pStyle w:val="23"/>
      </w:pPr>
      <w:r>
        <w:t>one first-party paid Store product and one third-party accounting fixture;</w:t>
      </w:r>
    </w:p>
    <w:p w14:paraId="05A089D3">
      <w:pPr>
        <w:pStyle w:val="23"/>
      </w:pPr>
      <w:r>
        <w:t>one private workflow or Super Package execution fixture; the drag-and-drop builder is post-MVP;</w:t>
      </w:r>
    </w:p>
    <w:p w14:paraId="3AC8071C">
      <w:pPr>
        <w:pStyle w:val="23"/>
      </w:pPr>
      <w:r>
        <w:t>one managed-AI rate card and one managed-cloud provider/resource class;</w:t>
      </w:r>
    </w:p>
    <w:p w14:paraId="2A3DAB6E">
      <w:pPr>
        <w:pStyle w:val="23"/>
      </w:pPr>
      <w:r>
        <w:t>Windows desktop evidence first; other platforms require their own later release evidence.</w:t>
      </w:r>
    </w:p>
    <w:p w14:paraId="7A75B0AB">
      <w:r>
        <w:t>Public third-party seller onboarding and payout, Browser packaging, broad provider coverage, warm VM pools, reserved capacity, autonomous background learning, sophisticated marketplace ranking, full workflow editor, and optional-app polish do not extend the critical path.</w:t>
      </w:r>
    </w:p>
    <w:p w14:paraId="328427DC">
      <w:pPr>
        <w:pStyle w:val="2"/>
      </w:pPr>
      <w:r>
        <w:t>Architecture and efficiency invariants</w:t>
      </w:r>
    </w:p>
    <w:p w14:paraId="696FA6F1">
      <w:pPr>
        <w:pStyle w:val="23"/>
      </w:pPr>
      <w:r>
        <w:t>Foundation Run Kernel becomes the only lifecycle owner. ExperimentalCore may remain an adapter/session transport but not a peer orchestrator.</w:t>
      </w:r>
    </w:p>
    <w:p w14:paraId="11463433">
      <w:pPr>
        <w:pStyle w:val="23"/>
      </w:pPr>
      <w:r>
        <w:t>The Orchestrator plans and delegates; Capability Resolver discovers; Target Router selects; TrustBroker authorizes; ResourceCoordinator leases; Billing settles; Package Supervisor activates. No service silently takes another owner's role.</w:t>
      </w:r>
    </w:p>
    <w:p w14:paraId="56BDB201">
      <w:pPr>
        <w:pStyle w:val="23"/>
      </w:pPr>
      <w:r>
        <w:t>Security is deterministic policy on shared seams. An optional local classifier can add evidence but cannot replace permission, secret, egress, or package checks.</w:t>
      </w:r>
    </w:p>
    <w:p w14:paraId="2DC92541">
      <w:pPr>
        <w:pStyle w:val="23"/>
      </w:pPr>
      <w:r>
        <w:t>A task does not call a separate LLM for every architectural layer. Model calls occur only for reasoning that the current step needs; state, policy, capability resolution, accounting, and lifecycle transitions use deterministic services and cached/versioned data.</w:t>
      </w:r>
    </w:p>
    <w:p w14:paraId="7F29D83C">
      <w:pPr>
        <w:pStyle w:val="23"/>
      </w:pPr>
      <w:r>
        <w:t>User understanding can influence a proposal, presentation, or candidate score only within its consented scope. It cannot grant capability, suppress approval, change package trust, or target sensitive advertising.</w:t>
      </w:r>
    </w:p>
    <w:p w14:paraId="0CAAC88E">
      <w:pPr>
        <w:pStyle w:val="23"/>
      </w:pPr>
      <w:r>
        <w:t>Store shell, catalog, package management, entitlement validation, and commerce governance belong to the base. Downloaded application implementations do not.</w:t>
      </w:r>
    </w:p>
    <w:p w14:paraId="664283BA">
      <w:pPr>
        <w:pStyle w:val="23"/>
      </w:pPr>
      <w:r>
        <w:t>Store ordinary payment and entitlement are separate from Tomni Credit. Third-party packages do not use Credit at MVP.</w:t>
      </w:r>
    </w:p>
    <w:p w14:paraId="790F07B6">
      <w:pPr>
        <w:pStyle w:val="23"/>
      </w:pPr>
      <w:r>
        <w:t>Payment, sponsorship, first-party status, and entitlement never raise trust, bypass signature, reduce permission, or weaken isolation.</w:t>
      </w:r>
    </w:p>
    <w:p w14:paraId="375FD2C9">
      <w:pPr>
        <w:pStyle w:val="23"/>
      </w:pPr>
      <w:r>
        <w:t>Cloud model inference and cloud VM/container execution are different targets with different rate cards and evidence.</w:t>
      </w:r>
    </w:p>
    <w:p w14:paraId="751BB04D">
      <w:pPr>
        <w:pStyle w:val="23"/>
      </w:pPr>
      <w:r>
        <w:t>Local installation occurs only when direct UI, local execution, or offline use requires it and the user consents. Approved remote capability execution does not imply installation.</w:t>
      </w:r>
    </w:p>
    <w:p w14:paraId="4388AD7F">
      <w:pPr>
        <w:pStyle w:val="23"/>
      </w:pPr>
      <w:r>
        <w:t>Every CURRENT claim requires a reachable production path and current-revision evidence. Historical logs, stale metafiles, and test volume are not completion.</w:t>
      </w:r>
    </w:p>
    <w:p w14:paraId="66B65281">
      <w:pPr>
        <w:pStyle w:val="2"/>
      </w:pPr>
      <w:r>
        <w:t>Dependency graph</w:t>
      </w:r>
    </w:p>
    <w:p w14:paraId="77AB8723">
      <w:r>
        <w:t>Checkpoints express real dependencies, not a rule that independent agents must wait:</w:t>
      </w:r>
    </w:p>
    <w:tbl>
      <w:tblPr>
        <w:tblStyle w:val="12"/>
        <w:tblW w:w="9360" w:type="dxa"/>
        <w:jc w:val="center"/>
        <w:tblLayout w:type="fixed"/>
        <w:tblCellMar>
          <w:top w:w="0" w:type="dxa"/>
          <w:left w:w="108" w:type="dxa"/>
          <w:bottom w:w="0" w:type="dxa"/>
          <w:right w:w="108" w:type="dxa"/>
        </w:tblCellMar>
      </w:tblPr>
      <w:tblGrid>
        <w:gridCol w:w="9360"/>
      </w:tblGrid>
      <w:tr w14:paraId="1A7C1518">
        <w:tblPrEx>
          <w:tblCellMar>
            <w:top w:w="0" w:type="dxa"/>
            <w:left w:w="108" w:type="dxa"/>
            <w:bottom w:w="0" w:type="dxa"/>
            <w:right w:w="108" w:type="dxa"/>
          </w:tblCellMar>
        </w:tblPrEx>
        <w:trPr>
          <w:cantSplit/>
          <w:tblHeader/>
          <w:jc w:val="center"/>
        </w:trPr>
        <w:tc>
          <w:tcPr>
            <w:tcW w:w="9360" w:type="dxa"/>
            <w:shd w:val="clear" w:color="auto" w:fill="F5F8FB"/>
            <w:tcMar>
              <w:top w:w="80" w:type="dxa"/>
              <w:left w:w="120" w:type="dxa"/>
              <w:bottom w:w="80" w:type="dxa"/>
              <w:right w:w="120" w:type="dxa"/>
            </w:tcMar>
            <w:vAlign w:val="center"/>
          </w:tcPr>
          <w:p w14:paraId="2E659048">
            <w:pPr>
              <w:spacing w:after="0"/>
            </w:pPr>
            <w:r>
              <w:rPr>
                <w:rFonts w:ascii="Consolas" w:hAnsi="Consolas"/>
                <w:color w:val="243447"/>
                <w:sz w:val="17"/>
              </w:rPr>
              <w:t>C0 evidence lock</w:t>
            </w:r>
            <w:r>
              <w:rPr>
                <w:rFonts w:ascii="Consolas" w:hAnsi="Consolas"/>
                <w:color w:val="243447"/>
                <w:sz w:val="17"/>
              </w:rPr>
              <w:br w:type="textWrapping"/>
            </w:r>
            <w:r>
              <w:rPr>
                <w:rFonts w:ascii="Consolas" w:hAnsi="Consolas"/>
                <w:color w:val="243447"/>
                <w:sz w:val="17"/>
              </w:rPr>
              <w:t xml:space="preserve">  -&gt; C1 minimal shared contracts</w:t>
            </w:r>
            <w:r>
              <w:rPr>
                <w:rFonts w:ascii="Consolas" w:hAnsi="Consolas"/>
                <w:color w:val="243447"/>
                <w:sz w:val="17"/>
              </w:rPr>
              <w:br w:type="textWrapping"/>
            </w:r>
            <w:r>
              <w:rPr>
                <w:rFonts w:ascii="Consolas" w:hAnsi="Consolas"/>
                <w:color w:val="243447"/>
                <w:sz w:val="17"/>
              </w:rPr>
              <w:t xml:space="preserve">       |</w:t>
            </w:r>
            <w:r>
              <w:rPr>
                <w:rFonts w:ascii="Consolas" w:hAnsi="Consolas"/>
                <w:color w:val="243447"/>
                <w:sz w:val="17"/>
              </w:rPr>
              <w:br w:type="textWrapping"/>
            </w:r>
            <w:r>
              <w:rPr>
                <w:rFonts w:ascii="Consolas" w:hAnsi="Consolas"/>
                <w:color w:val="243447"/>
                <w:sz w:val="17"/>
              </w:rPr>
              <w:t xml:space="preserve">       |-&gt; H1 one Hub vertical -&gt; H2 delegation and targets -&gt; H3 managed usage</w:t>
            </w:r>
            <w:r>
              <w:rPr>
                <w:rFonts w:ascii="Consolas" w:hAnsi="Consolas"/>
                <w:color w:val="243447"/>
                <w:sz w:val="17"/>
              </w:rPr>
              <w:br w:type="textWrapping"/>
            </w:r>
            <w:r>
              <w:rPr>
                <w:rFonts w:ascii="Consolas" w:hAnsi="Consolas"/>
                <w:color w:val="243447"/>
                <w:sz w:val="17"/>
              </w:rPr>
              <w:t xml:space="preserve">       |-&gt; T1 shared Trust seam -&gt; T2 causal intelligence -&gt; T3 controls and denial proof</w:t>
            </w:r>
            <w:r>
              <w:rPr>
                <w:rFonts w:ascii="Consolas" w:hAnsi="Consolas"/>
                <w:color w:val="243447"/>
                <w:sz w:val="17"/>
              </w:rPr>
              <w:br w:type="textWrapping"/>
            </w:r>
            <w:r>
              <w:rPr>
                <w:rFonts w:ascii="Consolas" w:hAnsi="Consolas"/>
                <w:color w:val="243447"/>
                <w:sz w:val="17"/>
              </w:rPr>
              <w:t xml:space="preserve">       |-&gt; S1 catalog and free path -&gt; S2 ABI and resolver -&gt; S3 commerce -&gt; S4 extraction</w:t>
            </w:r>
            <w:r>
              <w:rPr>
                <w:rFonts w:ascii="Consolas" w:hAnsi="Consolas"/>
                <w:color w:val="243447"/>
                <w:sz w:val="17"/>
              </w:rPr>
              <w:br w:type="textWrapping"/>
            </w:r>
            <w:r>
              <w:rPr>
                <w:rFonts w:ascii="Consolas" w:hAnsi="Consolas"/>
                <w:color w:val="243447"/>
                <w:sz w:val="17"/>
              </w:rPr>
              <w:t xml:space="preserve">       |</w:t>
            </w:r>
            <w:r>
              <w:rPr>
                <w:rFonts w:ascii="Consolas" w:hAnsi="Consolas"/>
                <w:color w:val="243447"/>
                <w:sz w:val="17"/>
              </w:rPr>
              <w:br w:type="textWrapping"/>
            </w:r>
            <w:r>
              <w:rPr>
                <w:rFonts w:ascii="Consolas" w:hAnsi="Consolas"/>
                <w:color w:val="243447"/>
                <w:sz w:val="17"/>
              </w:rPr>
              <w:t xml:space="preserve">       +-&gt; C2 first safe vertical</w:t>
            </w:r>
            <w:r>
              <w:rPr>
                <w:rFonts w:ascii="Consolas" w:hAnsi="Consolas"/>
                <w:color w:val="243447"/>
                <w:sz w:val="17"/>
              </w:rPr>
              <w:br w:type="textWrapping"/>
            </w:r>
            <w:r>
              <w:rPr>
                <w:rFonts w:ascii="Consolas" w:hAnsi="Consolas"/>
                <w:color w:val="243447"/>
                <w:sz w:val="17"/>
              </w:rPr>
              <w:t xml:space="preserve">             -&gt; C3 Core, Trust, and package convergence</w:t>
            </w:r>
            <w:r>
              <w:rPr>
                <w:rFonts w:ascii="Consolas" w:hAnsi="Consolas"/>
                <w:color w:val="243447"/>
                <w:sz w:val="17"/>
              </w:rPr>
              <w:br w:type="textWrapping"/>
            </w:r>
            <w:r>
              <w:rPr>
                <w:rFonts w:ascii="Consolas" w:hAnsi="Consolas"/>
                <w:color w:val="243447"/>
                <w:sz w:val="17"/>
              </w:rPr>
              <w:t xml:space="preserve">                  -&gt; C4 Store commerce and managed-usage checkpoints</w:t>
            </w:r>
            <w:r>
              <w:rPr>
                <w:rFonts w:ascii="Consolas" w:hAnsi="Consolas"/>
                <w:color w:val="243447"/>
                <w:sz w:val="17"/>
              </w:rPr>
              <w:br w:type="textWrapping"/>
            </w:r>
            <w:r>
              <w:rPr>
                <w:rFonts w:ascii="Consolas" w:hAnsi="Consolas"/>
                <w:color w:val="243447"/>
                <w:sz w:val="17"/>
              </w:rPr>
              <w:t xml:space="preserve">                       -&gt; C5 clean base and IDE extraction</w:t>
            </w:r>
            <w:r>
              <w:rPr>
                <w:rFonts w:ascii="Consolas" w:hAnsi="Consolas"/>
                <w:color w:val="243447"/>
                <w:sz w:val="17"/>
              </w:rPr>
              <w:br w:type="textWrapping"/>
            </w:r>
            <w:r>
              <w:rPr>
                <w:rFonts w:ascii="Consolas" w:hAnsi="Consolas"/>
                <w:color w:val="243447"/>
                <w:sz w:val="17"/>
              </w:rPr>
              <w:t xml:space="preserve">                            -&gt; C6 release reconciliation</w:t>
            </w:r>
          </w:p>
        </w:tc>
      </w:tr>
    </w:tbl>
    <w:p w14:paraId="1F0C5CF0">
      <w:pPr>
        <w:spacing w:after="0"/>
      </w:pPr>
    </w:p>
    <w:p w14:paraId="166DF744">
      <w:r>
        <w:t>Store starts at C0. Catalog, search, free publishing/install, order state, entitlement, accounting fixtures, ranking separation, and UI states do not wait for managed AI or cloud. Paid activation waits only for a valid order/entitlement, package identity and ABI, Trust approval, and isolated lifecycle. Managed cloud never sits on the Store dependency path.</w:t>
      </w:r>
    </w:p>
    <w:p w14:paraId="56999EFB">
      <w:pPr>
        <w:pStyle w:val="2"/>
      </w:pPr>
      <w:r>
        <w:t>Mandatory four-slot execution model</w:t>
      </w:r>
    </w:p>
    <w:p w14:paraId="7AA5411D">
      <w:r>
        <w:t>The Integrator occupies one slot. Every active checkpoint assigns all three subagent slots to bounded, non-overlapping work. If fewer than three implementation atoms are ready, the remaining slot takes an independent verifier, adversarial fixture, inventory, clean-machine proof, or the next Store preparation atom. A subagent never edits an Integrator-owned file merely to avoid being idle.</w:t>
      </w:r>
    </w:p>
    <w:p w14:paraId="377595A3">
      <w:r>
        <w:t>At least one subagent advances the Store/package track until its release gate passes. Store work can switch among implementation, ports, fixtures, UI states, security tests, and release evidence while waiting for a shared dependency.</w:t>
      </w:r>
    </w:p>
    <w:p w14:paraId="5CBC6412">
      <w:pPr>
        <w:pStyle w:val="3"/>
      </w:pPr>
      <w:r>
        <w:t>Integrator-only ownership</w:t>
      </w:r>
    </w:p>
    <w:p w14:paraId="5ABE60E5">
      <w:r>
        <w:t>Only the Integrator edits or wires:</w:t>
      </w:r>
    </w:p>
    <w:p w14:paraId="4CBAC2A0">
      <w:pPr>
        <w:pStyle w:val="23"/>
      </w:pPr>
      <w:r>
        <w:t>shared Run, TrustBroker, Context, adapter, capability, commerce, Credit, and package ABI contracts;</w:t>
      </w:r>
    </w:p>
    <w:p w14:paraId="00F68C72">
      <w:pPr>
        <w:pStyle w:val="23"/>
      </w:pPr>
      <w:r>
        <w:t>app bootstrap, preload entry, IPC registration tables, and base routers;</w:t>
      </w:r>
    </w:p>
    <w:p w14:paraId="4D1C28FF">
      <w:pPr>
        <w:pStyle w:val="23"/>
      </w:pPr>
      <w:r>
        <w:t>database schemas and migrations;</w:t>
      </w:r>
    </w:p>
    <w:p w14:paraId="589DDBC0">
      <w:pPr>
        <w:pStyle w:val="23"/>
      </w:pPr>
      <w:r>
        <w:t>generated types, registries, and release ownership outputs;</w:t>
      </w:r>
    </w:p>
    <w:p w14:paraId="7EE47006">
      <w:pPr>
        <w:pStyle w:val="23"/>
      </w:pPr>
      <w:r>
        <w:t>package registry and capability resolver integration;</w:t>
      </w:r>
    </w:p>
    <w:p w14:paraId="6DDC93CE">
      <w:pPr>
        <w:pStyle w:val="23"/>
      </w:pPr>
      <w:r>
        <w:t>cross-track feature flags and kill switches;</w:t>
      </w:r>
    </w:p>
    <w:p w14:paraId="442DD2EB">
      <w:pPr>
        <w:pStyle w:val="23"/>
      </w:pPr>
      <w:r>
        <w:t>canonical documentation, final status, integration commits, and release decisions.</w:t>
      </w:r>
    </w:p>
    <w:p w14:paraId="663EF066">
      <w:r>
        <w:t>A subagent that needs one of these changes returns a proposed schema or patch description and continues with an approved independent atom.</w:t>
      </w:r>
    </w:p>
    <w:p w14:paraId="4B824516">
      <w:pPr>
        <w:pStyle w:val="3"/>
      </w:pPr>
      <w:r>
        <w:t>Required subagent task envelope</w:t>
      </w:r>
    </w:p>
    <w:p w14:paraId="014C97D7">
      <w:r>
        <w:t>Every assignment states:</w:t>
      </w:r>
    </w:p>
    <w:p w14:paraId="588A2F2D">
      <w:pPr>
        <w:pStyle w:val="29"/>
        <w:numPr>
          <w:ilvl w:val="0"/>
          <w:numId w:val="9"/>
        </w:numPr>
      </w:pPr>
      <w:r>
        <w:t>one concrete outcome and its acceptance criterion;</w:t>
      </w:r>
    </w:p>
    <w:p w14:paraId="74FD6E82">
      <w:pPr>
        <w:pStyle w:val="29"/>
        <w:numPr>
          <w:ilvl w:val="0"/>
          <w:numId w:val="9"/>
        </w:numPr>
      </w:pPr>
      <w:r>
        <w:t>exact file or directory allowlist;</w:t>
      </w:r>
    </w:p>
    <w:p w14:paraId="469849B0">
      <w:pPr>
        <w:pStyle w:val="29"/>
        <w:numPr>
          <w:ilvl w:val="0"/>
          <w:numId w:val="9"/>
        </w:numPr>
      </w:pPr>
      <w:r>
        <w:t>forbidden shared files and non-goals;</w:t>
      </w:r>
    </w:p>
    <w:p w14:paraId="438DF6D7">
      <w:pPr>
        <w:pStyle w:val="29"/>
        <w:numPr>
          <w:ilvl w:val="0"/>
          <w:numId w:val="9"/>
        </w:numPr>
      </w:pPr>
      <w:r>
        <w:t>starting revision and known dirty files;</w:t>
      </w:r>
    </w:p>
    <w:p w14:paraId="0986B1A6">
      <w:pPr>
        <w:pStyle w:val="29"/>
        <w:numPr>
          <w:ilvl w:val="0"/>
          <w:numId w:val="9"/>
        </w:numPr>
      </w:pPr>
      <w:r>
        <w:t>required scoped tests and exit-code evidence;</w:t>
      </w:r>
    </w:p>
    <w:p w14:paraId="689C997D">
      <w:pPr>
        <w:pStyle w:val="29"/>
        <w:numPr>
          <w:ilvl w:val="0"/>
          <w:numId w:val="9"/>
        </w:numPr>
      </w:pPr>
      <w:r>
        <w:t>migration, rollback, and kill behavior when applicable;</w:t>
      </w:r>
    </w:p>
    <w:p w14:paraId="120DC716">
      <w:pPr>
        <w:pStyle w:val="29"/>
        <w:numPr>
          <w:ilvl w:val="0"/>
          <w:numId w:val="9"/>
        </w:numPr>
      </w:pPr>
      <w:r>
        <w:t>handoff format and whether commit ownership was explicitly delegated.</w:t>
      </w:r>
    </w:p>
    <w:p w14:paraId="16176FD6">
      <w:r>
        <w:t>One production file has one owner in one checkpoint. One table or migration has one owner. Subagents do not commit unless the Integrator explicitly delegates it.</w:t>
      </w:r>
    </w:p>
    <w:p w14:paraId="4E46C506">
      <w:pPr>
        <w:pStyle w:val="3"/>
      </w:pPr>
      <w:r>
        <w:t>Work-conserving ready queue</w:t>
      </w:r>
    </w:p>
    <w:p w14:paraId="767559F5">
      <w:r>
        <w:t xml:space="preserve">The Integrator maintains four states for every atom: </w:t>
      </w:r>
      <w:r>
        <w:rPr>
          <w:rFonts w:ascii="Consolas" w:hAnsi="Consolas"/>
          <w:color w:val="0B2545"/>
          <w:sz w:val="18"/>
        </w:rPr>
        <w:t>ready</w:t>
      </w:r>
      <w:r>
        <w:t xml:space="preserve">, </w:t>
      </w:r>
      <w:r>
        <w:rPr>
          <w:rFonts w:ascii="Consolas" w:hAnsi="Consolas"/>
          <w:color w:val="0B2545"/>
          <w:sz w:val="18"/>
        </w:rPr>
        <w:t>active</w:t>
      </w:r>
      <w:r>
        <w:t xml:space="preserve">, </w:t>
      </w:r>
      <w:r>
        <w:rPr>
          <w:rFonts w:ascii="Consolas" w:hAnsi="Consolas"/>
          <w:color w:val="0B2545"/>
          <w:sz w:val="18"/>
        </w:rPr>
        <w:t>waiting-shared</w:t>
      </w:r>
      <w:r>
        <w:t xml:space="preserve">, and </w:t>
      </w:r>
      <w:r>
        <w:rPr>
          <w:rFonts w:ascii="Consolas" w:hAnsi="Consolas"/>
          <w:color w:val="0B2545"/>
          <w:sz w:val="18"/>
        </w:rPr>
        <w:t>verify</w:t>
      </w:r>
      <w:r>
        <w:t xml:space="preserve">. When an atom becomes </w:t>
      </w:r>
      <w:r>
        <w:rPr>
          <w:rFonts w:ascii="Consolas" w:hAnsi="Consolas"/>
          <w:color w:val="0B2545"/>
          <w:sz w:val="18"/>
        </w:rPr>
        <w:t>waiting-shared</w:t>
      </w:r>
      <w:r>
        <w:t xml:space="preserve">, that slot immediately takes the next non-overlapping </w:t>
      </w:r>
      <w:r>
        <w:rPr>
          <w:rFonts w:ascii="Consolas" w:hAnsi="Consolas"/>
          <w:color w:val="0B2545"/>
          <w:sz w:val="18"/>
        </w:rPr>
        <w:t>ready</w:t>
      </w:r>
      <w:r>
        <w:t xml:space="preserve"> or </w:t>
      </w:r>
      <w:r>
        <w:rPr>
          <w:rFonts w:ascii="Consolas" w:hAnsi="Consolas"/>
          <w:color w:val="0B2545"/>
          <w:sz w:val="18"/>
        </w:rPr>
        <w:t>verify</w:t>
      </w:r>
      <w:r>
        <w:t xml:space="preserve"> atom from the same track, then another MVP track. No agent waits for a whole wave when a safe slice is available.</w:t>
      </w:r>
    </w:p>
    <w:p w14:paraId="5550A841">
      <w:r>
        <w:t>Priority inside the ready queue is:</w:t>
      </w:r>
    </w:p>
    <w:p w14:paraId="3028827C">
      <w:pPr>
        <w:pStyle w:val="29"/>
        <w:numPr>
          <w:ilvl w:val="0"/>
          <w:numId w:val="10"/>
        </w:numPr>
      </w:pPr>
      <w:r>
        <w:t>unblock a shared MVP dependency;</w:t>
      </w:r>
    </w:p>
    <w:p w14:paraId="45C443A7">
      <w:pPr>
        <w:pStyle w:val="29"/>
        <w:numPr>
          <w:ilvl w:val="0"/>
          <w:numId w:val="10"/>
        </w:numPr>
      </w:pPr>
      <w:r>
        <w:t>close a security, data-loss, duplicate-effect, or accounting risk;</w:t>
      </w:r>
    </w:p>
    <w:p w14:paraId="2CDEFB62">
      <w:pPr>
        <w:pStyle w:val="29"/>
        <w:numPr>
          <w:ilvl w:val="0"/>
          <w:numId w:val="10"/>
        </w:numPr>
      </w:pPr>
      <w:r>
        <w:t>complete an end-to-end vertical slice;</w:t>
      </w:r>
    </w:p>
    <w:p w14:paraId="424F2F5C">
      <w:pPr>
        <w:pStyle w:val="29"/>
        <w:numPr>
          <w:ilvl w:val="0"/>
          <w:numId w:val="10"/>
        </w:numPr>
      </w:pPr>
      <w:r>
        <w:t>add independent verification for a completed implementation;</w:t>
      </w:r>
    </w:p>
    <w:p w14:paraId="69E4B9D0">
      <w:pPr>
        <w:pStyle w:val="29"/>
        <w:numPr>
          <w:ilvl w:val="0"/>
          <w:numId w:val="10"/>
        </w:numPr>
      </w:pPr>
      <w:r>
        <w:t>advance Store/package continuity;</w:t>
      </w:r>
    </w:p>
    <w:p w14:paraId="5C342135">
      <w:pPr>
        <w:pStyle w:val="29"/>
        <w:numPr>
          <w:ilvl w:val="0"/>
          <w:numId w:val="10"/>
        </w:numPr>
      </w:pPr>
      <w:r>
        <w:t>prepare the next adapter, extraction, or managed-usage fixture.</w:t>
      </w:r>
    </w:p>
    <w:p w14:paraId="5DBB8871">
      <w:pPr>
        <w:pStyle w:val="3"/>
      </w:pPr>
      <w:r>
        <w:t>Handoff and integration cadence</w:t>
      </w:r>
    </w:p>
    <w:p w14:paraId="3652D381">
      <w:r>
        <w:t>A handoff occurs after each acceptance-sized atom, not at the end of a large wave. It includes changed files, observed behavior, commands and exit codes, evidence status, remaining risk, rollback, conflicts, and unrelated dirty paths.</w:t>
      </w:r>
    </w:p>
    <w:p w14:paraId="3A329011">
      <w:r>
        <w:t>The Integrator immediately performs:</w:t>
      </w:r>
    </w:p>
    <w:tbl>
      <w:tblPr>
        <w:tblStyle w:val="12"/>
        <w:tblW w:w="9360" w:type="dxa"/>
        <w:jc w:val="center"/>
        <w:tblLayout w:type="fixed"/>
        <w:tblCellMar>
          <w:top w:w="0" w:type="dxa"/>
          <w:left w:w="108" w:type="dxa"/>
          <w:bottom w:w="0" w:type="dxa"/>
          <w:right w:w="108" w:type="dxa"/>
        </w:tblCellMar>
      </w:tblPr>
      <w:tblGrid>
        <w:gridCol w:w="9360"/>
      </w:tblGrid>
      <w:tr w14:paraId="4A4BD28A">
        <w:tblPrEx>
          <w:tblCellMar>
            <w:top w:w="0" w:type="dxa"/>
            <w:left w:w="108" w:type="dxa"/>
            <w:bottom w:w="0" w:type="dxa"/>
            <w:right w:w="108" w:type="dxa"/>
          </w:tblCellMar>
        </w:tblPrEx>
        <w:trPr>
          <w:cantSplit/>
          <w:tblHeader/>
          <w:jc w:val="center"/>
        </w:trPr>
        <w:tc>
          <w:tcPr>
            <w:tcW w:w="9360" w:type="dxa"/>
            <w:shd w:val="clear" w:color="auto" w:fill="F5F8FB"/>
            <w:tcMar>
              <w:top w:w="80" w:type="dxa"/>
              <w:left w:w="120" w:type="dxa"/>
              <w:bottom w:w="80" w:type="dxa"/>
              <w:right w:w="120" w:type="dxa"/>
            </w:tcMar>
            <w:vAlign w:val="center"/>
          </w:tcPr>
          <w:p w14:paraId="2B479E33">
            <w:pPr>
              <w:spacing w:after="0"/>
            </w:pPr>
            <w:r>
              <w:rPr>
                <w:rFonts w:ascii="Consolas" w:hAnsi="Consolas"/>
                <w:color w:val="243447"/>
                <w:sz w:val="17"/>
              </w:rPr>
              <w:t>scope and overlap review</w:t>
            </w:r>
            <w:r>
              <w:rPr>
                <w:rFonts w:ascii="Consolas" w:hAnsi="Consolas"/>
                <w:color w:val="243447"/>
                <w:sz w:val="17"/>
              </w:rPr>
              <w:br w:type="textWrapping"/>
            </w:r>
            <w:r>
              <w:rPr>
                <w:rFonts w:ascii="Consolas" w:hAnsi="Consolas"/>
                <w:color w:val="243447"/>
                <w:sz w:val="17"/>
              </w:rPr>
              <w:t>-&gt; scoped test</w:t>
            </w:r>
            <w:r>
              <w:rPr>
                <w:rFonts w:ascii="Consolas" w:hAnsi="Consolas"/>
                <w:color w:val="243447"/>
                <w:sz w:val="17"/>
              </w:rPr>
              <w:br w:type="textWrapping"/>
            </w:r>
            <w:r>
              <w:rPr>
                <w:rFonts w:ascii="Consolas" w:hAnsi="Consolas"/>
                <w:color w:val="243447"/>
                <w:sz w:val="17"/>
              </w:rPr>
              <w:t>-&gt; contract/security review</w:t>
            </w:r>
            <w:r>
              <w:rPr>
                <w:rFonts w:ascii="Consolas" w:hAnsi="Consolas"/>
                <w:color w:val="243447"/>
                <w:sz w:val="17"/>
              </w:rPr>
              <w:br w:type="textWrapping"/>
            </w:r>
            <w:r>
              <w:rPr>
                <w:rFonts w:ascii="Consolas" w:hAnsi="Consolas"/>
                <w:color w:val="243447"/>
                <w:sz w:val="17"/>
              </w:rPr>
              <w:t>-&gt; shared wiring</w:t>
            </w:r>
            <w:r>
              <w:rPr>
                <w:rFonts w:ascii="Consolas" w:hAnsi="Consolas"/>
                <w:color w:val="243447"/>
                <w:sz w:val="17"/>
              </w:rPr>
              <w:br w:type="textWrapping"/>
            </w:r>
            <w:r>
              <w:rPr>
                <w:rFonts w:ascii="Consolas" w:hAnsi="Consolas"/>
                <w:color w:val="243447"/>
                <w:sz w:val="17"/>
              </w:rPr>
              <w:t>-&gt; integration test</w:t>
            </w:r>
            <w:r>
              <w:rPr>
                <w:rFonts w:ascii="Consolas" w:hAnsi="Consolas"/>
                <w:color w:val="243447"/>
                <w:sz w:val="17"/>
              </w:rPr>
              <w:br w:type="textWrapping"/>
            </w:r>
            <w:r>
              <w:rPr>
                <w:rFonts w:ascii="Consolas" w:hAnsi="Consolas"/>
                <w:color w:val="243447"/>
                <w:sz w:val="17"/>
              </w:rPr>
              <w:t>-&gt; generated-output refresh</w:t>
            </w:r>
            <w:r>
              <w:rPr>
                <w:rFonts w:ascii="Consolas" w:hAnsi="Consolas"/>
                <w:color w:val="243447"/>
                <w:sz w:val="17"/>
              </w:rPr>
              <w:br w:type="textWrapping"/>
            </w:r>
            <w:r>
              <w:rPr>
                <w:rFonts w:ascii="Consolas" w:hAnsi="Consolas"/>
                <w:color w:val="243447"/>
                <w:sz w:val="17"/>
              </w:rPr>
              <w:t>-&gt; current-status update</w:t>
            </w:r>
            <w:r>
              <w:rPr>
                <w:rFonts w:ascii="Consolas" w:hAnsi="Consolas"/>
                <w:color w:val="243447"/>
                <w:sz w:val="17"/>
              </w:rPr>
              <w:br w:type="textWrapping"/>
            </w:r>
            <w:r>
              <w:rPr>
                <w:rFonts w:ascii="Consolas" w:hAnsi="Consolas"/>
                <w:color w:val="243447"/>
                <w:sz w:val="17"/>
              </w:rPr>
              <w:t>-&gt; checkpoint commit when authorized</w:t>
            </w:r>
          </w:p>
        </w:tc>
      </w:tr>
    </w:tbl>
    <w:p w14:paraId="7F187FB0">
      <w:pPr>
        <w:spacing w:after="0"/>
      </w:pPr>
    </w:p>
    <w:p w14:paraId="67459BEF">
      <w:r>
        <w:t>An implementation author cannot be the sole verifier for its release gate. A failure keeps only the affected atom or feature switch red; it does not erase evidence from independent green tracks. After two failed attempts with the same hypothesis, remap the cause before another edit.</w:t>
      </w:r>
    </w:p>
    <w:p w14:paraId="4AE7AA7A">
      <w:pPr>
        <w:pStyle w:val="2"/>
      </w:pPr>
      <w:r>
        <w:t>Authoritative slot schedule</w:t>
      </w:r>
    </w:p>
    <w:p w14:paraId="0D2AF339">
      <w:pPr>
        <w:pStyle w:val="3"/>
      </w:pPr>
      <w:r>
        <w:t>C0</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5FB1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078F2AC6">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4A563AC9">
            <w:pPr>
              <w:jc w:val="left"/>
            </w:pPr>
            <w:r>
              <w:rPr>
                <w:b/>
                <w:color w:val="0B2545"/>
              </w:rPr>
              <w:t>CONTENT</w:t>
            </w:r>
          </w:p>
        </w:tc>
      </w:tr>
      <w:tr w14:paraId="025C2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583C1B6F">
            <w:r>
              <w:rPr>
                <w:sz w:val="18"/>
              </w:rPr>
              <w:t>Integrator</w:t>
            </w:r>
          </w:p>
        </w:tc>
        <w:tc>
          <w:tcPr>
            <w:tcW w:w="7260" w:type="dxa"/>
            <w:tcMar>
              <w:top w:w="80" w:type="dxa"/>
              <w:left w:w="120" w:type="dxa"/>
              <w:bottom w:w="80" w:type="dxa"/>
              <w:right w:w="120" w:type="dxa"/>
            </w:tcMar>
            <w:vAlign w:val="center"/>
          </w:tcPr>
          <w:p w14:paraId="1ECFF2A3">
            <w:r>
              <w:rPr>
                <w:sz w:val="18"/>
              </w:rPr>
              <w:t>scope, release surfaces, goal set, ownership rules</w:t>
            </w:r>
          </w:p>
        </w:tc>
      </w:tr>
      <w:tr w14:paraId="54D6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50347C7A">
            <w:r>
              <w:rPr>
                <w:sz w:val="18"/>
              </w:rPr>
              <w:t>Subagent A</w:t>
            </w:r>
          </w:p>
        </w:tc>
        <w:tc>
          <w:tcPr>
            <w:tcW w:w="7260" w:type="dxa"/>
            <w:shd w:val="clear" w:color="auto" w:fill="F5F8FB"/>
            <w:tcMar>
              <w:top w:w="80" w:type="dxa"/>
              <w:left w:w="120" w:type="dxa"/>
              <w:bottom w:w="80" w:type="dxa"/>
              <w:right w:w="120" w:type="dxa"/>
            </w:tcMar>
            <w:vAlign w:val="center"/>
          </w:tcPr>
          <w:p w14:paraId="69A62A73">
            <w:r>
              <w:rPr>
                <w:sz w:val="18"/>
              </w:rPr>
              <w:t>Run/executor/target inventory</w:t>
            </w:r>
          </w:p>
        </w:tc>
      </w:tr>
      <w:tr w14:paraId="259E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051FB689">
            <w:r>
              <w:rPr>
                <w:sz w:val="18"/>
              </w:rPr>
              <w:t>Subagent B</w:t>
            </w:r>
          </w:p>
        </w:tc>
        <w:tc>
          <w:tcPr>
            <w:tcW w:w="7260" w:type="dxa"/>
            <w:tcMar>
              <w:top w:w="80" w:type="dxa"/>
              <w:left w:w="120" w:type="dxa"/>
              <w:bottom w:w="80" w:type="dxa"/>
              <w:right w:w="120" w:type="dxa"/>
            </w:tcMar>
            <w:vAlign w:val="center"/>
          </w:tcPr>
          <w:p w14:paraId="4C9B1128">
            <w:r>
              <w:rPr>
                <w:sz w:val="18"/>
              </w:rPr>
              <w:t>Trust/IPC/egress/context inventory</w:t>
            </w:r>
          </w:p>
        </w:tc>
      </w:tr>
      <w:tr w14:paraId="02D9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750A12CE">
            <w:r>
              <w:rPr>
                <w:sz w:val="18"/>
              </w:rPr>
              <w:t>Subagent C - Store continuity</w:t>
            </w:r>
          </w:p>
        </w:tc>
        <w:tc>
          <w:tcPr>
            <w:tcW w:w="7260" w:type="dxa"/>
            <w:shd w:val="clear" w:color="auto" w:fill="F5F8FB"/>
            <w:tcMar>
              <w:top w:w="80" w:type="dxa"/>
              <w:left w:w="120" w:type="dxa"/>
              <w:bottom w:w="80" w:type="dxa"/>
              <w:right w:w="120" w:type="dxa"/>
            </w:tcMar>
            <w:vAlign w:val="center"/>
          </w:tcPr>
          <w:p w14:paraId="7395DC84">
            <w:r>
              <w:rPr>
                <w:sz w:val="18"/>
              </w:rPr>
              <w:t>Store/package/commerce/optional-owner/billing/cloud inventory</w:t>
            </w:r>
          </w:p>
        </w:tc>
      </w:tr>
      <w:tr w14:paraId="0DDF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3AB51C52">
            <w:r>
              <w:rPr>
                <w:sz w:val="18"/>
              </w:rPr>
              <w:t>Exit</w:t>
            </w:r>
          </w:p>
        </w:tc>
        <w:tc>
          <w:tcPr>
            <w:tcW w:w="7260" w:type="dxa"/>
            <w:tcMar>
              <w:top w:w="80" w:type="dxa"/>
              <w:left w:w="120" w:type="dxa"/>
              <w:bottom w:w="80" w:type="dxa"/>
              <w:right w:w="120" w:type="dxa"/>
            </w:tcMar>
            <w:vAlign w:val="center"/>
          </w:tcPr>
          <w:p w14:paraId="0EB5CE6D">
            <w:r>
              <w:rPr>
                <w:sz w:val="18"/>
              </w:rPr>
              <w:t>deterministic evidence lock</w:t>
            </w:r>
          </w:p>
        </w:tc>
      </w:tr>
    </w:tbl>
    <w:p w14:paraId="3DE97698">
      <w:pPr>
        <w:spacing w:after="0"/>
      </w:pPr>
    </w:p>
    <w:p w14:paraId="05D05515">
      <w:pPr>
        <w:pStyle w:val="3"/>
      </w:pPr>
      <w:r>
        <w:t>C1</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5C1E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5001E7DB">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5E772130">
            <w:pPr>
              <w:jc w:val="left"/>
            </w:pPr>
            <w:r>
              <w:rPr>
                <w:b/>
                <w:color w:val="0B2545"/>
              </w:rPr>
              <w:t>CONTENT</w:t>
            </w:r>
          </w:p>
        </w:tc>
      </w:tr>
      <w:tr w14:paraId="1977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7EBEC129">
            <w:r>
              <w:rPr>
                <w:sz w:val="18"/>
              </w:rPr>
              <w:t>Integrator</w:t>
            </w:r>
          </w:p>
        </w:tc>
        <w:tc>
          <w:tcPr>
            <w:tcW w:w="7260" w:type="dxa"/>
            <w:tcMar>
              <w:top w:w="80" w:type="dxa"/>
              <w:left w:w="120" w:type="dxa"/>
              <w:bottom w:w="80" w:type="dxa"/>
              <w:right w:w="120" w:type="dxa"/>
            </w:tcMar>
            <w:vAlign w:val="center"/>
          </w:tcPr>
          <w:p w14:paraId="5A369F92">
            <w:r>
              <w:rPr>
                <w:sz w:val="18"/>
              </w:rPr>
              <w:t>three small contract batches and shared schemas</w:t>
            </w:r>
          </w:p>
        </w:tc>
      </w:tr>
      <w:tr w14:paraId="0D56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1EA41FB9">
            <w:r>
              <w:rPr>
                <w:sz w:val="18"/>
              </w:rPr>
              <w:t>Subagent A</w:t>
            </w:r>
          </w:p>
        </w:tc>
        <w:tc>
          <w:tcPr>
            <w:tcW w:w="7260" w:type="dxa"/>
            <w:shd w:val="clear" w:color="auto" w:fill="F5F8FB"/>
            <w:tcMar>
              <w:top w:w="80" w:type="dxa"/>
              <w:left w:w="120" w:type="dxa"/>
              <w:bottom w:w="80" w:type="dxa"/>
              <w:right w:w="120" w:type="dxa"/>
            </w:tcMar>
            <w:vAlign w:val="center"/>
          </w:tcPr>
          <w:p w14:paraId="36F141F8">
            <w:r>
              <w:rPr>
                <w:sz w:val="18"/>
              </w:rPr>
              <w:t>durable Run/replay fixtures</w:t>
            </w:r>
          </w:p>
        </w:tc>
      </w:tr>
      <w:tr w14:paraId="28A6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3456370C">
            <w:r>
              <w:rPr>
                <w:sz w:val="18"/>
              </w:rPr>
              <w:t>Subagent B</w:t>
            </w:r>
          </w:p>
        </w:tc>
        <w:tc>
          <w:tcPr>
            <w:tcW w:w="7260" w:type="dxa"/>
            <w:tcMar>
              <w:top w:w="80" w:type="dxa"/>
              <w:left w:w="120" w:type="dxa"/>
              <w:bottom w:w="80" w:type="dxa"/>
              <w:right w:w="120" w:type="dxa"/>
            </w:tcMar>
            <w:vAlign w:val="center"/>
          </w:tcPr>
          <w:p w14:paraId="558B13C1">
            <w:r>
              <w:rPr>
                <w:sz w:val="18"/>
              </w:rPr>
              <w:t>credential, IPC, and Trust denial modules</w:t>
            </w:r>
          </w:p>
        </w:tc>
      </w:tr>
      <w:tr w14:paraId="4E3D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348164A1">
            <w:r>
              <w:rPr>
                <w:sz w:val="18"/>
              </w:rPr>
              <w:t>Subagent C - Store continuity</w:t>
            </w:r>
          </w:p>
        </w:tc>
        <w:tc>
          <w:tcPr>
            <w:tcW w:w="7260" w:type="dxa"/>
            <w:shd w:val="clear" w:color="auto" w:fill="F5F8FB"/>
            <w:tcMar>
              <w:top w:w="80" w:type="dxa"/>
              <w:left w:w="120" w:type="dxa"/>
              <w:bottom w:w="80" w:type="dxa"/>
              <w:right w:w="120" w:type="dxa"/>
            </w:tcMar>
            <w:vAlign w:val="center"/>
          </w:tcPr>
          <w:p w14:paraId="1ED7C525">
            <w:r>
              <w:rPr>
                <w:sz w:val="18"/>
              </w:rPr>
              <w:t>commerce ports, money/idempotency fixtures</w:t>
            </w:r>
          </w:p>
        </w:tc>
      </w:tr>
      <w:tr w14:paraId="640BA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569D2180">
            <w:r>
              <w:rPr>
                <w:sz w:val="18"/>
              </w:rPr>
              <w:t>Exit</w:t>
            </w:r>
          </w:p>
        </w:tc>
        <w:tc>
          <w:tcPr>
            <w:tcW w:w="7260" w:type="dxa"/>
            <w:tcMar>
              <w:top w:w="80" w:type="dxa"/>
              <w:left w:w="120" w:type="dxa"/>
              <w:bottom w:w="80" w:type="dxa"/>
              <w:right w:w="120" w:type="dxa"/>
            </w:tcMar>
            <w:vAlign w:val="center"/>
          </w:tcPr>
          <w:p w14:paraId="7E88C4E5">
            <w:r>
              <w:rPr>
                <w:sz w:val="18"/>
              </w:rPr>
              <w:t>minimal contracts frozen</w:t>
            </w:r>
          </w:p>
        </w:tc>
      </w:tr>
    </w:tbl>
    <w:p w14:paraId="2A44AE40">
      <w:pPr>
        <w:spacing w:after="0"/>
      </w:pPr>
    </w:p>
    <w:p w14:paraId="38D78D9C">
      <w:pPr>
        <w:pStyle w:val="3"/>
      </w:pPr>
      <w:r>
        <w:t>C2</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2759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2FC6B92F">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40F9067D">
            <w:pPr>
              <w:jc w:val="left"/>
            </w:pPr>
            <w:r>
              <w:rPr>
                <w:b/>
                <w:color w:val="0B2545"/>
              </w:rPr>
              <w:t>CONTENT</w:t>
            </w:r>
          </w:p>
        </w:tc>
      </w:tr>
      <w:tr w14:paraId="3EC7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0F2970E6">
            <w:r>
              <w:rPr>
                <w:sz w:val="18"/>
              </w:rPr>
              <w:t>Integrator</w:t>
            </w:r>
          </w:p>
        </w:tc>
        <w:tc>
          <w:tcPr>
            <w:tcW w:w="7260" w:type="dxa"/>
            <w:tcMar>
              <w:top w:w="80" w:type="dxa"/>
              <w:left w:w="120" w:type="dxa"/>
              <w:bottom w:w="80" w:type="dxa"/>
              <w:right w:w="120" w:type="dxa"/>
            </w:tcMar>
            <w:vAlign w:val="center"/>
          </w:tcPr>
          <w:p w14:paraId="26DCC836">
            <w:r>
              <w:rPr>
                <w:sz w:val="18"/>
              </w:rPr>
              <w:t>Run Kernel, registry, bridge, and receipt integration</w:t>
            </w:r>
          </w:p>
        </w:tc>
      </w:tr>
      <w:tr w14:paraId="19F5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7F4E7F4A">
            <w:r>
              <w:rPr>
                <w:sz w:val="18"/>
              </w:rPr>
              <w:t>Subagent A</w:t>
            </w:r>
          </w:p>
        </w:tc>
        <w:tc>
          <w:tcPr>
            <w:tcW w:w="7260" w:type="dxa"/>
            <w:shd w:val="clear" w:color="auto" w:fill="F5F8FB"/>
            <w:tcMar>
              <w:top w:w="80" w:type="dxa"/>
              <w:left w:w="120" w:type="dxa"/>
              <w:bottom w:w="80" w:type="dxa"/>
              <w:right w:w="120" w:type="dxa"/>
            </w:tcMar>
            <w:vAlign w:val="center"/>
          </w:tcPr>
          <w:p w14:paraId="0FFA1ABB">
            <w:r>
              <w:rPr>
                <w:sz w:val="18"/>
              </w:rPr>
              <w:t>context/resource adapters and one cloud-model path</w:t>
            </w:r>
          </w:p>
        </w:tc>
      </w:tr>
      <w:tr w14:paraId="5D01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7A65DBEC">
            <w:r>
              <w:rPr>
                <w:sz w:val="18"/>
              </w:rPr>
              <w:t>Subagent B</w:t>
            </w:r>
          </w:p>
        </w:tc>
        <w:tc>
          <w:tcPr>
            <w:tcW w:w="7260" w:type="dxa"/>
            <w:tcMar>
              <w:top w:w="80" w:type="dxa"/>
              <w:left w:w="120" w:type="dxa"/>
              <w:bottom w:w="80" w:type="dxa"/>
              <w:right w:w="120" w:type="dxa"/>
            </w:tcMar>
            <w:vAlign w:val="center"/>
          </w:tcPr>
          <w:p w14:paraId="01AD7D5E">
            <w:r>
              <w:rPr>
                <w:sz w:val="18"/>
              </w:rPr>
              <w:t>credential/egress/recovery verifier</w:t>
            </w:r>
          </w:p>
        </w:tc>
      </w:tr>
      <w:tr w14:paraId="6C63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2D1C069E">
            <w:r>
              <w:rPr>
                <w:sz w:val="18"/>
              </w:rPr>
              <w:t>Subagent C - Store continuity</w:t>
            </w:r>
          </w:p>
        </w:tc>
        <w:tc>
          <w:tcPr>
            <w:tcW w:w="7260" w:type="dxa"/>
            <w:shd w:val="clear" w:color="auto" w:fill="F5F8FB"/>
            <w:tcMar>
              <w:top w:w="80" w:type="dxa"/>
              <w:left w:w="120" w:type="dxa"/>
              <w:bottom w:w="80" w:type="dxa"/>
              <w:right w:w="120" w:type="dxa"/>
            </w:tcMar>
            <w:vAlign w:val="center"/>
          </w:tcPr>
          <w:p w14:paraId="1E45DFC2">
            <w:r>
              <w:rPr>
                <w:sz w:val="18"/>
              </w:rPr>
              <w:t>signed catalog, search/detail, free publish/install path</w:t>
            </w:r>
          </w:p>
        </w:tc>
      </w:tr>
      <w:tr w14:paraId="6B38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03C2BE21">
            <w:r>
              <w:rPr>
                <w:sz w:val="18"/>
              </w:rPr>
              <w:t>Exit</w:t>
            </w:r>
          </w:p>
        </w:tc>
        <w:tc>
          <w:tcPr>
            <w:tcW w:w="7260" w:type="dxa"/>
            <w:tcMar>
              <w:top w:w="80" w:type="dxa"/>
              <w:left w:w="120" w:type="dxa"/>
              <w:bottom w:w="80" w:type="dxa"/>
              <w:right w:w="120" w:type="dxa"/>
            </w:tcMar>
            <w:vAlign w:val="center"/>
          </w:tcPr>
          <w:p w14:paraId="28D47EDB">
            <w:r>
              <w:rPr>
                <w:sz w:val="18"/>
              </w:rPr>
              <w:t>one safe Hub and Store vertical</w:t>
            </w:r>
          </w:p>
        </w:tc>
      </w:tr>
    </w:tbl>
    <w:p w14:paraId="5D01F0E9">
      <w:pPr>
        <w:spacing w:after="0"/>
      </w:pPr>
    </w:p>
    <w:p w14:paraId="4D79D6E3">
      <w:pPr>
        <w:pStyle w:val="3"/>
      </w:pPr>
      <w:r>
        <w:t>C3A</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3262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1313856F">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52C923F5">
            <w:pPr>
              <w:jc w:val="left"/>
            </w:pPr>
            <w:r>
              <w:rPr>
                <w:b/>
                <w:color w:val="0B2545"/>
              </w:rPr>
              <w:t>CONTENT</w:t>
            </w:r>
          </w:p>
        </w:tc>
      </w:tr>
      <w:tr w14:paraId="6BFF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2E33719B">
            <w:r>
              <w:rPr>
                <w:sz w:val="18"/>
              </w:rPr>
              <w:t>Integrator</w:t>
            </w:r>
          </w:p>
        </w:tc>
        <w:tc>
          <w:tcPr>
            <w:tcW w:w="7260" w:type="dxa"/>
            <w:tcMar>
              <w:top w:w="80" w:type="dxa"/>
              <w:left w:w="120" w:type="dxa"/>
              <w:bottom w:w="80" w:type="dxa"/>
              <w:right w:w="120" w:type="dxa"/>
            </w:tcMar>
            <w:vAlign w:val="center"/>
          </w:tcPr>
          <w:p w14:paraId="19DB8BFB">
            <w:r>
              <w:rPr>
                <w:sz w:val="18"/>
              </w:rPr>
              <w:t>parent/child Run and receipt integration</w:t>
            </w:r>
          </w:p>
        </w:tc>
      </w:tr>
      <w:tr w14:paraId="09EE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638D98BF">
            <w:r>
              <w:rPr>
                <w:sz w:val="18"/>
              </w:rPr>
              <w:t>Subagent A</w:t>
            </w:r>
          </w:p>
        </w:tc>
        <w:tc>
          <w:tcPr>
            <w:tcW w:w="7260" w:type="dxa"/>
            <w:shd w:val="clear" w:color="auto" w:fill="F5F8FB"/>
            <w:tcMar>
              <w:top w:w="80" w:type="dxa"/>
              <w:left w:w="120" w:type="dxa"/>
              <w:bottom w:w="80" w:type="dxa"/>
              <w:right w:w="120" w:type="dxa"/>
            </w:tcMar>
            <w:vAlign w:val="center"/>
          </w:tcPr>
          <w:p w14:paraId="13865C34">
            <w:r>
              <w:rPr>
                <w:sz w:val="18"/>
              </w:rPr>
              <w:t>delegation and enabled-executor migration</w:t>
            </w:r>
          </w:p>
        </w:tc>
      </w:tr>
      <w:tr w14:paraId="49598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05E4FD8D">
            <w:r>
              <w:rPr>
                <w:sz w:val="18"/>
              </w:rPr>
              <w:t>Subagent B</w:t>
            </w:r>
          </w:p>
        </w:tc>
        <w:tc>
          <w:tcPr>
            <w:tcW w:w="7260" w:type="dxa"/>
            <w:tcMar>
              <w:top w:w="80" w:type="dxa"/>
              <w:left w:w="120" w:type="dxa"/>
              <w:bottom w:w="80" w:type="dxa"/>
              <w:right w:w="120" w:type="dxa"/>
            </w:tcMar>
            <w:vAlign w:val="center"/>
          </w:tcPr>
          <w:p w14:paraId="4CA17B3B">
            <w:r>
              <w:rPr>
                <w:sz w:val="18"/>
              </w:rPr>
              <w:t>TrustBroker policy breadth</w:t>
            </w:r>
          </w:p>
        </w:tc>
      </w:tr>
      <w:tr w14:paraId="72EEA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5801D7FF">
            <w:r>
              <w:rPr>
                <w:sz w:val="18"/>
              </w:rPr>
              <w:t>Subagent C - Store continuity</w:t>
            </w:r>
          </w:p>
        </w:tc>
        <w:tc>
          <w:tcPr>
            <w:tcW w:w="7260" w:type="dxa"/>
            <w:shd w:val="clear" w:color="auto" w:fill="F5F8FB"/>
            <w:tcMar>
              <w:top w:w="80" w:type="dxa"/>
              <w:left w:w="120" w:type="dxa"/>
              <w:bottom w:w="80" w:type="dxa"/>
              <w:right w:w="120" w:type="dxa"/>
            </w:tcMar>
            <w:vAlign w:val="center"/>
          </w:tcPr>
          <w:p w14:paraId="69F793B0">
            <w:r>
              <w:rPr>
                <w:sz w:val="18"/>
              </w:rPr>
              <w:t>package ABI, sandbox, signed pilot, resolver fixtures</w:t>
            </w:r>
          </w:p>
        </w:tc>
      </w:tr>
      <w:tr w14:paraId="6088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52AC4EA0">
            <w:r>
              <w:rPr>
                <w:sz w:val="18"/>
              </w:rPr>
              <w:t>Exit</w:t>
            </w:r>
          </w:p>
        </w:tc>
        <w:tc>
          <w:tcPr>
            <w:tcW w:w="7260" w:type="dxa"/>
            <w:tcMar>
              <w:top w:w="80" w:type="dxa"/>
              <w:left w:w="120" w:type="dxa"/>
              <w:bottom w:w="80" w:type="dxa"/>
              <w:right w:w="120" w:type="dxa"/>
            </w:tcMar>
            <w:vAlign w:val="center"/>
          </w:tcPr>
          <w:p w14:paraId="20B9FF7A">
            <w:r>
              <w:rPr>
                <w:sz w:val="18"/>
              </w:rPr>
              <w:t>shared Run/Trust/package seam</w:t>
            </w:r>
          </w:p>
        </w:tc>
      </w:tr>
    </w:tbl>
    <w:p w14:paraId="1C56C92B">
      <w:pPr>
        <w:spacing w:after="0"/>
      </w:pPr>
    </w:p>
    <w:p w14:paraId="5E9A345A">
      <w:pPr>
        <w:pStyle w:val="3"/>
      </w:pPr>
      <w:r>
        <w:t>C3B</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6A81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01A830EC">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38A5133C">
            <w:pPr>
              <w:jc w:val="left"/>
            </w:pPr>
            <w:r>
              <w:rPr>
                <w:b/>
                <w:color w:val="0B2545"/>
              </w:rPr>
              <w:t>CONTENT</w:t>
            </w:r>
          </w:p>
        </w:tc>
      </w:tr>
      <w:tr w14:paraId="3FEBD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7E86B166">
            <w:r>
              <w:rPr>
                <w:sz w:val="18"/>
              </w:rPr>
              <w:t>Integrator</w:t>
            </w:r>
          </w:p>
        </w:tc>
        <w:tc>
          <w:tcPr>
            <w:tcW w:w="7260" w:type="dxa"/>
            <w:tcMar>
              <w:top w:w="80" w:type="dxa"/>
              <w:left w:w="120" w:type="dxa"/>
              <w:bottom w:w="80" w:type="dxa"/>
              <w:right w:w="120" w:type="dxa"/>
            </w:tcMar>
            <w:vAlign w:val="center"/>
          </w:tcPr>
          <w:p w14:paraId="5106924A">
            <w:r>
              <w:rPr>
                <w:sz w:val="18"/>
              </w:rPr>
              <w:t>ContextProjection and control integration</w:t>
            </w:r>
          </w:p>
        </w:tc>
      </w:tr>
      <w:tr w14:paraId="65CE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58142EFA">
            <w:r>
              <w:rPr>
                <w:sz w:val="18"/>
              </w:rPr>
              <w:t>Subagent A</w:t>
            </w:r>
          </w:p>
        </w:tc>
        <w:tc>
          <w:tcPr>
            <w:tcW w:w="7260" w:type="dxa"/>
            <w:shd w:val="clear" w:color="auto" w:fill="F5F8FB"/>
            <w:tcMar>
              <w:top w:w="80" w:type="dxa"/>
              <w:left w:w="120" w:type="dxa"/>
              <w:bottom w:w="80" w:type="dxa"/>
              <w:right w:w="120" w:type="dxa"/>
            </w:tcMar>
            <w:vAlign w:val="center"/>
          </w:tcPr>
          <w:p w14:paraId="55D9597D">
            <w:r>
              <w:rPr>
                <w:sz w:val="18"/>
              </w:rPr>
              <w:t>causal User Intelligence and controls</w:t>
            </w:r>
          </w:p>
        </w:tc>
      </w:tr>
      <w:tr w14:paraId="09A3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03DF7EBD">
            <w:r>
              <w:rPr>
                <w:sz w:val="18"/>
              </w:rPr>
              <w:t>Subagent B</w:t>
            </w:r>
          </w:p>
        </w:tc>
        <w:tc>
          <w:tcPr>
            <w:tcW w:w="7260" w:type="dxa"/>
            <w:tcMar>
              <w:top w:w="80" w:type="dxa"/>
              <w:left w:w="120" w:type="dxa"/>
              <w:bottom w:w="80" w:type="dxa"/>
              <w:right w:w="120" w:type="dxa"/>
            </w:tcMar>
            <w:vAlign w:val="center"/>
          </w:tcPr>
          <w:p w14:paraId="5AFBDF4A">
            <w:r>
              <w:rPr>
                <w:sz w:val="18"/>
              </w:rPr>
              <w:t>local offline target</w:t>
            </w:r>
          </w:p>
        </w:tc>
      </w:tr>
      <w:tr w14:paraId="2D49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7F64BB6C">
            <w:r>
              <w:rPr>
                <w:sz w:val="18"/>
              </w:rPr>
              <w:t>Subagent C - Store continuity</w:t>
            </w:r>
          </w:p>
        </w:tc>
        <w:tc>
          <w:tcPr>
            <w:tcW w:w="7260" w:type="dxa"/>
            <w:shd w:val="clear" w:color="auto" w:fill="F5F8FB"/>
            <w:tcMar>
              <w:top w:w="80" w:type="dxa"/>
              <w:left w:w="120" w:type="dxa"/>
              <w:bottom w:w="80" w:type="dxa"/>
              <w:right w:w="120" w:type="dxa"/>
            </w:tcMar>
            <w:vAlign w:val="center"/>
          </w:tcPr>
          <w:p w14:paraId="6AC4B74C">
            <w:r>
              <w:rPr>
                <w:sz w:val="18"/>
              </w:rPr>
              <w:t>Store order/entitlement kernel and ranking/privacy fixtures</w:t>
            </w:r>
          </w:p>
        </w:tc>
      </w:tr>
      <w:tr w14:paraId="3C1D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489BFB40">
            <w:r>
              <w:rPr>
                <w:sz w:val="18"/>
              </w:rPr>
              <w:t>Exit</w:t>
            </w:r>
          </w:p>
        </w:tc>
        <w:tc>
          <w:tcPr>
            <w:tcW w:w="7260" w:type="dxa"/>
            <w:tcMar>
              <w:top w:w="80" w:type="dxa"/>
              <w:left w:w="120" w:type="dxa"/>
              <w:bottom w:w="80" w:type="dxa"/>
              <w:right w:w="120" w:type="dxa"/>
            </w:tcMar>
            <w:vAlign w:val="center"/>
          </w:tcPr>
          <w:p w14:paraId="682AF654">
            <w:r>
              <w:rPr>
                <w:sz w:val="18"/>
              </w:rPr>
              <w:t>two cores usable end to end</w:t>
            </w:r>
          </w:p>
        </w:tc>
      </w:tr>
    </w:tbl>
    <w:p w14:paraId="2EC2A47D">
      <w:pPr>
        <w:spacing w:after="0"/>
      </w:pPr>
    </w:p>
    <w:p w14:paraId="02286F74">
      <w:pPr>
        <w:pStyle w:val="3"/>
      </w:pPr>
      <w:r>
        <w:t>C3C</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7275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3D9B5F0C">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08B6176C">
            <w:pPr>
              <w:jc w:val="left"/>
            </w:pPr>
            <w:r>
              <w:rPr>
                <w:b/>
                <w:color w:val="0B2545"/>
              </w:rPr>
              <w:t>CONTENT</w:t>
            </w:r>
          </w:p>
        </w:tc>
      </w:tr>
      <w:tr w14:paraId="3EA7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4255B4B4">
            <w:r>
              <w:rPr>
                <w:sz w:val="18"/>
              </w:rPr>
              <w:t>Integrator</w:t>
            </w:r>
          </w:p>
        </w:tc>
        <w:tc>
          <w:tcPr>
            <w:tcW w:w="7260" w:type="dxa"/>
            <w:tcMar>
              <w:top w:w="80" w:type="dxa"/>
              <w:left w:w="120" w:type="dxa"/>
              <w:bottom w:w="80" w:type="dxa"/>
              <w:right w:w="120" w:type="dxa"/>
            </w:tcMar>
            <w:vAlign w:val="center"/>
          </w:tcPr>
          <w:p w14:paraId="623A087B">
            <w:r>
              <w:rPr>
                <w:sz w:val="18"/>
              </w:rPr>
              <w:t>deterministic router and resource integration</w:t>
            </w:r>
          </w:p>
        </w:tc>
      </w:tr>
      <w:tr w14:paraId="1552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032037EE">
            <w:r>
              <w:rPr>
                <w:sz w:val="18"/>
              </w:rPr>
              <w:t>Subagent A</w:t>
            </w:r>
          </w:p>
        </w:tc>
        <w:tc>
          <w:tcPr>
            <w:tcW w:w="7260" w:type="dxa"/>
            <w:shd w:val="clear" w:color="auto" w:fill="F5F8FB"/>
            <w:tcMar>
              <w:top w:w="80" w:type="dxa"/>
              <w:left w:w="120" w:type="dxa"/>
              <w:bottom w:w="80" w:type="dxa"/>
              <w:right w:w="120" w:type="dxa"/>
            </w:tcMar>
            <w:vAlign w:val="center"/>
          </w:tcPr>
          <w:p w14:paraId="0760AC2D">
            <w:r>
              <w:rPr>
                <w:sz w:val="18"/>
              </w:rPr>
              <w:t>cloud-model plus supervised CLI</w:t>
            </w:r>
          </w:p>
        </w:tc>
      </w:tr>
      <w:tr w14:paraId="65DC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62026DA3">
            <w:r>
              <w:rPr>
                <w:sz w:val="18"/>
              </w:rPr>
              <w:t>Subagent B</w:t>
            </w:r>
          </w:p>
        </w:tc>
        <w:tc>
          <w:tcPr>
            <w:tcW w:w="7260" w:type="dxa"/>
            <w:tcMar>
              <w:top w:w="80" w:type="dxa"/>
              <w:left w:w="120" w:type="dxa"/>
              <w:bottom w:w="80" w:type="dxa"/>
              <w:right w:w="120" w:type="dxa"/>
            </w:tcMar>
            <w:vAlign w:val="center"/>
          </w:tcPr>
          <w:p w14:paraId="31EEB831">
            <w:r>
              <w:rPr>
                <w:sz w:val="18"/>
              </w:rPr>
              <w:t>MCP and target conformance verifier</w:t>
            </w:r>
          </w:p>
        </w:tc>
      </w:tr>
      <w:tr w14:paraId="1044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5A8BEE62">
            <w:r>
              <w:rPr>
                <w:sz w:val="18"/>
              </w:rPr>
              <w:t>Subagent C - Store continuity</w:t>
            </w:r>
          </w:p>
        </w:tc>
        <w:tc>
          <w:tcPr>
            <w:tcW w:w="7260" w:type="dxa"/>
            <w:shd w:val="clear" w:color="auto" w:fill="F5F8FB"/>
            <w:tcMar>
              <w:top w:w="80" w:type="dxa"/>
              <w:left w:w="120" w:type="dxa"/>
              <w:bottom w:w="80" w:type="dxa"/>
              <w:right w:w="120" w:type="dxa"/>
            </w:tcMar>
            <w:vAlign w:val="center"/>
          </w:tcPr>
          <w:p w14:paraId="637F2D17">
            <w:r>
              <w:rPr>
                <w:sz w:val="18"/>
              </w:rPr>
              <w:t>remote zero-install, package calls, Super Package fixture</w:t>
            </w:r>
          </w:p>
        </w:tc>
      </w:tr>
      <w:tr w14:paraId="59DD5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37285721">
            <w:r>
              <w:rPr>
                <w:sz w:val="18"/>
              </w:rPr>
              <w:t>Exit</w:t>
            </w:r>
          </w:p>
        </w:tc>
        <w:tc>
          <w:tcPr>
            <w:tcW w:w="7260" w:type="dxa"/>
            <w:tcMar>
              <w:top w:w="80" w:type="dxa"/>
              <w:left w:w="120" w:type="dxa"/>
              <w:bottom w:w="80" w:type="dxa"/>
              <w:right w:w="120" w:type="dxa"/>
            </w:tcMar>
            <w:vAlign w:val="center"/>
          </w:tcPr>
          <w:p w14:paraId="0CBA3E08">
            <w:r>
              <w:rPr>
                <w:sz w:val="18"/>
              </w:rPr>
              <w:t>target and ecosystem conformance</w:t>
            </w:r>
          </w:p>
        </w:tc>
      </w:tr>
    </w:tbl>
    <w:p w14:paraId="28C3A054">
      <w:pPr>
        <w:spacing w:after="0"/>
      </w:pPr>
    </w:p>
    <w:p w14:paraId="48ABBD01">
      <w:pPr>
        <w:pStyle w:val="3"/>
      </w:pPr>
      <w:r>
        <w:t>C4A</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08DA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0E0AA3E1">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1032B502">
            <w:pPr>
              <w:jc w:val="left"/>
            </w:pPr>
            <w:r>
              <w:rPr>
                <w:b/>
                <w:color w:val="0B2545"/>
              </w:rPr>
              <w:t>CONTENT</w:t>
            </w:r>
          </w:p>
        </w:tc>
      </w:tr>
      <w:tr w14:paraId="44E3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49E2A6A0">
            <w:r>
              <w:rPr>
                <w:sz w:val="18"/>
              </w:rPr>
              <w:t>Integrator</w:t>
            </w:r>
          </w:p>
        </w:tc>
        <w:tc>
          <w:tcPr>
            <w:tcW w:w="7260" w:type="dxa"/>
            <w:tcMar>
              <w:top w:w="80" w:type="dxa"/>
              <w:left w:w="120" w:type="dxa"/>
              <w:bottom w:w="80" w:type="dxa"/>
              <w:right w:w="120" w:type="dxa"/>
            </w:tcMar>
            <w:vAlign w:val="center"/>
          </w:tcPr>
          <w:p w14:paraId="20B037BF">
            <w:r>
              <w:rPr>
                <w:sz w:val="18"/>
              </w:rPr>
              <w:t>payment ingress, commerce/Credit seams, migrations</w:t>
            </w:r>
          </w:p>
        </w:tc>
      </w:tr>
      <w:tr w14:paraId="4952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3C65ABD1">
            <w:r>
              <w:rPr>
                <w:sz w:val="18"/>
              </w:rPr>
              <w:t>Subagent A</w:t>
            </w:r>
          </w:p>
        </w:tc>
        <w:tc>
          <w:tcPr>
            <w:tcW w:w="7260" w:type="dxa"/>
            <w:shd w:val="clear" w:color="auto" w:fill="F5F8FB"/>
            <w:tcMar>
              <w:top w:w="80" w:type="dxa"/>
              <w:left w:w="120" w:type="dxa"/>
              <w:bottom w:w="80" w:type="dxa"/>
              <w:right w:w="120" w:type="dxa"/>
            </w:tcMar>
            <w:vAlign w:val="center"/>
          </w:tcPr>
          <w:p w14:paraId="72DAFA52">
            <w:r>
              <w:rPr>
                <w:sz w:val="18"/>
              </w:rPr>
              <w:t>payment idempotency and managed-AI meter</w:t>
            </w:r>
          </w:p>
        </w:tc>
      </w:tr>
      <w:tr w14:paraId="7337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66B27DD7">
            <w:r>
              <w:rPr>
                <w:sz w:val="18"/>
              </w:rPr>
              <w:t>Subagent B</w:t>
            </w:r>
          </w:p>
        </w:tc>
        <w:tc>
          <w:tcPr>
            <w:tcW w:w="7260" w:type="dxa"/>
            <w:tcMar>
              <w:top w:w="80" w:type="dxa"/>
              <w:left w:w="120" w:type="dxa"/>
              <w:bottom w:w="80" w:type="dxa"/>
              <w:right w:w="120" w:type="dxa"/>
            </w:tcMar>
            <w:vAlign w:val="center"/>
          </w:tcPr>
          <w:p w14:paraId="56972D11">
            <w:r>
              <w:rPr>
                <w:sz w:val="18"/>
              </w:rPr>
              <w:t>cloud provisioner and isolated sandbox</w:t>
            </w:r>
          </w:p>
        </w:tc>
      </w:tr>
      <w:tr w14:paraId="02AA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069ED80A">
            <w:r>
              <w:rPr>
                <w:sz w:val="18"/>
              </w:rPr>
              <w:t>Subagent C - Store continuity</w:t>
            </w:r>
          </w:p>
        </w:tc>
        <w:tc>
          <w:tcPr>
            <w:tcW w:w="7260" w:type="dxa"/>
            <w:shd w:val="clear" w:color="auto" w:fill="F5F8FB"/>
            <w:tcMar>
              <w:top w:w="80" w:type="dxa"/>
              <w:left w:w="120" w:type="dxa"/>
              <w:bottom w:w="80" w:type="dxa"/>
              <w:right w:w="120" w:type="dxa"/>
            </w:tcMar>
            <w:vAlign w:val="center"/>
          </w:tcPr>
          <w:p w14:paraId="07C66CE5">
            <w:r>
              <w:rPr>
                <w:sz w:val="18"/>
              </w:rPr>
              <w:t>first-party checkout, order, entitlement, refund</w:t>
            </w:r>
          </w:p>
        </w:tc>
      </w:tr>
      <w:tr w14:paraId="6FDD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1CD0CEF5">
            <w:r>
              <w:rPr>
                <w:sz w:val="18"/>
              </w:rPr>
              <w:t>Exit</w:t>
            </w:r>
          </w:p>
        </w:tc>
        <w:tc>
          <w:tcPr>
            <w:tcW w:w="7260" w:type="dxa"/>
            <w:tcMar>
              <w:top w:w="80" w:type="dxa"/>
              <w:left w:w="120" w:type="dxa"/>
              <w:bottom w:w="80" w:type="dxa"/>
              <w:right w:w="120" w:type="dxa"/>
            </w:tcMar>
            <w:vAlign w:val="center"/>
          </w:tcPr>
          <w:p w14:paraId="40BAAB46">
            <w:r>
              <w:rPr>
                <w:sz w:val="18"/>
              </w:rPr>
              <w:t>paid paths implemented behind switches</w:t>
            </w:r>
          </w:p>
        </w:tc>
      </w:tr>
    </w:tbl>
    <w:p w14:paraId="29EB0365">
      <w:pPr>
        <w:spacing w:after="0"/>
      </w:pPr>
    </w:p>
    <w:p w14:paraId="4A5642D4">
      <w:pPr>
        <w:pStyle w:val="3"/>
      </w:pPr>
      <w:r>
        <w:t>C4B</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7622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5F093571">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077EDE46">
            <w:pPr>
              <w:jc w:val="left"/>
            </w:pPr>
            <w:r>
              <w:rPr>
                <w:b/>
                <w:color w:val="0B2545"/>
              </w:rPr>
              <w:t>CONTENT</w:t>
            </w:r>
          </w:p>
        </w:tc>
      </w:tr>
      <w:tr w14:paraId="3160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4015C91B">
            <w:r>
              <w:rPr>
                <w:sz w:val="18"/>
              </w:rPr>
              <w:t>Integrator</w:t>
            </w:r>
          </w:p>
        </w:tc>
        <w:tc>
          <w:tcPr>
            <w:tcW w:w="7260" w:type="dxa"/>
            <w:tcMar>
              <w:top w:w="80" w:type="dxa"/>
              <w:left w:w="120" w:type="dxa"/>
              <w:bottom w:w="80" w:type="dxa"/>
              <w:right w:w="120" w:type="dxa"/>
            </w:tcMar>
            <w:vAlign w:val="center"/>
          </w:tcPr>
          <w:p w14:paraId="0D9090D0">
            <w:r>
              <w:rPr>
                <w:sz w:val="18"/>
              </w:rPr>
              <w:t>reconciliation and failure integration</w:t>
            </w:r>
          </w:p>
        </w:tc>
      </w:tr>
      <w:tr w14:paraId="05E3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30F5F25D">
            <w:r>
              <w:rPr>
                <w:sz w:val="18"/>
              </w:rPr>
              <w:t>Subagent A</w:t>
            </w:r>
          </w:p>
        </w:tc>
        <w:tc>
          <w:tcPr>
            <w:tcW w:w="7260" w:type="dxa"/>
            <w:shd w:val="clear" w:color="auto" w:fill="F5F8FB"/>
            <w:tcMar>
              <w:top w:w="80" w:type="dxa"/>
              <w:left w:w="120" w:type="dxa"/>
              <w:bottom w:w="80" w:type="dxa"/>
              <w:right w:w="120" w:type="dxa"/>
            </w:tcMar>
            <w:vAlign w:val="center"/>
          </w:tcPr>
          <w:p w14:paraId="7F823C8E">
            <w:r>
              <w:rPr>
                <w:sz w:val="18"/>
              </w:rPr>
              <w:t>Credit/provider failure verifier</w:t>
            </w:r>
          </w:p>
        </w:tc>
      </w:tr>
      <w:tr w14:paraId="5088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04D06BFC">
            <w:r>
              <w:rPr>
                <w:sz w:val="18"/>
              </w:rPr>
              <w:t>Subagent B</w:t>
            </w:r>
          </w:p>
        </w:tc>
        <w:tc>
          <w:tcPr>
            <w:tcW w:w="7260" w:type="dxa"/>
            <w:tcMar>
              <w:top w:w="80" w:type="dxa"/>
              <w:left w:w="120" w:type="dxa"/>
              <w:bottom w:w="80" w:type="dxa"/>
              <w:right w:w="120" w:type="dxa"/>
            </w:tcMar>
            <w:vAlign w:val="center"/>
          </w:tcPr>
          <w:p w14:paraId="6739ED99">
            <w:r>
              <w:rPr>
                <w:sz w:val="18"/>
              </w:rPr>
              <w:t>cloud cleanup/orphan verifier</w:t>
            </w:r>
          </w:p>
        </w:tc>
      </w:tr>
      <w:tr w14:paraId="2E570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6866625E">
            <w:r>
              <w:rPr>
                <w:sz w:val="18"/>
              </w:rPr>
              <w:t>Subagent C - Store continuity</w:t>
            </w:r>
          </w:p>
        </w:tc>
        <w:tc>
          <w:tcPr>
            <w:tcW w:w="7260" w:type="dxa"/>
            <w:shd w:val="clear" w:color="auto" w:fill="F5F8FB"/>
            <w:tcMar>
              <w:top w:w="80" w:type="dxa"/>
              <w:left w:w="120" w:type="dxa"/>
              <w:bottom w:w="80" w:type="dxa"/>
              <w:right w:w="120" w:type="dxa"/>
            </w:tcMar>
            <w:vAlign w:val="center"/>
          </w:tcPr>
          <w:p w14:paraId="4E62ADBD">
            <w:r>
              <w:rPr>
                <w:sz w:val="18"/>
              </w:rPr>
              <w:t>15/85, webhook, sponsored, refund, activation verifier</w:t>
            </w:r>
          </w:p>
        </w:tc>
      </w:tr>
      <w:tr w14:paraId="2EED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2609C716">
            <w:r>
              <w:rPr>
                <w:sz w:val="18"/>
              </w:rPr>
              <w:t>Exit</w:t>
            </w:r>
          </w:p>
        </w:tc>
        <w:tc>
          <w:tcPr>
            <w:tcW w:w="7260" w:type="dxa"/>
            <w:tcMar>
              <w:top w:w="80" w:type="dxa"/>
              <w:left w:w="120" w:type="dxa"/>
              <w:bottom w:w="80" w:type="dxa"/>
              <w:right w:w="120" w:type="dxa"/>
            </w:tcMar>
            <w:vAlign w:val="center"/>
          </w:tcPr>
          <w:p w14:paraId="6243089C">
            <w:r>
              <w:rPr>
                <w:sz w:val="18"/>
              </w:rPr>
              <w:t>Store and managed gates independently green</w:t>
            </w:r>
          </w:p>
        </w:tc>
      </w:tr>
    </w:tbl>
    <w:p w14:paraId="0311DD4F">
      <w:pPr>
        <w:spacing w:after="0"/>
      </w:pPr>
    </w:p>
    <w:p w14:paraId="148021B3">
      <w:pPr>
        <w:pStyle w:val="3"/>
      </w:pPr>
      <w:r>
        <w:t>C5A</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460D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673C1701">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6CEDBDA5">
            <w:pPr>
              <w:jc w:val="left"/>
            </w:pPr>
            <w:r>
              <w:rPr>
                <w:b/>
                <w:color w:val="0B2545"/>
              </w:rPr>
              <w:t>CONTENT</w:t>
            </w:r>
          </w:p>
        </w:tc>
      </w:tr>
      <w:tr w14:paraId="03FF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7AA5FBCA">
            <w:r>
              <w:rPr>
                <w:sz w:val="18"/>
              </w:rPr>
              <w:t>Integrator</w:t>
            </w:r>
          </w:p>
        </w:tc>
        <w:tc>
          <w:tcPr>
            <w:tcW w:w="7260" w:type="dxa"/>
            <w:tcMar>
              <w:top w:w="80" w:type="dxa"/>
              <w:left w:w="120" w:type="dxa"/>
              <w:bottom w:w="80" w:type="dxa"/>
              <w:right w:w="120" w:type="dxa"/>
            </w:tcMar>
            <w:vAlign w:val="center"/>
          </w:tcPr>
          <w:p w14:paraId="364D4596">
            <w:r>
              <w:rPr>
                <w:sz w:val="18"/>
              </w:rPr>
              <w:t>neutral contract and route integration</w:t>
            </w:r>
          </w:p>
        </w:tc>
      </w:tr>
      <w:tr w14:paraId="0E86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25B7C495">
            <w:r>
              <w:rPr>
                <w:sz w:val="18"/>
              </w:rPr>
              <w:t>Subagent A</w:t>
            </w:r>
          </w:p>
        </w:tc>
        <w:tc>
          <w:tcPr>
            <w:tcW w:w="7260" w:type="dxa"/>
            <w:shd w:val="clear" w:color="auto" w:fill="F5F8FB"/>
            <w:tcMar>
              <w:top w:w="80" w:type="dxa"/>
              <w:left w:w="120" w:type="dxa"/>
              <w:bottom w:w="80" w:type="dxa"/>
              <w:right w:w="120" w:type="dxa"/>
            </w:tcMar>
            <w:vAlign w:val="center"/>
          </w:tcPr>
          <w:p w14:paraId="6155CA5C">
            <w:r>
              <w:rPr>
                <w:sz w:val="18"/>
              </w:rPr>
              <w:t>neutralize IDE-owned core primitives</w:t>
            </w:r>
          </w:p>
        </w:tc>
      </w:tr>
      <w:tr w14:paraId="7474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7D2944D3">
            <w:r>
              <w:rPr>
                <w:sz w:val="18"/>
              </w:rPr>
              <w:t>Subagent B</w:t>
            </w:r>
          </w:p>
        </w:tc>
        <w:tc>
          <w:tcPr>
            <w:tcW w:w="7260" w:type="dxa"/>
            <w:tcMar>
              <w:top w:w="80" w:type="dxa"/>
              <w:left w:w="120" w:type="dxa"/>
              <w:bottom w:w="80" w:type="dxa"/>
              <w:right w:w="120" w:type="dxa"/>
            </w:tcMar>
            <w:vAlign w:val="center"/>
          </w:tcPr>
          <w:p w14:paraId="4CD976C9">
            <w:r>
              <w:rPr>
                <w:sz w:val="18"/>
              </w:rPr>
              <w:t>IDE process/service extraction</w:t>
            </w:r>
          </w:p>
        </w:tc>
      </w:tr>
      <w:tr w14:paraId="43CBA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6F0D6DCA">
            <w:r>
              <w:rPr>
                <w:sz w:val="18"/>
              </w:rPr>
              <w:t>Subagent C - Store continuity</w:t>
            </w:r>
          </w:p>
        </w:tc>
        <w:tc>
          <w:tcPr>
            <w:tcW w:w="7260" w:type="dxa"/>
            <w:shd w:val="clear" w:color="auto" w:fill="F5F8FB"/>
            <w:tcMar>
              <w:top w:w="80" w:type="dxa"/>
              <w:left w:w="120" w:type="dxa"/>
              <w:bottom w:w="80" w:type="dxa"/>
              <w:right w:w="120" w:type="dxa"/>
            </w:tcMar>
            <w:vAlign w:val="center"/>
          </w:tcPr>
          <w:p w14:paraId="1BFE8AC3">
            <w:r>
              <w:rPr>
                <w:sz w:val="18"/>
              </w:rPr>
              <w:t>paid activation, resolver, and interoperability E2E</w:t>
            </w:r>
          </w:p>
        </w:tc>
      </w:tr>
      <w:tr w14:paraId="6D9D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3E40426B">
            <w:r>
              <w:rPr>
                <w:sz w:val="18"/>
              </w:rPr>
              <w:t>Exit</w:t>
            </w:r>
          </w:p>
        </w:tc>
        <w:tc>
          <w:tcPr>
            <w:tcW w:w="7260" w:type="dxa"/>
            <w:tcMar>
              <w:top w:w="80" w:type="dxa"/>
              <w:left w:w="120" w:type="dxa"/>
              <w:bottom w:w="80" w:type="dxa"/>
              <w:right w:w="120" w:type="dxa"/>
            </w:tcMar>
            <w:vAlign w:val="center"/>
          </w:tcPr>
          <w:p w14:paraId="52A85217">
            <w:r>
              <w:rPr>
                <w:sz w:val="18"/>
              </w:rPr>
              <w:t>core independent of IDE</w:t>
            </w:r>
          </w:p>
        </w:tc>
      </w:tr>
    </w:tbl>
    <w:p w14:paraId="255FDF15">
      <w:pPr>
        <w:spacing w:after="0"/>
      </w:pPr>
    </w:p>
    <w:p w14:paraId="703B98F2">
      <w:pPr>
        <w:pStyle w:val="3"/>
      </w:pPr>
      <w:r>
        <w:t>C5B</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3DF3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2B9B12C4">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4E604553">
            <w:pPr>
              <w:jc w:val="left"/>
            </w:pPr>
            <w:r>
              <w:rPr>
                <w:b/>
                <w:color w:val="0B2545"/>
              </w:rPr>
              <w:t>CONTENT</w:t>
            </w:r>
          </w:p>
        </w:tc>
      </w:tr>
      <w:tr w14:paraId="4FCE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0CC891C2">
            <w:r>
              <w:rPr>
                <w:sz w:val="18"/>
              </w:rPr>
              <w:t>Integrator</w:t>
            </w:r>
          </w:p>
        </w:tc>
        <w:tc>
          <w:tcPr>
            <w:tcW w:w="7260" w:type="dxa"/>
            <w:tcMar>
              <w:top w:w="80" w:type="dxa"/>
              <w:left w:w="120" w:type="dxa"/>
              <w:bottom w:w="80" w:type="dxa"/>
              <w:right w:w="120" w:type="dxa"/>
            </w:tcMar>
            <w:vAlign w:val="center"/>
          </w:tcPr>
          <w:p w14:paraId="4E5E0785">
            <w:r>
              <w:rPr>
                <w:sz w:val="18"/>
              </w:rPr>
              <w:t>base router/build cleanup</w:t>
            </w:r>
          </w:p>
        </w:tc>
      </w:tr>
      <w:tr w14:paraId="6F9A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0C8EBDED">
            <w:r>
              <w:rPr>
                <w:sz w:val="18"/>
              </w:rPr>
              <w:t>Subagent A</w:t>
            </w:r>
          </w:p>
        </w:tc>
        <w:tc>
          <w:tcPr>
            <w:tcW w:w="7260" w:type="dxa"/>
            <w:shd w:val="clear" w:color="auto" w:fill="F5F8FB"/>
            <w:tcMar>
              <w:top w:w="80" w:type="dxa"/>
              <w:left w:w="120" w:type="dxa"/>
              <w:bottom w:w="80" w:type="dxa"/>
              <w:right w:w="120" w:type="dxa"/>
            </w:tcMar>
            <w:vAlign w:val="center"/>
          </w:tcPr>
          <w:p w14:paraId="7B571359">
            <w:r>
              <w:rPr>
                <w:sz w:val="18"/>
              </w:rPr>
              <w:t>optional main/process owners</w:t>
            </w:r>
          </w:p>
        </w:tc>
      </w:tr>
      <w:tr w14:paraId="439B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78D4F724">
            <w:r>
              <w:rPr>
                <w:sz w:val="18"/>
              </w:rPr>
              <w:t>Subagent B</w:t>
            </w:r>
          </w:p>
        </w:tc>
        <w:tc>
          <w:tcPr>
            <w:tcW w:w="7260" w:type="dxa"/>
            <w:tcMar>
              <w:top w:w="80" w:type="dxa"/>
              <w:left w:w="120" w:type="dxa"/>
              <w:bottom w:w="80" w:type="dxa"/>
              <w:right w:w="120" w:type="dxa"/>
            </w:tcMar>
            <w:vAlign w:val="center"/>
          </w:tcPr>
          <w:p w14:paraId="313E47BE">
            <w:r>
              <w:rPr>
                <w:sz w:val="18"/>
              </w:rPr>
              <w:t>optional renderer/assets owners</w:t>
            </w:r>
          </w:p>
        </w:tc>
      </w:tr>
      <w:tr w14:paraId="61B3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35A931EC">
            <w:r>
              <w:rPr>
                <w:sz w:val="18"/>
              </w:rPr>
              <w:t>Subagent C - Store continuity</w:t>
            </w:r>
          </w:p>
        </w:tc>
        <w:tc>
          <w:tcPr>
            <w:tcW w:w="7260" w:type="dxa"/>
            <w:shd w:val="clear" w:color="auto" w:fill="F5F8FB"/>
            <w:tcMar>
              <w:top w:w="80" w:type="dxa"/>
              <w:left w:w="120" w:type="dxa"/>
              <w:bottom w:w="80" w:type="dxa"/>
              <w:right w:w="120" w:type="dxa"/>
            </w:tcMar>
            <w:vAlign w:val="center"/>
          </w:tcPr>
          <w:p w14:paraId="30CBA543">
            <w:r>
              <w:rPr>
                <w:sz w:val="18"/>
              </w:rPr>
              <w:t>graph, artifact, clean-machine, and Store-absence verifier</w:t>
            </w:r>
          </w:p>
        </w:tc>
      </w:tr>
      <w:tr w14:paraId="086F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39CDE25E">
            <w:r>
              <w:rPr>
                <w:sz w:val="18"/>
              </w:rPr>
              <w:t>Exit</w:t>
            </w:r>
          </w:p>
        </w:tc>
        <w:tc>
          <w:tcPr>
            <w:tcW w:w="7260" w:type="dxa"/>
            <w:tcMar>
              <w:top w:w="80" w:type="dxa"/>
              <w:left w:w="120" w:type="dxa"/>
              <w:bottom w:w="80" w:type="dxa"/>
              <w:right w:w="120" w:type="dxa"/>
            </w:tcMar>
            <w:vAlign w:val="center"/>
          </w:tcPr>
          <w:p w14:paraId="60773766">
            <w:r>
              <w:rPr>
                <w:sz w:val="18"/>
              </w:rPr>
              <w:t>exact clean base</w:t>
            </w:r>
          </w:p>
        </w:tc>
      </w:tr>
    </w:tbl>
    <w:p w14:paraId="39E2812D">
      <w:pPr>
        <w:spacing w:after="0"/>
      </w:pPr>
    </w:p>
    <w:p w14:paraId="3E8C02DB">
      <w:pPr>
        <w:pStyle w:val="3"/>
      </w:pPr>
      <w:r>
        <w:t>C6</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5082D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shd w:val="clear" w:color="auto" w:fill="E8EEF5"/>
            <w:tcMar>
              <w:top w:w="80" w:type="dxa"/>
              <w:left w:w="120" w:type="dxa"/>
              <w:bottom w:w="80" w:type="dxa"/>
              <w:right w:w="120" w:type="dxa"/>
            </w:tcMar>
            <w:vAlign w:val="center"/>
          </w:tcPr>
          <w:p w14:paraId="0B09641B">
            <w:pPr>
              <w:jc w:val="left"/>
            </w:pPr>
            <w:r>
              <w:rPr>
                <w:b/>
                <w:color w:val="0B2545"/>
              </w:rPr>
              <w:t>FIELD</w:t>
            </w:r>
          </w:p>
        </w:tc>
        <w:tc>
          <w:tcPr>
            <w:tcW w:w="7260" w:type="dxa"/>
            <w:shd w:val="clear" w:color="auto" w:fill="E8EEF5"/>
            <w:tcMar>
              <w:top w:w="80" w:type="dxa"/>
              <w:left w:w="120" w:type="dxa"/>
              <w:bottom w:w="80" w:type="dxa"/>
              <w:right w:w="120" w:type="dxa"/>
            </w:tcMar>
            <w:vAlign w:val="center"/>
          </w:tcPr>
          <w:p w14:paraId="32114C9C">
            <w:pPr>
              <w:jc w:val="left"/>
            </w:pPr>
            <w:r>
              <w:rPr>
                <w:b/>
                <w:color w:val="0B2545"/>
              </w:rPr>
              <w:t>CONTENT</w:t>
            </w:r>
          </w:p>
        </w:tc>
      </w:tr>
      <w:tr w14:paraId="7E2A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4B705B1C">
            <w:r>
              <w:rPr>
                <w:sz w:val="18"/>
              </w:rPr>
              <w:t>Integrator</w:t>
            </w:r>
          </w:p>
        </w:tc>
        <w:tc>
          <w:tcPr>
            <w:tcW w:w="7260" w:type="dxa"/>
            <w:tcMar>
              <w:top w:w="80" w:type="dxa"/>
              <w:left w:w="120" w:type="dxa"/>
              <w:bottom w:w="80" w:type="dxa"/>
              <w:right w:w="120" w:type="dxa"/>
            </w:tcMar>
            <w:vAlign w:val="center"/>
          </w:tcPr>
          <w:p w14:paraId="1AA9BF92">
            <w:r>
              <w:rPr>
                <w:sz w:val="18"/>
              </w:rPr>
              <w:t>evidence reconciliation and release decision</w:t>
            </w:r>
          </w:p>
        </w:tc>
      </w:tr>
      <w:tr w14:paraId="369C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7E0D08D7">
            <w:r>
              <w:rPr>
                <w:sz w:val="18"/>
              </w:rPr>
              <w:t>Subagent A</w:t>
            </w:r>
          </w:p>
        </w:tc>
        <w:tc>
          <w:tcPr>
            <w:tcW w:w="7260" w:type="dxa"/>
            <w:shd w:val="clear" w:color="auto" w:fill="F5F8FB"/>
            <w:tcMar>
              <w:top w:w="80" w:type="dxa"/>
              <w:left w:w="120" w:type="dxa"/>
              <w:bottom w:w="80" w:type="dxa"/>
              <w:right w:w="120" w:type="dxa"/>
            </w:tcMar>
            <w:vAlign w:val="center"/>
          </w:tcPr>
          <w:p w14:paraId="16AAD9CA">
            <w:r>
              <w:rPr>
                <w:sz w:val="18"/>
              </w:rPr>
              <w:t>adversarial security</w:t>
            </w:r>
          </w:p>
        </w:tc>
      </w:tr>
      <w:tr w14:paraId="1B6A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01F3117D">
            <w:r>
              <w:rPr>
                <w:sz w:val="18"/>
              </w:rPr>
              <w:t>Subagent B</w:t>
            </w:r>
          </w:p>
        </w:tc>
        <w:tc>
          <w:tcPr>
            <w:tcW w:w="7260" w:type="dxa"/>
            <w:tcMar>
              <w:top w:w="80" w:type="dxa"/>
              <w:left w:w="120" w:type="dxa"/>
              <w:bottom w:w="80" w:type="dxa"/>
              <w:right w:w="120" w:type="dxa"/>
            </w:tcMar>
            <w:vAlign w:val="center"/>
          </w:tcPr>
          <w:p w14:paraId="30F5A24F">
            <w:r>
              <w:rPr>
                <w:sz w:val="18"/>
              </w:rPr>
              <w:t>reliability, restart, migration, rollback</w:t>
            </w:r>
          </w:p>
        </w:tc>
      </w:tr>
      <w:tr w14:paraId="2E2F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5F8FB"/>
            <w:tcMar>
              <w:top w:w="80" w:type="dxa"/>
              <w:left w:w="120" w:type="dxa"/>
              <w:bottom w:w="80" w:type="dxa"/>
              <w:right w:w="120" w:type="dxa"/>
            </w:tcMar>
            <w:vAlign w:val="center"/>
          </w:tcPr>
          <w:p w14:paraId="75C081ED">
            <w:r>
              <w:rPr>
                <w:sz w:val="18"/>
              </w:rPr>
              <w:t>Subagent C - Store continuity</w:t>
            </w:r>
          </w:p>
        </w:tc>
        <w:tc>
          <w:tcPr>
            <w:tcW w:w="7260" w:type="dxa"/>
            <w:shd w:val="clear" w:color="auto" w:fill="F5F8FB"/>
            <w:tcMar>
              <w:top w:w="80" w:type="dxa"/>
              <w:left w:w="120" w:type="dxa"/>
              <w:bottom w:w="80" w:type="dxa"/>
              <w:right w:w="120" w:type="dxa"/>
            </w:tcMar>
            <w:vAlign w:val="center"/>
          </w:tcPr>
          <w:p w14:paraId="29B4E7D2">
            <w:r>
              <w:rPr>
                <w:sz w:val="18"/>
              </w:rPr>
              <w:t>clean-machine journeys, fixed evaluation, Store and economics audit</w:t>
            </w:r>
          </w:p>
        </w:tc>
      </w:tr>
      <w:tr w14:paraId="5672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80" w:type="dxa"/>
              <w:left w:w="120" w:type="dxa"/>
              <w:bottom w:w="80" w:type="dxa"/>
              <w:right w:w="120" w:type="dxa"/>
            </w:tcMar>
            <w:vAlign w:val="center"/>
          </w:tcPr>
          <w:p w14:paraId="296DC1EF">
            <w:r>
              <w:rPr>
                <w:sz w:val="18"/>
              </w:rPr>
              <w:t>Exit</w:t>
            </w:r>
          </w:p>
        </w:tc>
        <w:tc>
          <w:tcPr>
            <w:tcW w:w="7260" w:type="dxa"/>
            <w:tcMar>
              <w:top w:w="80" w:type="dxa"/>
              <w:left w:w="120" w:type="dxa"/>
              <w:bottom w:w="80" w:type="dxa"/>
              <w:right w:w="120" w:type="dxa"/>
            </w:tcMar>
            <w:vAlign w:val="center"/>
          </w:tcPr>
          <w:p w14:paraId="6139A2BA">
            <w:r>
              <w:rPr>
                <w:sz w:val="18"/>
              </w:rPr>
              <w:t>candidate accepted or rejected</w:t>
            </w:r>
          </w:p>
        </w:tc>
      </w:tr>
    </w:tbl>
    <w:p w14:paraId="0790EE0F">
      <w:pPr>
        <w:spacing w:after="0"/>
      </w:pPr>
    </w:p>
    <w:p w14:paraId="39E687F1">
      <w:r>
        <w:t>The table is the default allocation, not permission to overlap files. When a checkpoint's work is already CURRENT, replace that lane with its next dependency or independent verification rather than repeating it.</w:t>
      </w:r>
    </w:p>
    <w:p w14:paraId="6AA3FB1E">
      <w:pPr>
        <w:pStyle w:val="2"/>
      </w:pPr>
      <w:r>
        <w:t>C0 - Evidence lock</w:t>
      </w:r>
    </w:p>
    <w:p w14:paraId="34C0A6DA">
      <w:r>
        <w:rPr>
          <w:b/>
        </w:rPr>
        <w:t>Purpose:</w:t>
      </w:r>
      <w:r>
        <w:t xml:space="preserve"> turn the current worktree into reproducible facts before changing architecture.</w:t>
      </w:r>
    </w:p>
    <w:p w14:paraId="1F2F1CD9">
      <w:r>
        <w:t>The three inventories cover every enabled executor, target, IPC/preload method, secret path, final egress, side effect, personal-context path, package owner, Store/catalog/action surface, commerce prototype, payment/Credit path, cloud path, graph input, artifact, database, worker, binary, and feature switch.</w:t>
      </w:r>
    </w:p>
    <w:p w14:paraId="0E021A21">
      <w:r>
        <w:t>Integrator outputs:</w:t>
      </w:r>
    </w:p>
    <w:p w14:paraId="74EC6198">
      <w:pPr>
        <w:pStyle w:val="23"/>
      </w:pPr>
      <w:r>
        <w:t>exact release-candidate surfaces and default-off features;</w:t>
      </w:r>
    </w:p>
    <w:p w14:paraId="63F9AD81">
      <w:pPr>
        <w:pStyle w:val="23"/>
      </w:pPr>
      <w:r>
        <w:t>generated ownership and bypass rules;</w:t>
      </w:r>
    </w:p>
    <w:p w14:paraId="2B38C946">
      <w:pPr>
        <w:pStyle w:val="23"/>
      </w:pPr>
      <w:r>
        <w:t>versioned representative goals and budgets for outcome, tool success, latency, model/tool usage, monetary estimate, and resource use;</w:t>
      </w:r>
    </w:p>
    <w:p w14:paraId="0AD669E3">
      <w:pPr>
        <w:pStyle w:val="23"/>
      </w:pPr>
      <w:r>
        <w:t>file ownership matrix for C1;</w:t>
      </w:r>
    </w:p>
    <w:p w14:paraId="4053C8FD">
      <w:pPr>
        <w:pStyle w:val="23"/>
      </w:pPr>
      <w:r>
        <w:t>refreshed CURRENT/PARTIAL/TARGET evidence tied to the actual revision.</w:t>
      </w:r>
    </w:p>
    <w:p w14:paraId="034B9335">
      <w:r>
        <w:t>Exit gate:</w:t>
      </w:r>
    </w:p>
    <w:p w14:paraId="615B589B">
      <w:pPr>
        <w:pStyle w:val="23"/>
      </w:pPr>
      <w:r>
        <w:t>every enabled executor, egress, IPC method, package action, and Store mutation has an owner;</w:t>
      </w:r>
    </w:p>
    <w:p w14:paraId="54387B45">
      <w:pPr>
        <w:pStyle w:val="23"/>
      </w:pPr>
      <w:r>
        <w:t>the inventory and artifact input are deterministic and generated from the same revision;</w:t>
      </w:r>
    </w:p>
    <w:p w14:paraId="34EE8C65">
      <w:pPr>
        <w:pStyle w:val="23"/>
      </w:pPr>
      <w:r>
        <w:t>an unowned optional import, unregistered IPC method, or unknown money path fails the gate;</w:t>
      </w:r>
    </w:p>
    <w:p w14:paraId="3D2957B7">
      <w:pPr>
        <w:pStyle w:val="23"/>
      </w:pPr>
      <w:r>
        <w:t>baseline failures are explicit and reproducible.</w:t>
      </w:r>
    </w:p>
    <w:p w14:paraId="1D58FEC0">
      <w:r>
        <w:t>Migration: inventories are additive and do not change production behavior.</w:t>
      </w:r>
    </w:p>
    <w:p w14:paraId="15BA11D8">
      <w:r>
        <w:t>Rollback: remove a faulty generated rule only after replacing its coverage.</w:t>
      </w:r>
    </w:p>
    <w:p w14:paraId="03687433">
      <w:r>
        <w:t>Kill criteria: stale artifact evidence, nondeterministic inventory, or an enabled unowned surface stops C0.</w:t>
      </w:r>
    </w:p>
    <w:p w14:paraId="216513B5">
      <w:pPr>
        <w:pStyle w:val="2"/>
      </w:pPr>
      <w:r>
        <w:t>C1 - Minimal contract lock</w:t>
      </w:r>
    </w:p>
    <w:p w14:paraId="21EE11C3">
      <w:r>
        <w:rPr>
          <w:b/>
        </w:rPr>
        <w:t>Purpose:</w:t>
      </w:r>
      <w:r>
        <w:t xml:space="preserve"> freeze only the seams needed for parallel work, in short serialized batches.</w:t>
      </w:r>
    </w:p>
    <w:p w14:paraId="258D2D55">
      <w:r>
        <w:t>The Integrator freezes:</w:t>
      </w:r>
    </w:p>
    <w:p w14:paraId="632CCD18">
      <w:pPr>
        <w:pStyle w:val="29"/>
        <w:numPr>
          <w:ilvl w:val="0"/>
          <w:numId w:val="11"/>
        </w:numPr>
      </w:pPr>
      <w:r>
        <w:rPr>
          <w:b/>
        </w:rPr>
        <w:t>Run, Trust, and Context:</w:t>
      </w:r>
      <w:r>
        <w:t xml:space="preserve"> Run identity/state, parent-child lineage, evidence, receipt, cancellation, stable errors, CapabilityRequest/Grant, PermissionDecision, ContextProjection, ResourceLease, TargetDescriptor, and UsageRecord.</w:t>
      </w:r>
    </w:p>
    <w:p w14:paraId="25CB7F87">
      <w:pPr>
        <w:pStyle w:val="29"/>
        <w:numPr>
          <w:ilvl w:val="0"/>
          <w:numId w:val="11"/>
        </w:numPr>
      </w:pPr>
      <w:r>
        <w:rPr>
          <w:b/>
        </w:rPr>
        <w:t>Package and resolution:</w:t>
      </w:r>
      <w:r>
        <w:t xml:space="preserve"> PackageIdentity, ContributionIdentity, CapabilityQuery/Candidate/Resolution, ActivationProposal, syscall envelope, and lifecycle states.</w:t>
      </w:r>
    </w:p>
    <w:p w14:paraId="337DE385">
      <w:pPr>
        <w:pStyle w:val="29"/>
        <w:numPr>
          <w:ilvl w:val="0"/>
          <w:numId w:val="11"/>
        </w:numPr>
      </w:pPr>
      <w:r>
        <w:rPr>
          <w:b/>
        </w:rPr>
        <w:t>Store commerce:</w:t>
      </w:r>
      <w:r>
        <w:t xml:space="preserve"> integer </w:t>
      </w:r>
      <w:r>
        <w:rPr>
          <w:rFonts w:ascii="Consolas" w:hAnsi="Consolas"/>
          <w:color w:val="0B2545"/>
          <w:sz w:val="18"/>
        </w:rPr>
        <w:t>MoneyMinor</w:t>
      </w:r>
      <w:r>
        <w:t>, ProductOffer, Order, PaymentEvent, Refund, Entitlement, AcquisitionGrant, CommissionEntry, PublisherPayable fixture, and ranking lane.</w:t>
      </w:r>
    </w:p>
    <w:p w14:paraId="4BFA91A4">
      <w:r>
        <w:t>Credit balance, rate-card, quote, reservation, settlement, and provider reconciliation freeze in C4A as a separate bounded batch. Store ordinary payment does not wait for or reuse Tomni Credit.</w:t>
      </w:r>
    </w:p>
    <w:p w14:paraId="622C725C">
      <w:r>
        <w:t>Exit gate:</w:t>
      </w:r>
    </w:p>
    <w:p w14:paraId="47EE0629">
      <w:pPr>
        <w:pStyle w:val="23"/>
      </w:pPr>
      <w:r>
        <w:t>contracts are versioned and reject unknown fields, malformed identities, floats in authoritative money, invalid transitions, and oversized payloads;</w:t>
      </w:r>
    </w:p>
    <w:p w14:paraId="170FD3C2">
      <w:pPr>
        <w:pStyle w:val="23"/>
      </w:pPr>
      <w:r>
        <w:t>durable Run replay reaches exactly one terminal state and never replays a committed effect;</w:t>
      </w:r>
    </w:p>
    <w:p w14:paraId="1F2B5B11">
      <w:pPr>
        <w:pStyle w:val="23"/>
      </w:pPr>
      <w:r>
        <w:t>duplicate or out-of-order payment fixtures cannot create a second order, entitlement, refund, or commission;</w:t>
      </w:r>
    </w:p>
    <w:p w14:paraId="04F218E7">
      <w:pPr>
        <w:pStyle w:val="23"/>
      </w:pPr>
      <w:r>
        <w:t>context cannot authorize, entitlement cannot raise trust, and adapters cannot debit money;</w:t>
      </w:r>
    </w:p>
    <w:p w14:paraId="19112D57">
      <w:pPr>
        <w:pStyle w:val="23"/>
      </w:pPr>
      <w:r>
        <w:t>no core contract imports an optional implementation.</w:t>
      </w:r>
    </w:p>
    <w:p w14:paraId="606A0FC0">
      <w:r>
        <w:t>Migration: legacy DTOs coexist only behind explicit version adapters.</w:t>
      </w:r>
    </w:p>
    <w:p w14:paraId="307E34CF">
      <w:r>
        <w:t>Rollback: disable the new adapter while retaining durable readable records; never restore raw-secret or generic IPC behavior.</w:t>
      </w:r>
    </w:p>
    <w:p w14:paraId="329C70EC">
      <w:r>
        <w:t>Kill criteria: secret serialization, sender bypass, invalid replay, duplicate effect, floating-point ledger money, or privilege from payment stops C1.</w:t>
      </w:r>
    </w:p>
    <w:p w14:paraId="05D637CC">
      <w:pPr>
        <w:pStyle w:val="2"/>
      </w:pPr>
      <w:r>
        <w:t>C2 - First safe vertical slices</w:t>
      </w:r>
    </w:p>
    <w:p w14:paraId="508E3734">
      <w:r>
        <w:rPr>
          <w:b/>
        </w:rPr>
        <w:t>Purpose:</w:t>
      </w:r>
      <w:r>
        <w:t xml:space="preserve"> prove one ordinary Hub run and one usable Store foundation early.</w:t>
      </w:r>
    </w:p>
    <w:p w14:paraId="6D9FB253">
      <w:r>
        <w:t>Hub slice:</w:t>
      </w:r>
    </w:p>
    <w:p w14:paraId="397FB5EF">
      <w:pPr>
        <w:pStyle w:val="23"/>
      </w:pPr>
      <w:r>
        <w:t>Foundation owns start, state, cancellation, verification, and terminal receipt;</w:t>
      </w:r>
    </w:p>
    <w:p w14:paraId="4CD03C63">
      <w:pPr>
        <w:pStyle w:val="23"/>
      </w:pPr>
      <w:r>
        <w:t>one cloud-model/BYOK target is adapted behind normalized events;</w:t>
      </w:r>
    </w:p>
    <w:p w14:paraId="1960B978">
      <w:pPr>
        <w:pStyle w:val="23"/>
      </w:pPr>
      <w:r>
        <w:t>canonical ContextStore/Composer and ResourceCoordinator replace placeholders for this path;</w:t>
      </w:r>
    </w:p>
    <w:p w14:paraId="1932CC99">
      <w:pPr>
        <w:pStyle w:val="23"/>
      </w:pPr>
      <w:r>
        <w:t>TrustBroker checks origin, capability, just-in-time secret use, and final serialized egress;</w:t>
      </w:r>
    </w:p>
    <w:p w14:paraId="0F47EA89">
      <w:pPr>
        <w:pStyle w:val="23"/>
      </w:pPr>
      <w:r>
        <w:t>restart and cancellation are idempotent.</w:t>
      </w:r>
    </w:p>
    <w:p w14:paraId="5BFD02FF">
      <w:r>
        <w:t>Store slice:</w:t>
      </w:r>
    </w:p>
    <w:p w14:paraId="76417E46">
      <w:pPr>
        <w:pStyle w:val="23"/>
      </w:pPr>
      <w:r>
        <w:t>signed, expiring, rollback-resistant catalog;</w:t>
      </w:r>
    </w:p>
    <w:p w14:paraId="41B43917">
      <w:pPr>
        <w:pStyle w:val="23"/>
      </w:pPr>
      <w:r>
        <w:t>search and product detail with permission, trust, compatibility, and commercial metadata;</w:t>
      </w:r>
    </w:p>
    <w:p w14:paraId="1861E464">
      <w:pPr>
        <w:pStyle w:val="23"/>
      </w:pPr>
      <w:r>
        <w:t>free signed pilot publication and acquisition path;</w:t>
      </w:r>
    </w:p>
    <w:p w14:paraId="7E90C938">
      <w:pPr>
        <w:pStyle w:val="23"/>
      </w:pPr>
      <w:r>
        <w:t>install/update/disable/rollback/uninstall through Package Supervisor;</w:t>
      </w:r>
    </w:p>
    <w:p w14:paraId="3C2B6B58">
      <w:pPr>
        <w:pStyle w:val="23"/>
      </w:pPr>
      <w:r>
        <w:t>commerce repositories and UI states remain behind disabled paid switches.</w:t>
      </w:r>
    </w:p>
    <w:p w14:paraId="05B62F69">
      <w:r>
        <w:t>Exit gate:</w:t>
      </w:r>
    </w:p>
    <w:p w14:paraId="7BF5F16C">
      <w:pPr>
        <w:pStyle w:val="23"/>
      </w:pPr>
      <w:r>
        <w:t>one ordinary Hub request reaches exactly one terminal receipt after restart tests;</w:t>
      </w:r>
    </w:p>
    <w:p w14:paraId="5FE7FA58">
      <w:pPr>
        <w:pStyle w:val="23"/>
      </w:pPr>
      <w:r>
        <w:t>no raw credential reaches renderer, prompt, log, snapshot, or receipt;</w:t>
      </w:r>
    </w:p>
    <w:p w14:paraId="1B822A7C">
      <w:pPr>
        <w:pStyle w:val="23"/>
      </w:pPr>
      <w:r>
        <w:t>one clean base browses Store and installs/uninstalls the free pilot without rebuild;</w:t>
      </w:r>
    </w:p>
    <w:p w14:paraId="194ADBA4">
      <w:pPr>
        <w:pStyle w:val="23"/>
      </w:pPr>
      <w:r>
        <w:t>payment or catalog metadata cannot alter signature, permission, or sandbox decisions.</w:t>
      </w:r>
    </w:p>
    <w:p w14:paraId="69F8E006">
      <w:r>
        <w:t>Migration: enable only the proven Hub and free Store paths.</w:t>
      </w:r>
    </w:p>
    <w:p w14:paraId="5D7337E6">
      <w:r>
        <w:t>Rollback: disable the target or catalog source while retaining safe local paths and signed installed state.</w:t>
      </w:r>
    </w:p>
    <w:p w14:paraId="24D577CC">
      <w:r>
        <w:t>Kill criteria: two lifecycle owners, uninspected egress, unsigned/rolled-back catalog acceptance, or install outside Package Supervisor stops C2.</w:t>
      </w:r>
    </w:p>
    <w:p w14:paraId="07223119">
      <w:pPr>
        <w:pStyle w:val="2"/>
      </w:pPr>
      <w:r>
        <w:t>C3 - Complete the two cores and package capability seam</w:t>
      </w:r>
    </w:p>
    <w:p w14:paraId="77F9F85A">
      <w:pPr>
        <w:pStyle w:val="3"/>
      </w:pPr>
      <w:r>
        <w:t>C3A - Run, delegation, Trust breadth, and signed ABI</w:t>
      </w:r>
    </w:p>
    <w:p w14:paraId="335F3DD2">
      <w:pPr>
        <w:pStyle w:val="23"/>
      </w:pPr>
      <w:r>
        <w:t>migrate only release-candidate executors; disable every remaining bypass;</w:t>
      </w:r>
    </w:p>
    <w:p w14:paraId="641E6D1E">
      <w:pPr>
        <w:pStyle w:val="23"/>
      </w:pPr>
      <w:r>
        <w:t>implement one parent/child Run with narrowed context, capability, budget, cancellation, and linked verification;</w:t>
      </w:r>
    </w:p>
    <w:p w14:paraId="350347C8">
      <w:pPr>
        <w:pStyle w:val="23"/>
      </w:pPr>
      <w:r>
        <w:t>route every enabled egress and side effect through TrustBroker;</w:t>
      </w:r>
    </w:p>
    <w:p w14:paraId="6494A329">
      <w:pPr>
        <w:pStyle w:val="23"/>
      </w:pPr>
      <w:r>
        <w:t>complete isolated package syscall runtime, leases, cancellation, revocation, receipts, and one signed pilot;</w:t>
      </w:r>
    </w:p>
    <w:p w14:paraId="7C2CE681">
      <w:pPr>
        <w:pStyle w:val="23"/>
      </w:pPr>
      <w:r>
        <w:t>freeze resolver facts and exclusion reasons.</w:t>
      </w:r>
    </w:p>
    <w:p w14:paraId="0C363A4E">
      <w:pPr>
        <w:pStyle w:val="3"/>
      </w:pPr>
      <w:r>
        <w:t>C3B - Causal understanding, controls, and local execution</w:t>
      </w:r>
    </w:p>
    <w:p w14:paraId="7520803A">
      <w:pPr>
        <w:pStyle w:val="23"/>
      </w:pPr>
      <w:r>
        <w:t>implement controlled observation/explicit input, proposal, explanation, confirmation/rejection, application, outcome, correction, and forgetting;</w:t>
      </w:r>
    </w:p>
    <w:p w14:paraId="74E7E9E5">
      <w:pPr>
        <w:pStyle w:val="23"/>
      </w:pPr>
      <w:r>
        <w:t xml:space="preserve">preserve reason and scope; repetition without reason becomes a question or bounded hypothesis, never an </w:t>
      </w:r>
      <w:r>
        <w:rPr>
          <w:rFonts w:ascii="Consolas" w:hAnsi="Consolas"/>
          <w:color w:val="0B2545"/>
          <w:sz w:val="18"/>
        </w:rPr>
        <w:t>always</w:t>
      </w:r>
      <w:r>
        <w:t xml:space="preserve"> rule;</w:t>
      </w:r>
    </w:p>
    <w:p w14:paraId="71B2EC21">
      <w:pPr>
        <w:pStyle w:val="23"/>
      </w:pPr>
      <w:r>
        <w:t>expose provenance, projection use, grant/approval audit, correction, export, deletion, retention, and learning pause;</w:t>
      </w:r>
    </w:p>
    <w:p w14:paraId="6279EB8F">
      <w:pPr>
        <w:pStyle w:val="23"/>
      </w:pPr>
      <w:r>
        <w:t>connect one real local loopback engine/model and prove ordinary conversation with network blocked;</w:t>
      </w:r>
    </w:p>
    <w:p w14:paraId="0690BF06">
      <w:pPr>
        <w:pStyle w:val="23"/>
      </w:pPr>
      <w:r>
        <w:t>implement restart with IDE absent;</w:t>
      </w:r>
    </w:p>
    <w:p w14:paraId="61899DC1">
      <w:pPr>
        <w:pStyle w:val="23"/>
      </w:pPr>
      <w:r>
        <w:t>complete Store order, entitlement, refund, ranking, and sponsorship state machines against deterministic ports.</w:t>
      </w:r>
    </w:p>
    <w:p w14:paraId="74A2ACE7">
      <w:pPr>
        <w:pStyle w:val="3"/>
      </w:pPr>
      <w:r>
        <w:t>C3C - Target and ecosystem conformance</w:t>
      </w:r>
    </w:p>
    <w:p w14:paraId="0711A205">
      <w:pPr>
        <w:pStyle w:val="23"/>
      </w:pPr>
      <w:r>
        <w:t>migrate one supervised CLI and one MCP tool;</w:t>
      </w:r>
    </w:p>
    <w:p w14:paraId="2B493082">
      <w:pPr>
        <w:pStyle w:val="23"/>
      </w:pPr>
      <w:r>
        <w:t>make target choice deterministic from capability, privacy, allowed user pin, health, resource availability, and hard budget;</w:t>
      </w:r>
    </w:p>
    <w:p w14:paraId="0E63132A">
      <w:pPr>
        <w:pStyle w:val="23"/>
      </w:pPr>
      <w:r>
        <w:t>prove remote zero-install discovery and invocation;</w:t>
      </w:r>
    </w:p>
    <w:p w14:paraId="10219271">
      <w:pPr>
        <w:pStyle w:val="23"/>
      </w:pPr>
      <w:r>
        <w:t>prove package-to-package caller/callee identity with a narrowed grant and budget;</w:t>
      </w:r>
    </w:p>
    <w:p w14:paraId="3C648CDE">
      <w:pPr>
        <w:pStyle w:val="23"/>
      </w:pPr>
      <w:r>
        <w:t>execute one private workflow or Super Package fixture with checkpoints and prior failure lessons.</w:t>
      </w:r>
    </w:p>
    <w:p w14:paraId="661529A5">
      <w:r>
        <w:t>C3 exit gate:</w:t>
      </w:r>
    </w:p>
    <w:p w14:paraId="7477EA28">
      <w:pPr>
        <w:pStyle w:val="23"/>
      </w:pPr>
      <w:r>
        <w:t>every enabled target and side effect uses one Run Kernel and TrustBroker;</w:t>
      </w:r>
    </w:p>
    <w:p w14:paraId="022C8593">
      <w:pPr>
        <w:pStyle w:val="23"/>
      </w:pPr>
      <w:r>
        <w:t>cancellation leaves no process, socket, model, capability, or resource lease;</w:t>
      </w:r>
    </w:p>
    <w:p w14:paraId="62887F55">
      <w:pPr>
        <w:pStyle w:val="23"/>
      </w:pPr>
      <w:r>
        <w:t>local never silently falls back to cloud;</w:t>
      </w:r>
    </w:p>
    <w:p w14:paraId="56C55213">
      <w:pPr>
        <w:pStyle w:val="23"/>
      </w:pPr>
      <w:r>
        <w:t>context correction/deletion changes the next projection without permission drift;</w:t>
      </w:r>
    </w:p>
    <w:p w14:paraId="778C8697">
      <w:pPr>
        <w:pStyle w:val="23"/>
      </w:pPr>
      <w:r>
        <w:t>sensitive User Intelligence never reaches ads or package trust;</w:t>
      </w:r>
    </w:p>
    <w:p w14:paraId="5584D2EF">
      <w:pPr>
        <w:pStyle w:val="23"/>
      </w:pPr>
      <w:r>
        <w:t>the signed pilot lifecycle and four resolver states pass;</w:t>
      </w:r>
    </w:p>
    <w:p w14:paraId="56E8928F">
      <w:pPr>
        <w:pStyle w:val="23"/>
      </w:pPr>
      <w:r>
        <w:t>remote execution does not install code and local/offline/UI installation requires reviewable consent.</w:t>
      </w:r>
    </w:p>
    <w:p w14:paraId="4B946230">
      <w:r>
        <w:t>Migration: enable each executor, context projection, syscall, or resolver provider only after its scoped conformance suite passes.</w:t>
      </w:r>
    </w:p>
    <w:p w14:paraId="692DA55F">
      <w:r>
        <w:t>Rollback: disable the affected target, inferred projection, remote provider, or package syscall; retain explicit context and readable receipts.</w:t>
      </w:r>
    </w:p>
    <w:p w14:paraId="391389CF">
      <w:r>
        <w:t>Kill criteria: enabled bypass, cross-policy fallback, causal record without scope, undeletable context, package confused deputy, silent install, or orphan resource stops the affected slice.</w:t>
      </w:r>
    </w:p>
    <w:p w14:paraId="5F699D50">
      <w:pPr>
        <w:pStyle w:val="2"/>
      </w:pPr>
      <w:r>
        <w:t>C4 - Store commerce and managed usage in parallel</w:t>
      </w:r>
    </w:p>
    <w:p w14:paraId="675A1E93">
      <w:r>
        <w:t>C4 contains two independent gates. Store does not wait for cloud, and cloud does not modify Store accounting.</w:t>
      </w:r>
    </w:p>
    <w:p w14:paraId="0453350F">
      <w:pPr>
        <w:pStyle w:val="3"/>
      </w:pPr>
      <w:r>
        <w:t>C4-Store</w:t>
      </w:r>
    </w:p>
    <w:p w14:paraId="0B5419E1">
      <w:pPr>
        <w:pStyle w:val="23"/>
      </w:pPr>
      <w:r>
        <w:t>connect ordinary payment ingress to idempotent Order and PaymentEvent handling;</w:t>
      </w:r>
    </w:p>
    <w:p w14:paraId="7B8F495B">
      <w:pPr>
        <w:pStyle w:val="23"/>
      </w:pPr>
      <w:r>
        <w:t>issue an opaque account/product/package-bound AcquisitionGrant only after authoritative entitlement;</w:t>
      </w:r>
    </w:p>
    <w:p w14:paraId="3A7C4FB0">
      <w:pPr>
        <w:pStyle w:val="23"/>
      </w:pPr>
      <w:r>
        <w:t>require both entitlement and the normal signature, permission, Trust, compatibility, and isolation checks before paid activation;</w:t>
      </w:r>
    </w:p>
    <w:p w14:paraId="364EBD3A">
      <w:pPr>
        <w:pStyle w:val="23"/>
      </w:pPr>
      <w:r>
        <w:t>complete first-party checkout, owned state, install, activation, refund, entitlement reversal, lease/process revocation, and receipt;</w:t>
      </w:r>
    </w:p>
    <w:p w14:paraId="4D0BA0F6">
      <w:pPr>
        <w:pStyle w:val="23"/>
      </w:pPr>
      <w:r>
        <w:t>prove third-party 15/85 accounting as a fixture only;</w:t>
      </w:r>
    </w:p>
    <w:p w14:paraId="070DDFC6">
      <w:pPr>
        <w:pStyle w:val="23"/>
      </w:pPr>
      <w:r>
        <w:t>keep organic, featured, and sponsored lanes separate.</w:t>
      </w:r>
    </w:p>
    <w:p w14:paraId="409E0CF1">
      <w:pPr>
        <w:pStyle w:val="3"/>
      </w:pPr>
      <w:r>
        <w:t>C4-Managed</w:t>
      </w:r>
    </w:p>
    <w:p w14:paraId="07E6E83E">
      <w:pPr>
        <w:pStyle w:val="23"/>
      </w:pPr>
      <w:r>
        <w:t>freeze integer Tomni Credit, rate card, quote, expiry, maximum charge, reservation, settlement, release/refund, and reconciliation contracts;</w:t>
      </w:r>
    </w:p>
    <w:p w14:paraId="3FB58C10">
      <w:pPr>
        <w:pStyle w:val="23"/>
      </w:pPr>
      <w:r>
        <w:t>connect one payment mint and one managed-AI usage meter;</w:t>
      </w:r>
    </w:p>
    <w:p w14:paraId="41581199">
      <w:pPr>
        <w:pStyle w:val="23"/>
      </w:pPr>
      <w:r>
        <w:t>add one provider-neutral General cloud request, on-demand provisioner, task sandbox, metering, cleanup, and orphan recovery;</w:t>
      </w:r>
    </w:p>
    <w:p w14:paraId="54F81441">
      <w:pPr>
        <w:pStyle w:val="23"/>
      </w:pPr>
      <w:r>
        <w:t>reserve before any billable model call or provider resource creation;</w:t>
      </w:r>
    </w:p>
    <w:p w14:paraId="46E949CB">
      <w:pPr>
        <w:pStyle w:val="23"/>
      </w:pPr>
      <w:r>
        <w:t>keep local, BYOK, supported CLI, MCP, and user-owned cloud free platform paths.</w:t>
      </w:r>
    </w:p>
    <w:p w14:paraId="318AFB3F">
      <w:r>
        <w:t>Independent failure passes cover duplicate/out-of-order webhook, concurrent reservation, crash at every boundary, cancellation, provider/Tomni fault, stale price, refund, chargeback fixture, resource cleanup, and reconciliation.</w:t>
      </w:r>
    </w:p>
    <w:p w14:paraId="65B3F864">
      <w:r>
        <w:t>C4-Store exit gate:</w:t>
      </w:r>
    </w:p>
    <w:p w14:paraId="79006423">
      <w:pPr>
        <w:pStyle w:val="23"/>
      </w:pPr>
      <w:r>
        <w:t>purchase, entitlement, activation, refund, and revocation occur exactly once;</w:t>
      </w:r>
    </w:p>
    <w:p w14:paraId="56C959A6">
      <w:pPr>
        <w:pStyle w:val="23"/>
      </w:pPr>
      <w:r>
        <w:t>renderer cannot forge an AcquisitionGrant;</w:t>
      </w:r>
    </w:p>
    <w:p w14:paraId="4ABF60BF">
      <w:pPr>
        <w:pStyle w:val="23"/>
      </w:pPr>
      <w:r>
        <w:t>refund removes activation without deleting accounting history;</w:t>
      </w:r>
    </w:p>
    <w:p w14:paraId="240C8CC1">
      <w:pPr>
        <w:pStyle w:val="23"/>
      </w:pPr>
      <w:r>
        <w:t>standard fixture records 15% Tomni commission and 85% publisher payable after tax/refund;</w:t>
      </w:r>
    </w:p>
    <w:p w14:paraId="27EA360E">
      <w:pPr>
        <w:pStyle w:val="23"/>
      </w:pPr>
      <w:r>
        <w:t>sponsorship cannot alter organic rank or use sensitive context.</w:t>
      </w:r>
    </w:p>
    <w:p w14:paraId="619ABD63">
      <w:r>
        <w:t>C4-Managed exit gate:</w:t>
      </w:r>
    </w:p>
    <w:p w14:paraId="44A0C61E">
      <w:pPr>
        <w:pStyle w:val="23"/>
      </w:pPr>
      <w:r>
        <w:t>no duplicate mint, double spend, negative balance, or charge above the accepted maximum;</w:t>
      </w:r>
    </w:p>
    <w:p w14:paraId="10AD94DA">
      <w:pPr>
        <w:pStyle w:val="23"/>
      </w:pPr>
      <w:r>
        <w:t>managed AI settles normalized actual usage and releases the remainder;</w:t>
      </w:r>
    </w:p>
    <w:p w14:paraId="0535891C">
      <w:pPr>
        <w:pStyle w:val="23"/>
      </w:pPr>
      <w:r>
        <w:t>managed cloud reserves before create and terminates VM/container, disk, credential, and leases on success, cancel, timeout, crash, and restart;</w:t>
      </w:r>
    </w:p>
    <w:p w14:paraId="7A70D018">
      <w:pPr>
        <w:pStyle w:val="23"/>
      </w:pPr>
      <w:r>
        <w:t>an idle test period produces zero managed compute-resource charge;</w:t>
      </w:r>
    </w:p>
    <w:p w14:paraId="77EE951B">
      <w:pPr>
        <w:pStyle w:val="23"/>
      </w:pPr>
      <w:r>
        <w:t>provider invoice, ledger, usage, and Run receipt reconcile within the frozen tolerance.</w:t>
      </w:r>
    </w:p>
    <w:p w14:paraId="4B63CA84">
      <w:r>
        <w:t>Migration: commerce uses a new authoritative order/entitlement schema; prototype plan-credit state migrates only through a versioned Credit ledger migration.</w:t>
      </w:r>
    </w:p>
    <w:p w14:paraId="586B7E4F">
      <w:r>
        <w:t>Rollback: independently disable checkout, paid activation, managed AI purchase, or managed cloud provision. Preserve valid entitlements, accounting, receipts, and free/local paths.</w:t>
      </w:r>
    </w:p>
    <w:p w14:paraId="68DC9B8E">
      <w:r>
        <w:t>Kill criteria: duplicate commercial state, wrong split, payment changing trust, forged grant, provision before reserve, unreconciled cost, secret/payment leak, or orphan compute stops only the affected switch and keeps its gate red.</w:t>
      </w:r>
    </w:p>
    <w:p w14:paraId="1086ACDF">
      <w:pPr>
        <w:pStyle w:val="2"/>
      </w:pPr>
      <w:r>
        <w:t>C5 - Extract IDE and prove the clean base</w:t>
      </w:r>
    </w:p>
    <w:p w14:paraId="6711160B">
      <w:r>
        <w:rPr>
          <w:b/>
        </w:rPr>
        <w:t>Purpose:</w:t>
      </w:r>
      <w:r>
        <w:t xml:space="preserve"> converge Store/package work with physical base separation while other green tracks continue verification.</w:t>
      </w:r>
    </w:p>
    <w:p w14:paraId="1512988E">
      <w:pPr>
        <w:pStyle w:val="3"/>
      </w:pPr>
      <w:r>
        <w:t>C5A - Neutralize and extract IDE</w:t>
      </w:r>
    </w:p>
    <w:p w14:paraId="1FB6E887">
      <w:pPr>
        <w:pStyle w:val="23"/>
      </w:pPr>
      <w:r>
        <w:t>move context recovery, workspace/file primitives, generic process needs, and shared contracts out of IDE ownership;</w:t>
      </w:r>
    </w:p>
    <w:p w14:paraId="670929EE">
      <w:pPr>
        <w:pStyle w:val="23"/>
      </w:pPr>
      <w:r>
        <w:t xml:space="preserve">move IDE process services, UI, routes, preload calls, assets, translations, workers, dependencies, and package data into </w:t>
      </w:r>
      <w:r>
        <w:rPr>
          <w:rFonts w:ascii="Consolas" w:hAnsi="Consolas"/>
          <w:color w:val="0B2545"/>
          <w:sz w:val="18"/>
        </w:rPr>
        <w:t>com.tomni.ide</w:t>
      </w:r>
      <w:r>
        <w:t>;</w:t>
      </w:r>
    </w:p>
    <w:p w14:paraId="6E1610AC">
      <w:pPr>
        <w:pStyle w:val="23"/>
      </w:pPr>
      <w:r>
        <w:t>build base and IDE independently;</w:t>
      </w:r>
    </w:p>
    <w:p w14:paraId="1E0BF650">
      <w:pPr>
        <w:pStyle w:val="23"/>
      </w:pPr>
      <w:r>
        <w:t>run paid activation, remote capability, package-to-package, semantic theme, and Super Package end-to-end fixtures through the same broker.</w:t>
      </w:r>
    </w:p>
    <w:p w14:paraId="436728A0">
      <w:pPr>
        <w:pStyle w:val="3"/>
      </w:pPr>
      <w:r>
        <w:t>C5B - Remove every optional owner</w:t>
      </w:r>
    </w:p>
    <w:p w14:paraId="7221E0C5">
      <w:pPr>
        <w:pStyle w:val="23"/>
      </w:pPr>
      <w:r>
        <w:t>remove optional main/process and renderer/assets imports, routes, bridges, activation, workers, binaries, translations, and databases from base graphs and artifacts;</w:t>
      </w:r>
    </w:p>
    <w:p w14:paraId="0CEA6362">
      <w:pPr>
        <w:pStyle w:val="23"/>
      </w:pPr>
      <w:r>
        <w:t>keep legacy source only outside base ownership and compilation inputs;</w:t>
      </w:r>
    </w:p>
    <w:p w14:paraId="35E4DFF7">
      <w:pPr>
        <w:pStyle w:val="23"/>
      </w:pPr>
      <w:r>
        <w:t>generate exact graph, chunk, ASAR/resource, source-map, translation, binary, and database evidence;</w:t>
      </w:r>
    </w:p>
    <w:p w14:paraId="2E8BE309">
      <w:pPr>
        <w:pStyle w:val="23"/>
      </w:pPr>
      <w:r>
        <w:t>run clean-machine Hub, context, Store, settings, update, recovery, free pilot, paid first-party, and IDE lifecycle journeys.</w:t>
      </w:r>
    </w:p>
    <w:p w14:paraId="027F0A4E">
      <w:r>
        <w:t>Exit gate:</w:t>
      </w:r>
    </w:p>
    <w:p w14:paraId="463F8B1A">
      <w:pPr>
        <w:pStyle w:val="23"/>
      </w:pPr>
      <w:r>
        <w:t>zero core-to-optional implementation imports;</w:t>
      </w:r>
    </w:p>
    <w:p w14:paraId="6FAC482D">
      <w:pPr>
        <w:pStyle w:val="23"/>
      </w:pPr>
      <w:r>
        <w:t>generated ownership registry reports zero optional files in the base candidate;</w:t>
      </w:r>
    </w:p>
    <w:p w14:paraId="289BC5B8">
      <w:pPr>
        <w:pStyle w:val="23"/>
      </w:pPr>
      <w:r>
        <w:t>base starts no optional route, service, process, scheduled job, webview host, or database;</w:t>
      </w:r>
    </w:p>
    <w:p w14:paraId="02CFF7C6">
      <w:pPr>
        <w:pStyle w:val="23"/>
      </w:pPr>
      <w:r>
        <w:t>IDE install/update/disable/rollback/revoke/uninstall passes without base rebuild;</w:t>
      </w:r>
    </w:p>
    <w:p w14:paraId="7CF1CAD3">
      <w:pPr>
        <w:pStyle w:val="23"/>
      </w:pPr>
      <w:r>
        <w:t>paid and free Store activation still goes through entitlement when required and identical technical trust gates;</w:t>
      </w:r>
    </w:p>
    <w:p w14:paraId="730C4DF4">
      <w:pPr>
        <w:pStyle w:val="23"/>
      </w:pPr>
      <w:r>
        <w:t>uninstall/revoke leaves no route, process, lease, secret, or undeclared data.</w:t>
      </w:r>
    </w:p>
    <w:p w14:paraId="56A83DBF">
      <w:r>
        <w:t>Migration: replace static imports with registry descriptors and disabled contribution slots.</w:t>
      </w:r>
    </w:p>
    <w:p w14:paraId="73A2D33F">
      <w:r>
        <w:t>Rollback: disable the offending contribution or base reference; never restore optional implementation to base.</w:t>
      </w:r>
    </w:p>
    <w:p w14:paraId="21768BFE">
      <w:r>
        <w:t>Kill criteria: any optional artifact in base, preinstall activation, direct package import, stale graph evidence, or lifecycle residue rejects C5.</w:t>
      </w:r>
    </w:p>
    <w:p w14:paraId="2F268A13">
      <w:pPr>
        <w:pStyle w:val="2"/>
      </w:pPr>
      <w:r>
        <w:t>C6 - Release hardening and decision</w:t>
      </w:r>
    </w:p>
    <w:p w14:paraId="0AAD2339">
      <w:r>
        <w:t>Three subagents independently cover:</w:t>
      </w:r>
    </w:p>
    <w:p w14:paraId="43C77B69">
      <w:pPr>
        <w:pStyle w:val="29"/>
        <w:numPr>
          <w:ilvl w:val="0"/>
          <w:numId w:val="12"/>
        </w:numPr>
      </w:pPr>
      <w:r>
        <w:rPr>
          <w:b/>
        </w:rPr>
        <w:t>Adversarial security:</w:t>
      </w:r>
      <w:r>
        <w:t xml:space="preserve"> malicious catalog/package, signature and rollback attacks, IPC spoofing, confused deputy, prompt-injected side effect, secret canary, SSRF/redirect, archive abuse, grant replay, sensitive-context misuse, and duplicated effect.</w:t>
      </w:r>
    </w:p>
    <w:p w14:paraId="76D1C7F8">
      <w:pPr>
        <w:pStyle w:val="29"/>
        <w:numPr>
          <w:ilvl w:val="0"/>
          <w:numId w:val="12"/>
        </w:numPr>
      </w:pPr>
      <w:r>
        <w:rPr>
          <w:b/>
        </w:rPr>
        <w:t>Reliability:</w:t>
      </w:r>
      <w:r>
        <w:t xml:space="preserve"> long run, rapid cancellation, application crash/restart, local-model crash, provider outage, offline mode, resource pressure, database migration, payment reordering, package update, refund, rollback, and kill switches.</w:t>
      </w:r>
    </w:p>
    <w:p w14:paraId="3350F450">
      <w:pPr>
        <w:pStyle w:val="29"/>
        <w:numPr>
          <w:ilvl w:val="0"/>
          <w:numId w:val="12"/>
        </w:numPr>
      </w:pPr>
      <w:r>
        <w:rPr>
          <w:b/>
        </w:rPr>
        <w:t>Clean-machine and evaluation:</w:t>
      </w:r>
      <w:r>
        <w:t xml:space="preserve"> every MVP journey, exact artifacts, fixed representative goals, Store commerce, managed economics, idle-cost evidence, updater, and recovery.</w:t>
      </w:r>
    </w:p>
    <w:p w14:paraId="7D70623B">
      <w:r>
        <w:t>Core plus Store candidate gate:</w:t>
      </w:r>
    </w:p>
    <w:p w14:paraId="36D8FE8D">
      <w:pPr>
        <w:pStyle w:val="23"/>
      </w:pPr>
      <w:r>
        <w:t>all ten Core plus Store journeys pass at one revision;</w:t>
      </w:r>
    </w:p>
    <w:p w14:paraId="172C3B6C">
      <w:pPr>
        <w:pStyle w:val="23"/>
      </w:pPr>
      <w:r>
        <w:t>full applicable lint, format, type, unit, contract, integration, and end-to-end commands exit zero;</w:t>
      </w:r>
    </w:p>
    <w:p w14:paraId="10BF7853">
      <w:pPr>
        <w:pStyle w:val="23"/>
      </w:pPr>
      <w:r>
        <w:t>100 percent of enabled preload/IPC and egress surfaces remain inventoried and enforced;</w:t>
      </w:r>
    </w:p>
    <w:p w14:paraId="633A2776">
      <w:pPr>
        <w:pStyle w:val="23"/>
      </w:pPr>
      <w:r>
        <w:t>one lifecycle owner, one Trust seam, one Context source, and one ResourceCoordinator are authoritative;</w:t>
      </w:r>
    </w:p>
    <w:p w14:paraId="3D2F03C5">
      <w:pPr>
        <w:pStyle w:val="23"/>
      </w:pPr>
      <w:r>
        <w:t>causal User Intelligence and all user controls pass without authorization drift;</w:t>
      </w:r>
    </w:p>
    <w:p w14:paraId="29537E42">
      <w:pPr>
        <w:pStyle w:val="23"/>
      </w:pPr>
      <w:r>
        <w:t>capability resolver, signed pilot, paid first-party package, 15/85 fixture, IDE extraction, and clean-base evidence pass;</w:t>
      </w:r>
    </w:p>
    <w:p w14:paraId="7AD85B78">
      <w:pPr>
        <w:pStyle w:val="23"/>
      </w:pPr>
      <w:r>
        <w:t>fixed evaluation meets verified outcome and tool-success budgets with no unexplained regression;</w:t>
      </w:r>
    </w:p>
    <w:p w14:paraId="7CFAEF95">
      <w:pPr>
        <w:pStyle w:val="23"/>
      </w:pPr>
      <w:r>
        <w:t>migration, rollback, and kill drills pass;</w:t>
      </w:r>
    </w:p>
    <w:p w14:paraId="7163435C">
      <w:pPr>
        <w:pStyle w:val="23"/>
      </w:pPr>
      <w:r>
        <w:t>no known P0 security, data-loss, duplicate-effect, commerce, or package-isolation issue remains;</w:t>
      </w:r>
    </w:p>
    <w:p w14:paraId="48A4C439">
      <w:pPr>
        <w:pStyle w:val="23"/>
      </w:pPr>
      <w:r>
        <w:t>documentation matches the signed candidate.</w:t>
      </w:r>
    </w:p>
    <w:p w14:paraId="6BE88A05">
      <w:r>
        <w:t>Full managed-usage gate additionally requires every C4-Managed criterion at the same release revision. A switch that is disabled is not evidence that its advertised journey is complete.</w:t>
      </w:r>
    </w:p>
    <w:p w14:paraId="3F6B7FED">
      <w:r>
        <w:t>Migration: release only from a clean signed candidate and test update from the previous supported build.</w:t>
      </w:r>
    </w:p>
    <w:p w14:paraId="5842E466">
      <w:r>
        <w:t>Rollback: restore the previous signed base and compatible package set while preserving readable Run, entitlement, accounting, and Credit evidence; never weaken credential, Trust, or package boundaries.</w:t>
      </w:r>
    </w:p>
    <w:p w14:paraId="4CF5B25D">
      <w:r>
        <w:t>Kill criteria: any P0 failure rejects the relevant candidate. There are no security or accounting waivers.</w:t>
      </w:r>
    </w:p>
    <w:p w14:paraId="5B0813DC">
      <w:pPr>
        <w:pStyle w:val="2"/>
      </w:pPr>
      <w:r>
        <w:t>Continuous Store track</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000"/>
        <w:gridCol w:w="2600"/>
        <w:gridCol w:w="1960"/>
      </w:tblGrid>
      <w:tr w14:paraId="0971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E8EEF5"/>
            <w:tcMar>
              <w:top w:w="80" w:type="dxa"/>
              <w:left w:w="120" w:type="dxa"/>
              <w:bottom w:w="80" w:type="dxa"/>
              <w:right w:w="120" w:type="dxa"/>
            </w:tcMar>
            <w:vAlign w:val="center"/>
          </w:tcPr>
          <w:p w14:paraId="6D4B6736">
            <w:pPr>
              <w:jc w:val="left"/>
            </w:pPr>
            <w:r>
              <w:rPr>
                <w:b/>
                <w:color w:val="0B2545"/>
              </w:rPr>
              <w:t>Slice</w:t>
            </w:r>
          </w:p>
        </w:tc>
        <w:tc>
          <w:tcPr>
            <w:tcW w:w="3000" w:type="dxa"/>
            <w:shd w:val="clear" w:color="auto" w:fill="E8EEF5"/>
            <w:tcMar>
              <w:top w:w="80" w:type="dxa"/>
              <w:left w:w="120" w:type="dxa"/>
              <w:bottom w:w="80" w:type="dxa"/>
              <w:right w:w="120" w:type="dxa"/>
            </w:tcMar>
            <w:vAlign w:val="center"/>
          </w:tcPr>
          <w:p w14:paraId="65385711">
            <w:pPr>
              <w:jc w:val="left"/>
            </w:pPr>
            <w:r>
              <w:rPr>
                <w:b/>
                <w:color w:val="0B2545"/>
              </w:rPr>
              <w:t>Work that starts immediately</w:t>
            </w:r>
          </w:p>
        </w:tc>
        <w:tc>
          <w:tcPr>
            <w:tcW w:w="2600" w:type="dxa"/>
            <w:shd w:val="clear" w:color="auto" w:fill="E8EEF5"/>
            <w:tcMar>
              <w:top w:w="80" w:type="dxa"/>
              <w:left w:w="120" w:type="dxa"/>
              <w:bottom w:w="80" w:type="dxa"/>
              <w:right w:w="120" w:type="dxa"/>
            </w:tcMar>
            <w:vAlign w:val="center"/>
          </w:tcPr>
          <w:p w14:paraId="233E2623">
            <w:pPr>
              <w:jc w:val="left"/>
            </w:pPr>
            <w:r>
              <w:rPr>
                <w:b/>
                <w:color w:val="0B2545"/>
              </w:rPr>
              <w:t>Required convergence</w:t>
            </w:r>
          </w:p>
        </w:tc>
        <w:tc>
          <w:tcPr>
            <w:tcW w:w="1960" w:type="dxa"/>
            <w:shd w:val="clear" w:color="auto" w:fill="E8EEF5"/>
            <w:tcMar>
              <w:top w:w="80" w:type="dxa"/>
              <w:left w:w="120" w:type="dxa"/>
              <w:bottom w:w="80" w:type="dxa"/>
              <w:right w:w="120" w:type="dxa"/>
            </w:tcMar>
            <w:vAlign w:val="center"/>
          </w:tcPr>
          <w:p w14:paraId="29058A9F">
            <w:pPr>
              <w:jc w:val="left"/>
            </w:pPr>
            <w:r>
              <w:rPr>
                <w:b/>
                <w:color w:val="0B2545"/>
              </w:rPr>
              <w:t>Proof</w:t>
            </w:r>
          </w:p>
        </w:tc>
      </w:tr>
      <w:tr w14:paraId="3831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120" w:type="dxa"/>
              <w:bottom w:w="80" w:type="dxa"/>
              <w:right w:w="120" w:type="dxa"/>
            </w:tcMar>
            <w:vAlign w:val="center"/>
          </w:tcPr>
          <w:p w14:paraId="31BB9AA3">
            <w:r>
              <w:rPr>
                <w:sz w:val="18"/>
              </w:rPr>
              <w:t>S0 Evidence</w:t>
            </w:r>
          </w:p>
        </w:tc>
        <w:tc>
          <w:tcPr>
            <w:tcW w:w="3000" w:type="dxa"/>
            <w:tcMar>
              <w:top w:w="80" w:type="dxa"/>
              <w:left w:w="120" w:type="dxa"/>
              <w:bottom w:w="80" w:type="dxa"/>
              <w:right w:w="120" w:type="dxa"/>
            </w:tcMar>
            <w:vAlign w:val="center"/>
          </w:tcPr>
          <w:p w14:paraId="1A28D101">
            <w:r>
              <w:rPr>
                <w:sz w:val="18"/>
              </w:rPr>
              <w:t>catalog, UI, package actions, commerce, money, entitlement, artifact inventory</w:t>
            </w:r>
          </w:p>
        </w:tc>
        <w:tc>
          <w:tcPr>
            <w:tcW w:w="2600" w:type="dxa"/>
            <w:tcMar>
              <w:top w:w="80" w:type="dxa"/>
              <w:left w:w="120" w:type="dxa"/>
              <w:bottom w:w="80" w:type="dxa"/>
              <w:right w:w="120" w:type="dxa"/>
            </w:tcMar>
            <w:vAlign w:val="center"/>
          </w:tcPr>
          <w:p w14:paraId="678A0C9D">
            <w:r>
              <w:rPr>
                <w:sz w:val="18"/>
              </w:rPr>
              <w:t>C0 formats</w:t>
            </w:r>
          </w:p>
        </w:tc>
        <w:tc>
          <w:tcPr>
            <w:tcW w:w="1960" w:type="dxa"/>
            <w:tcMar>
              <w:top w:w="80" w:type="dxa"/>
              <w:left w:w="120" w:type="dxa"/>
              <w:bottom w:w="80" w:type="dxa"/>
              <w:right w:w="120" w:type="dxa"/>
            </w:tcMar>
            <w:vAlign w:val="center"/>
          </w:tcPr>
          <w:p w14:paraId="622561ED">
            <w:r>
              <w:rPr>
                <w:sz w:val="18"/>
              </w:rPr>
              <w:t>deterministic owner and kill switch coverage</w:t>
            </w:r>
          </w:p>
        </w:tc>
      </w:tr>
      <w:tr w14:paraId="71DD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5F8FB"/>
            <w:tcMar>
              <w:top w:w="80" w:type="dxa"/>
              <w:left w:w="120" w:type="dxa"/>
              <w:bottom w:w="80" w:type="dxa"/>
              <w:right w:w="120" w:type="dxa"/>
            </w:tcMar>
            <w:vAlign w:val="center"/>
          </w:tcPr>
          <w:p w14:paraId="43851506">
            <w:r>
              <w:rPr>
                <w:sz w:val="18"/>
              </w:rPr>
              <w:t>S1 Contracts</w:t>
            </w:r>
          </w:p>
        </w:tc>
        <w:tc>
          <w:tcPr>
            <w:tcW w:w="3000" w:type="dxa"/>
            <w:shd w:val="clear" w:color="auto" w:fill="F5F8FB"/>
            <w:tcMar>
              <w:top w:w="80" w:type="dxa"/>
              <w:left w:w="120" w:type="dxa"/>
              <w:bottom w:w="80" w:type="dxa"/>
              <w:right w:w="120" w:type="dxa"/>
            </w:tcMar>
            <w:vAlign w:val="center"/>
          </w:tcPr>
          <w:p w14:paraId="716542AD">
            <w:r>
              <w:rPr>
                <w:sz w:val="18"/>
              </w:rPr>
              <w:t>product/offer, integer money, order, payment, refund, entitlement, acquisition, accounting, ranking ports and fixtures</w:t>
            </w:r>
          </w:p>
        </w:tc>
        <w:tc>
          <w:tcPr>
            <w:tcW w:w="2600" w:type="dxa"/>
            <w:shd w:val="clear" w:color="auto" w:fill="F5F8FB"/>
            <w:tcMar>
              <w:top w:w="80" w:type="dxa"/>
              <w:left w:w="120" w:type="dxa"/>
              <w:bottom w:w="80" w:type="dxa"/>
              <w:right w:w="120" w:type="dxa"/>
            </w:tcMar>
            <w:vAlign w:val="center"/>
          </w:tcPr>
          <w:p w14:paraId="0A4A5940">
            <w:r>
              <w:rPr>
                <w:sz w:val="18"/>
              </w:rPr>
              <w:t>C1 Integrator schemas</w:t>
            </w:r>
          </w:p>
        </w:tc>
        <w:tc>
          <w:tcPr>
            <w:tcW w:w="1960" w:type="dxa"/>
            <w:shd w:val="clear" w:color="auto" w:fill="F5F8FB"/>
            <w:tcMar>
              <w:top w:w="80" w:type="dxa"/>
              <w:left w:w="120" w:type="dxa"/>
              <w:bottom w:w="80" w:type="dxa"/>
              <w:right w:w="120" w:type="dxa"/>
            </w:tcMar>
            <w:vAlign w:val="center"/>
          </w:tcPr>
          <w:p w14:paraId="7811A921">
            <w:r>
              <w:rPr>
                <w:sz w:val="18"/>
              </w:rPr>
              <w:t>malformed/untrusted data fails closed</w:t>
            </w:r>
          </w:p>
        </w:tc>
      </w:tr>
      <w:tr w14:paraId="70F1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120" w:type="dxa"/>
              <w:bottom w:w="80" w:type="dxa"/>
              <w:right w:w="120" w:type="dxa"/>
            </w:tcMar>
            <w:vAlign w:val="center"/>
          </w:tcPr>
          <w:p w14:paraId="24FBC81B">
            <w:r>
              <w:rPr>
                <w:sz w:val="18"/>
              </w:rPr>
              <w:t>S2 Free ecosystem</w:t>
            </w:r>
          </w:p>
        </w:tc>
        <w:tc>
          <w:tcPr>
            <w:tcW w:w="3000" w:type="dxa"/>
            <w:tcMar>
              <w:top w:w="80" w:type="dxa"/>
              <w:left w:w="120" w:type="dxa"/>
              <w:bottom w:w="80" w:type="dxa"/>
              <w:right w:w="120" w:type="dxa"/>
            </w:tcMar>
            <w:vAlign w:val="center"/>
          </w:tcPr>
          <w:p w14:paraId="725E4C4A">
            <w:r>
              <w:rPr>
                <w:sz w:val="18"/>
              </w:rPr>
              <w:t>signed catalog, search/detail, free publish/install, lifecycle UI</w:t>
            </w:r>
          </w:p>
        </w:tc>
        <w:tc>
          <w:tcPr>
            <w:tcW w:w="2600" w:type="dxa"/>
            <w:tcMar>
              <w:top w:w="80" w:type="dxa"/>
              <w:left w:w="120" w:type="dxa"/>
              <w:bottom w:w="80" w:type="dxa"/>
              <w:right w:w="120" w:type="dxa"/>
            </w:tcMar>
            <w:vAlign w:val="center"/>
          </w:tcPr>
          <w:p w14:paraId="44346197">
            <w:r>
              <w:rPr>
                <w:sz w:val="18"/>
              </w:rPr>
              <w:t>package identity and Trust</w:t>
            </w:r>
          </w:p>
        </w:tc>
        <w:tc>
          <w:tcPr>
            <w:tcW w:w="1960" w:type="dxa"/>
            <w:tcMar>
              <w:top w:w="80" w:type="dxa"/>
              <w:left w:w="120" w:type="dxa"/>
              <w:bottom w:w="80" w:type="dxa"/>
              <w:right w:w="120" w:type="dxa"/>
            </w:tcMar>
            <w:vAlign w:val="center"/>
          </w:tcPr>
          <w:p w14:paraId="76E23D6F">
            <w:r>
              <w:rPr>
                <w:sz w:val="18"/>
              </w:rPr>
              <w:t>clean-base free pilot lifecycle</w:t>
            </w:r>
          </w:p>
        </w:tc>
      </w:tr>
      <w:tr w14:paraId="5941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5F8FB"/>
            <w:tcMar>
              <w:top w:w="80" w:type="dxa"/>
              <w:left w:w="120" w:type="dxa"/>
              <w:bottom w:w="80" w:type="dxa"/>
              <w:right w:w="120" w:type="dxa"/>
            </w:tcMar>
            <w:vAlign w:val="center"/>
          </w:tcPr>
          <w:p w14:paraId="65E500AE">
            <w:r>
              <w:rPr>
                <w:sz w:val="18"/>
              </w:rPr>
              <w:t>S3 Commerce kernel</w:t>
            </w:r>
          </w:p>
        </w:tc>
        <w:tc>
          <w:tcPr>
            <w:tcW w:w="3000" w:type="dxa"/>
            <w:shd w:val="clear" w:color="auto" w:fill="F5F8FB"/>
            <w:tcMar>
              <w:top w:w="80" w:type="dxa"/>
              <w:left w:w="120" w:type="dxa"/>
              <w:bottom w:w="80" w:type="dxa"/>
              <w:right w:w="120" w:type="dxa"/>
            </w:tcMar>
            <w:vAlign w:val="center"/>
          </w:tcPr>
          <w:p w14:paraId="2D30BFDA">
            <w:r>
              <w:rPr>
                <w:sz w:val="18"/>
              </w:rPr>
              <w:t>order, entitlement, refund, accounting, restart and webhook state machines</w:t>
            </w:r>
          </w:p>
        </w:tc>
        <w:tc>
          <w:tcPr>
            <w:tcW w:w="2600" w:type="dxa"/>
            <w:shd w:val="clear" w:color="auto" w:fill="F5F8FB"/>
            <w:tcMar>
              <w:top w:w="80" w:type="dxa"/>
              <w:left w:w="120" w:type="dxa"/>
              <w:bottom w:w="80" w:type="dxa"/>
              <w:right w:w="120" w:type="dxa"/>
            </w:tcMar>
            <w:vAlign w:val="center"/>
          </w:tcPr>
          <w:p w14:paraId="1C707455">
            <w:r>
              <w:rPr>
                <w:sz w:val="18"/>
              </w:rPr>
              <w:t>durable repositories/migration</w:t>
            </w:r>
          </w:p>
        </w:tc>
        <w:tc>
          <w:tcPr>
            <w:tcW w:w="1960" w:type="dxa"/>
            <w:shd w:val="clear" w:color="auto" w:fill="F5F8FB"/>
            <w:tcMar>
              <w:top w:w="80" w:type="dxa"/>
              <w:left w:w="120" w:type="dxa"/>
              <w:bottom w:w="80" w:type="dxa"/>
              <w:right w:w="120" w:type="dxa"/>
            </w:tcMar>
            <w:vAlign w:val="center"/>
          </w:tcPr>
          <w:p w14:paraId="4742D4A0">
            <w:r>
              <w:rPr>
                <w:sz w:val="18"/>
              </w:rPr>
              <w:t>exactly-once and 15/85 fixtures</w:t>
            </w:r>
          </w:p>
        </w:tc>
      </w:tr>
      <w:tr w14:paraId="34E12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120" w:type="dxa"/>
              <w:bottom w:w="80" w:type="dxa"/>
              <w:right w:w="120" w:type="dxa"/>
            </w:tcMar>
            <w:vAlign w:val="center"/>
          </w:tcPr>
          <w:p w14:paraId="0967CA64">
            <w:r>
              <w:rPr>
                <w:sz w:val="18"/>
              </w:rPr>
              <w:t>S4 Paid first-party</w:t>
            </w:r>
          </w:p>
        </w:tc>
        <w:tc>
          <w:tcPr>
            <w:tcW w:w="3000" w:type="dxa"/>
            <w:tcMar>
              <w:top w:w="80" w:type="dxa"/>
              <w:left w:w="120" w:type="dxa"/>
              <w:bottom w:w="80" w:type="dxa"/>
              <w:right w:w="120" w:type="dxa"/>
            </w:tcMar>
            <w:vAlign w:val="center"/>
          </w:tcPr>
          <w:p w14:paraId="0C4ACB63">
            <w:r>
              <w:rPr>
                <w:sz w:val="18"/>
              </w:rPr>
              <w:t>checkout, grant, owned/refunded states, activation admission</w:t>
            </w:r>
          </w:p>
        </w:tc>
        <w:tc>
          <w:tcPr>
            <w:tcW w:w="2600" w:type="dxa"/>
            <w:tcMar>
              <w:top w:w="80" w:type="dxa"/>
              <w:left w:w="120" w:type="dxa"/>
              <w:bottom w:w="80" w:type="dxa"/>
              <w:right w:w="120" w:type="dxa"/>
            </w:tcMar>
            <w:vAlign w:val="center"/>
          </w:tcPr>
          <w:p w14:paraId="0B5813EA">
            <w:r>
              <w:rPr>
                <w:sz w:val="18"/>
              </w:rPr>
              <w:t>S2, S3, package ABI, Trust</w:t>
            </w:r>
          </w:p>
        </w:tc>
        <w:tc>
          <w:tcPr>
            <w:tcW w:w="1960" w:type="dxa"/>
            <w:tcMar>
              <w:top w:w="80" w:type="dxa"/>
              <w:left w:w="120" w:type="dxa"/>
              <w:bottom w:w="80" w:type="dxa"/>
              <w:right w:w="120" w:type="dxa"/>
            </w:tcMar>
            <w:vAlign w:val="center"/>
          </w:tcPr>
          <w:p w14:paraId="23AC123D">
            <w:r>
              <w:rPr>
                <w:sz w:val="18"/>
              </w:rPr>
              <w:t>buy through revoke E2E</w:t>
            </w:r>
          </w:p>
        </w:tc>
      </w:tr>
      <w:tr w14:paraId="4BE9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5F8FB"/>
            <w:tcMar>
              <w:top w:w="80" w:type="dxa"/>
              <w:left w:w="120" w:type="dxa"/>
              <w:bottom w:w="80" w:type="dxa"/>
              <w:right w:w="120" w:type="dxa"/>
            </w:tcMar>
            <w:vAlign w:val="center"/>
          </w:tcPr>
          <w:p w14:paraId="1E14BF51">
            <w:r>
              <w:rPr>
                <w:sz w:val="18"/>
              </w:rPr>
              <w:t>S5 Capability ecosystem</w:t>
            </w:r>
          </w:p>
        </w:tc>
        <w:tc>
          <w:tcPr>
            <w:tcW w:w="3000" w:type="dxa"/>
            <w:shd w:val="clear" w:color="auto" w:fill="F5F8FB"/>
            <w:tcMar>
              <w:top w:w="80" w:type="dxa"/>
              <w:left w:w="120" w:type="dxa"/>
              <w:bottom w:w="80" w:type="dxa"/>
              <w:right w:w="120" w:type="dxa"/>
            </w:tcMar>
            <w:vAlign w:val="center"/>
          </w:tcPr>
          <w:p w14:paraId="58191580">
            <w:r>
              <w:rPr>
                <w:sz w:val="18"/>
              </w:rPr>
              <w:t>resolver provider, remote descriptors, install proposal, package call, theme and Super Package fixtures</w:t>
            </w:r>
          </w:p>
        </w:tc>
        <w:tc>
          <w:tcPr>
            <w:tcW w:w="2600" w:type="dxa"/>
            <w:shd w:val="clear" w:color="auto" w:fill="F5F8FB"/>
            <w:tcMar>
              <w:top w:w="80" w:type="dxa"/>
              <w:left w:w="120" w:type="dxa"/>
              <w:bottom w:w="80" w:type="dxa"/>
              <w:right w:w="120" w:type="dxa"/>
            </w:tcMar>
            <w:vAlign w:val="center"/>
          </w:tcPr>
          <w:p w14:paraId="26980A70">
            <w:r>
              <w:rPr>
                <w:sz w:val="18"/>
              </w:rPr>
              <w:t>Run lineage, broker, ResourceCoordinator</w:t>
            </w:r>
          </w:p>
        </w:tc>
        <w:tc>
          <w:tcPr>
            <w:tcW w:w="1960" w:type="dxa"/>
            <w:shd w:val="clear" w:color="auto" w:fill="F5F8FB"/>
            <w:tcMar>
              <w:top w:w="80" w:type="dxa"/>
              <w:left w:w="120" w:type="dxa"/>
              <w:bottom w:w="80" w:type="dxa"/>
              <w:right w:w="120" w:type="dxa"/>
            </w:tcMar>
            <w:vAlign w:val="center"/>
          </w:tcPr>
          <w:p w14:paraId="047F0767">
            <w:r>
              <w:rPr>
                <w:sz w:val="18"/>
              </w:rPr>
              <w:t>no silent install or privilege union</w:t>
            </w:r>
          </w:p>
        </w:tc>
      </w:tr>
      <w:tr w14:paraId="4075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120" w:type="dxa"/>
              <w:bottom w:w="80" w:type="dxa"/>
              <w:right w:w="120" w:type="dxa"/>
            </w:tcMar>
            <w:vAlign w:val="center"/>
          </w:tcPr>
          <w:p w14:paraId="3E2B6BFF">
            <w:r>
              <w:rPr>
                <w:sz w:val="18"/>
              </w:rPr>
              <w:t>S6 Release</w:t>
            </w:r>
          </w:p>
        </w:tc>
        <w:tc>
          <w:tcPr>
            <w:tcW w:w="3000" w:type="dxa"/>
            <w:tcMar>
              <w:top w:w="80" w:type="dxa"/>
              <w:left w:w="120" w:type="dxa"/>
              <w:bottom w:w="80" w:type="dxa"/>
              <w:right w:w="120" w:type="dxa"/>
            </w:tcMar>
            <w:vAlign w:val="center"/>
          </w:tcPr>
          <w:p w14:paraId="313323FB">
            <w:r>
              <w:rPr>
                <w:sz w:val="18"/>
              </w:rPr>
              <w:t>Store E2E, clean base, rollout flags, commercial reconciliation</w:t>
            </w:r>
          </w:p>
        </w:tc>
        <w:tc>
          <w:tcPr>
            <w:tcW w:w="2600" w:type="dxa"/>
            <w:tcMar>
              <w:top w:w="80" w:type="dxa"/>
              <w:left w:w="120" w:type="dxa"/>
              <w:bottom w:w="80" w:type="dxa"/>
              <w:right w:w="120" w:type="dxa"/>
            </w:tcMar>
            <w:vAlign w:val="center"/>
          </w:tcPr>
          <w:p w14:paraId="0F413742">
            <w:r>
              <w:rPr>
                <w:sz w:val="18"/>
              </w:rPr>
              <w:t>all required tracks</w:t>
            </w:r>
          </w:p>
        </w:tc>
        <w:tc>
          <w:tcPr>
            <w:tcW w:w="1960" w:type="dxa"/>
            <w:tcMar>
              <w:top w:w="80" w:type="dxa"/>
              <w:left w:w="120" w:type="dxa"/>
              <w:bottom w:w="80" w:type="dxa"/>
              <w:right w:w="120" w:type="dxa"/>
            </w:tcMar>
            <w:vAlign w:val="center"/>
          </w:tcPr>
          <w:p w14:paraId="43531C16">
            <w:r>
              <w:rPr>
                <w:sz w:val="18"/>
              </w:rPr>
              <w:t>same-revision candidate evidence</w:t>
            </w:r>
          </w:p>
        </w:tc>
      </w:tr>
    </w:tbl>
    <w:p w14:paraId="2902FFE0">
      <w:pPr>
        <w:spacing w:after="0"/>
      </w:pPr>
    </w:p>
    <w:p w14:paraId="512DB523">
      <w:r>
        <w:t>Public third-party payout remains BLOCKED post-MVP until Merchant-of-Record, tax, KYC/sanctions, consumer refund, chargeback, reserve, and negative-publisher-balance policies and tests exist.</w:t>
      </w:r>
    </w:p>
    <w:p w14:paraId="3E7E98E2">
      <w:r>
        <w:t>Store has separate kill switches for catalog browsing, free installation, checkout, paid activation, remote capability, and sponsored placement. Disabling one surface must not corrupt valid entitlements or disable unrelated safe surfaces.</w:t>
      </w:r>
    </w:p>
    <w:p w14:paraId="5F1A0E16">
      <w:pPr>
        <w:pStyle w:val="2"/>
      </w:pPr>
      <w:r>
        <w:t>Progress accounting</w:t>
      </w:r>
    </w:p>
    <w:p w14:paraId="2688941D">
      <w:r>
        <w:t>Progress is evidence-based, not estimated from files, commits, or log volume.</w:t>
      </w:r>
    </w:p>
    <w:p w14:paraId="0C6F81C2">
      <w:r>
        <w:t>For each track - Hub, Trust/User Intelligence, Store/Package, Managed Usage, and Release - report:</w:t>
      </w:r>
    </w:p>
    <w:p w14:paraId="4F409600">
      <w:pPr>
        <w:pStyle w:val="23"/>
      </w:pPr>
      <w:r>
        <w:t>total required acceptance atoms;</w:t>
      </w:r>
    </w:p>
    <w:p w14:paraId="4C7D85B7">
      <w:pPr>
        <w:pStyle w:val="23"/>
      </w:pPr>
      <w:r>
        <w:t>atoms passing at the current revision;</w:t>
      </w:r>
    </w:p>
    <w:p w14:paraId="1717C891">
      <w:pPr>
        <w:pStyle w:val="23"/>
      </w:pPr>
      <w:r>
        <w:t>atoms failing or blocked with named cause;</w:t>
      </w:r>
    </w:p>
    <w:p w14:paraId="7AC66354">
      <w:pPr>
        <w:pStyle w:val="23"/>
      </w:pPr>
      <w:r>
        <w:t>current enabled/disabled switches;</w:t>
      </w:r>
    </w:p>
    <w:p w14:paraId="77B9C216">
      <w:pPr>
        <w:pStyle w:val="23"/>
      </w:pPr>
      <w:r>
        <w:t>latest command, exit code, artifact, and owner.</w:t>
      </w:r>
    </w:p>
    <w:p w14:paraId="5D79BF3B">
      <w:r>
        <w:t xml:space="preserve">Track completion is </w:t>
      </w:r>
      <w:r>
        <w:rPr>
          <w:rFonts w:ascii="Consolas" w:hAnsi="Consolas"/>
          <w:color w:val="0B2545"/>
          <w:sz w:val="18"/>
        </w:rPr>
        <w:t>passing required atoms / total required atoms</w:t>
      </w:r>
      <w:r>
        <w:t xml:space="preserve">. Overall build progress may be reported as the same ratio across all required atoms, but </w:t>
      </w:r>
      <w:r>
        <w:rPr>
          <w:b/>
        </w:rPr>
        <w:t>release readiness is the lowest completion of the critical tracks</w:t>
      </w:r>
      <w:r>
        <w:t>, not the average. Report Core plus Store and Full managed-usage percentages separately so a strong Store or UI score cannot hide a security, Run, or billing blocker.</w:t>
      </w:r>
    </w:p>
    <w:p w14:paraId="1E924040">
      <w:r>
        <w:t>Only the Integrator changes canonical status to CURRENT.</w:t>
      </w:r>
    </w:p>
    <w:p w14:paraId="0D246B87">
      <w:pPr>
        <w:pStyle w:val="2"/>
      </w:pPr>
      <w:r>
        <w:t>Post-MVP expansion</w:t>
      </w:r>
    </w:p>
    <w:p w14:paraId="65B2EB83">
      <w:r>
        <w:t>After the relevant C6 gate passes:</w:t>
      </w:r>
    </w:p>
    <w:p w14:paraId="6B7FA432">
      <w:pPr>
        <w:pStyle w:val="29"/>
        <w:numPr>
          <w:ilvl w:val="0"/>
          <w:numId w:val="13"/>
        </w:numPr>
      </w:pPr>
      <w:r>
        <w:t>package Browser first, then independent Office, Studio-related, Music, MakeVideo, Terminal, Testing, Monitor, media/design, and other optional applications;</w:t>
      </w:r>
    </w:p>
    <w:p w14:paraId="514FA842">
      <w:pPr>
        <w:pStyle w:val="29"/>
        <w:numPr>
          <w:ilvl w:val="0"/>
          <w:numId w:val="13"/>
        </w:numPr>
      </w:pPr>
      <w:r>
        <w:t>publish adapter, package, workflow, Super Package, theme, and capability SDKs with conformance suites;</w:t>
      </w:r>
    </w:p>
    <w:p w14:paraId="2FC7A8D4">
      <w:pPr>
        <w:pStyle w:val="29"/>
        <w:numPr>
          <w:ilvl w:val="0"/>
          <w:numId w:val="13"/>
        </w:numPr>
      </w:pPr>
      <w:r>
        <w:t>add the drag-and-drop workflow/Super Package builder and private optimization tooling;</w:t>
      </w:r>
    </w:p>
    <w:p w14:paraId="701D80D4">
      <w:pPr>
        <w:pStyle w:val="29"/>
        <w:numPr>
          <w:ilvl w:val="0"/>
          <w:numId w:val="13"/>
        </w:numPr>
      </w:pPr>
      <w:r>
        <w:t>open public third-party checkout/payout only after the blocked legal and accounting gates;</w:t>
      </w:r>
    </w:p>
    <w:p w14:paraId="41916844">
      <w:pPr>
        <w:pStyle w:val="29"/>
        <w:numPr>
          <w:ilvl w:val="0"/>
          <w:numId w:val="13"/>
        </w:numPr>
      </w:pPr>
      <w:r>
        <w:t>activate shared warm hosts or committed cloud capacity only after measured economics and cross-tenant isolation gates;</w:t>
      </w:r>
    </w:p>
    <w:p w14:paraId="1AFED2BE">
      <w:pPr>
        <w:pStyle w:val="29"/>
        <w:numPr>
          <w:ilvl w:val="0"/>
          <w:numId w:val="13"/>
        </w:numPr>
      </w:pPr>
      <w:r>
        <w:t>add opt-in autonomous observation and learned quality/cost/latency routing only after causal controls and versioned evaluations prove improvement;</w:t>
      </w:r>
    </w:p>
    <w:p w14:paraId="49BCB3DD">
      <w:pPr>
        <w:pStyle w:val="29"/>
        <w:numPr>
          <w:ilvl w:val="0"/>
          <w:numId w:val="13"/>
        </w:numPr>
      </w:pPr>
      <w:r>
        <w:t>claim additional desktop or web platforms only after platform-specific isolation, secret storage, updater, package, and clean-machine evidence passes.</w:t>
      </w:r>
    </w:p>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E7E78">
    <w:pPr>
      <w:pStyle w:val="18"/>
      <w:jc w:val="center"/>
    </w:pPr>
    <w:r>
      <w:rPr>
        <w:color w:val="5A6878"/>
        <w:sz w:val="16"/>
      </w:rPr>
      <w:t xml:space="preserve">Canonical source: docs/execution/mvp-plan.md   |   Page </w:t>
    </w:r>
    <w:r>
      <w:rPr>
        <w:sz w:val="16"/>
      </w:rPr>
      <w:fldChar w:fldCharType="begin"/>
    </w:r>
    <w:r>
      <w:rPr>
        <w:sz w:val="16"/>
      </w:rPr>
      <w:instrText xml:space="preserve">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24A2B">
    <w:pPr>
      <w:pStyle w:val="19"/>
      <w:jc w:val="right"/>
    </w:pPr>
    <w:r>
      <w:rPr>
        <w:b/>
        <w:color w:val="5A6878"/>
        <w:sz w:val="16"/>
      </w:rPr>
      <w:t>TOMNIHUBOS  /  PRODUCT &amp; MVP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1270A6"/>
    <w:rsid w:val="25272386"/>
    <w:rsid w:val="373A7C2E"/>
    <w:rsid w:val="411845E5"/>
    <w:rsid w:val="7EE347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Calibri" w:hAnsi="Calibri" w:eastAsiaTheme="minorEastAsia" w:cstheme="minorBidi"/>
      <w:color w:val="243447"/>
      <w:sz w:val="22"/>
      <w:szCs w:val="22"/>
      <w:lang w:val="en-US" w:eastAsia="en-US" w:bidi="ar-SA"/>
    </w:rPr>
  </w:style>
  <w:style w:type="paragraph" w:styleId="2">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80" w:line="300" w:lineRule="auto"/>
      <w:ind w:left="540" w:hanging="271"/>
      <w:contextualSpacing/>
    </w:pPr>
    <w:rPr>
      <w:rFonts w:ascii="Calibri" w:hAnsi="Calibri"/>
      <w:sz w:val="22"/>
    </w:rPr>
  </w:style>
  <w:style w:type="paragraph" w:styleId="24">
    <w:name w:val="List Bullet 2"/>
    <w:basedOn w:val="1"/>
    <w:unhideWhenUsed/>
    <w:qFormat/>
    <w:uiPriority w:val="99"/>
    <w:pPr>
      <w:numPr>
        <w:ilvl w:val="0"/>
        <w:numId w:val="2"/>
      </w:numPr>
      <w:spacing w:after="80" w:line="300" w:lineRule="auto"/>
      <w:ind w:left="900" w:hanging="271"/>
      <w:contextualSpacing/>
    </w:pPr>
    <w:rPr>
      <w:rFonts w:ascii="Calibri" w:hAnsi="Calibri"/>
      <w:sz w:val="22"/>
    </w:r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80" w:line="300" w:lineRule="auto"/>
      <w:ind w:left="540" w:hanging="271"/>
      <w:contextualSpacing/>
    </w:pPr>
    <w:rPr>
      <w:rFonts w:ascii="Calibri" w:hAnsi="Calibri"/>
      <w:sz w:val="22"/>
    </w:rPr>
  </w:style>
  <w:style w:type="paragraph" w:styleId="30">
    <w:name w:val="List Number 2"/>
    <w:basedOn w:val="1"/>
    <w:unhideWhenUsed/>
    <w:qFormat/>
    <w:uiPriority w:val="99"/>
    <w:pPr>
      <w:numPr>
        <w:ilvl w:val="0"/>
        <w:numId w:val="5"/>
      </w:numPr>
      <w:spacing w:after="80" w:line="300" w:lineRule="auto"/>
      <w:ind w:left="900" w:hanging="271"/>
      <w:contextualSpacing/>
    </w:pPr>
    <w:rPr>
      <w:rFonts w:ascii="Calibri" w:hAnsi="Calibri"/>
      <w:sz w:val="22"/>
    </w:r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rPr>
      <w:rFonts w:ascii="Calibri" w:hAnsi="Calibri"/>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TomniHubOS</dc:creator>
  <dc:description>Synchronized from docs/execution/mvp-plan.md on 14/08/2026</dc:description>
  <cp:keywords>TomniHubOS, Hub Agent OS, Trust, User Intelligence, Store, Package, MVP</cp:keywords>
  <cp:lastModifiedBy>MyPC</cp:lastModifiedBy>
  <dcterms:modified xsi:type="dcterms:W3CDTF">2026-08-13T22:19:25Z</dcterms:modified>
  <dc:subject>Hub Agent OS, Trust &amp; User Intelligence, Store/Package ecosystem</dc:subject>
  <dc:title>TomniHubOS - Product Overview &amp; MVP Master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2EAC8A7779154377BF3E021908CE2E6A_12</vt:lpwstr>
  </property>
</Properties>
</file>