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3C" w:rsidRDefault="00AD6F09" w:rsidP="00AD6F09">
      <w:pPr>
        <w:pStyle w:val="Heading1"/>
      </w:pPr>
      <w:bookmarkStart w:id="0" w:name="_GoBack"/>
      <w:r w:rsidRPr="00806768">
        <w:t xml:space="preserve">Reviewformulier </w:t>
      </w:r>
      <w:r w:rsidR="00ED53BB" w:rsidRPr="00806768">
        <w:t xml:space="preserve">voor document </w:t>
      </w:r>
      <w:r w:rsidR="00806768" w:rsidRPr="00806768">
        <w:t>Koppelvlakspecificatie</w:t>
      </w:r>
      <w:r w:rsidR="00806768">
        <w:t xml:space="preserve"> </w:t>
      </w:r>
      <w:r w:rsidR="004969E8">
        <w:t>Betalen en Invorderen</w:t>
      </w:r>
      <w:r w:rsidR="00806768">
        <w:t xml:space="preserve"> Services v1.0</w:t>
      </w:r>
      <w:bookmarkEnd w:id="0"/>
    </w:p>
    <w:p w:rsidR="00465F17" w:rsidRPr="00465F17" w:rsidRDefault="00465F17" w:rsidP="00465F17">
      <w:pPr>
        <w:rPr>
          <w:b/>
        </w:rPr>
      </w:pPr>
      <w:proofErr w:type="gramStart"/>
      <w:r w:rsidRPr="00465F17">
        <w:rPr>
          <w:b/>
        </w:rPr>
        <w:t>Organisatie :</w:t>
      </w:r>
      <w:proofErr w:type="gramEnd"/>
      <w:r w:rsidRPr="00465F17">
        <w:rPr>
          <w:b/>
        </w:rPr>
        <w:t xml:space="preserve"> </w:t>
      </w:r>
      <w:r w:rsidR="007F2D73">
        <w:rPr>
          <w:b/>
        </w:rPr>
        <w:t>Roxit</w:t>
      </w:r>
    </w:p>
    <w:p w:rsidR="00AD6F09" w:rsidRPr="00465F17" w:rsidRDefault="00AD6F09" w:rsidP="00465F17">
      <w:pPr>
        <w:rPr>
          <w:b/>
        </w:rPr>
      </w:pPr>
      <w:proofErr w:type="spellStart"/>
      <w:r w:rsidRPr="00465F17">
        <w:rPr>
          <w:b/>
        </w:rPr>
        <w:t>Reviewer</w:t>
      </w:r>
      <w:proofErr w:type="spellEnd"/>
      <w:r w:rsidRPr="00465F17">
        <w:rPr>
          <w:b/>
        </w:rPr>
        <w:t>(s):</w:t>
      </w:r>
      <w:r w:rsidR="007F2D73">
        <w:rPr>
          <w:b/>
        </w:rPr>
        <w:t xml:space="preserve"> Wouter Wigman</w:t>
      </w:r>
    </w:p>
    <w:p w:rsidR="00AD6F09" w:rsidRPr="00465F17" w:rsidRDefault="00AD6F09" w:rsidP="00AD6F09">
      <w:pPr>
        <w:pBdr>
          <w:bottom w:val="double" w:sz="6" w:space="1" w:color="auto"/>
        </w:pBdr>
        <w:spacing w:after="0"/>
        <w:rPr>
          <w:b/>
        </w:rPr>
      </w:pPr>
      <w:r w:rsidRPr="00465F17">
        <w:rPr>
          <w:b/>
        </w:rPr>
        <w:t>Datum:</w:t>
      </w:r>
      <w:r w:rsidR="007F2D73">
        <w:rPr>
          <w:b/>
        </w:rPr>
        <w:t xml:space="preserve"> 11 februari 2014</w:t>
      </w:r>
    </w:p>
    <w:p w:rsidR="00AD6F09" w:rsidRPr="00806768" w:rsidRDefault="00806768" w:rsidP="00AD6F09">
      <w:r w:rsidRPr="00806768">
        <w:t xml:space="preserve"> </w:t>
      </w: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817"/>
        <w:gridCol w:w="5386"/>
        <w:gridCol w:w="6805"/>
        <w:gridCol w:w="1984"/>
      </w:tblGrid>
      <w:tr w:rsidR="00806768" w:rsidTr="00465F17">
        <w:trPr>
          <w:trHeight w:val="359"/>
          <w:tblHeader/>
        </w:trPr>
        <w:tc>
          <w:tcPr>
            <w:tcW w:w="817" w:type="dxa"/>
          </w:tcPr>
          <w:p w:rsidR="00806768" w:rsidRPr="00AD6F09" w:rsidRDefault="00806768" w:rsidP="00AD6F0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Regel</w:t>
            </w:r>
            <w:r w:rsidRPr="00AD6F09">
              <w:rPr>
                <w:b/>
                <w:lang w:val="en-US"/>
              </w:rPr>
              <w:t>Nr</w:t>
            </w:r>
            <w:proofErr w:type="spellEnd"/>
            <w:r w:rsidRPr="00AD6F09">
              <w:rPr>
                <w:b/>
                <w:lang w:val="en-US"/>
              </w:rPr>
              <w:t>.</w:t>
            </w:r>
          </w:p>
        </w:tc>
        <w:tc>
          <w:tcPr>
            <w:tcW w:w="5386" w:type="dxa"/>
          </w:tcPr>
          <w:p w:rsidR="00806768" w:rsidRPr="00AD6F09" w:rsidRDefault="00806768" w:rsidP="00AD6F09">
            <w:pPr>
              <w:rPr>
                <w:b/>
                <w:lang w:val="en-US"/>
              </w:rPr>
            </w:pPr>
            <w:proofErr w:type="spellStart"/>
            <w:r w:rsidRPr="00AD6F09">
              <w:rPr>
                <w:b/>
                <w:lang w:val="en-US"/>
              </w:rPr>
              <w:t>Opmerking</w:t>
            </w:r>
            <w:proofErr w:type="spellEnd"/>
          </w:p>
        </w:tc>
        <w:tc>
          <w:tcPr>
            <w:tcW w:w="6805" w:type="dxa"/>
          </w:tcPr>
          <w:p w:rsidR="00806768" w:rsidRPr="00AD6F09" w:rsidRDefault="00806768" w:rsidP="00AD6F09">
            <w:pPr>
              <w:rPr>
                <w:b/>
                <w:lang w:val="en-US"/>
              </w:rPr>
            </w:pPr>
            <w:proofErr w:type="spellStart"/>
            <w:r w:rsidRPr="00AD6F09">
              <w:rPr>
                <w:b/>
                <w:lang w:val="en-US"/>
              </w:rPr>
              <w:t>Verbetersuggestie</w:t>
            </w:r>
            <w:proofErr w:type="spellEnd"/>
          </w:p>
        </w:tc>
        <w:tc>
          <w:tcPr>
            <w:tcW w:w="1984" w:type="dxa"/>
          </w:tcPr>
          <w:p w:rsidR="00806768" w:rsidRDefault="00806768" w:rsidP="00AD6F0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Betreft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  <w:p w:rsidR="00806768" w:rsidRPr="00AD6F09" w:rsidRDefault="00806768" w:rsidP="0080676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Familie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criterium</w:t>
            </w:r>
            <w:proofErr w:type="spellEnd"/>
          </w:p>
        </w:tc>
      </w:tr>
      <w:tr w:rsidR="00806768" w:rsidTr="00465F17">
        <w:trPr>
          <w:trHeight w:val="770"/>
        </w:trPr>
        <w:tc>
          <w:tcPr>
            <w:tcW w:w="817" w:type="dxa"/>
          </w:tcPr>
          <w:p w:rsidR="00806768" w:rsidRDefault="007F241C" w:rsidP="00AD6F09">
            <w:pPr>
              <w:rPr>
                <w:lang w:val="en-US"/>
              </w:rPr>
            </w:pPr>
            <w:r w:rsidRPr="007F241C">
              <w:rPr>
                <w:lang w:val="en-US"/>
              </w:rPr>
              <w:t>r 81</w:t>
            </w:r>
          </w:p>
        </w:tc>
        <w:tc>
          <w:tcPr>
            <w:tcW w:w="5386" w:type="dxa"/>
          </w:tcPr>
          <w:p w:rsidR="00806768" w:rsidRPr="007F241C" w:rsidRDefault="007F241C" w:rsidP="00AD6F09">
            <w:r w:rsidRPr="007F241C">
              <w:t xml:space="preserve">Spelfout: </w:t>
            </w:r>
            <w:proofErr w:type="spellStart"/>
            <w:r w:rsidRPr="007F241C">
              <w:t>Kloppeling</w:t>
            </w:r>
            <w:proofErr w:type="spellEnd"/>
            <w:r w:rsidRPr="007F241C">
              <w:t xml:space="preserve"> moet zijn koppeling.</w:t>
            </w:r>
          </w:p>
        </w:tc>
        <w:tc>
          <w:tcPr>
            <w:tcW w:w="6805" w:type="dxa"/>
          </w:tcPr>
          <w:p w:rsidR="00806768" w:rsidRPr="007F241C" w:rsidRDefault="00806768" w:rsidP="00AD6F09"/>
        </w:tc>
        <w:tc>
          <w:tcPr>
            <w:tcW w:w="1984" w:type="dxa"/>
          </w:tcPr>
          <w:p w:rsidR="00806768" w:rsidRPr="007F241C" w:rsidRDefault="007F2D73" w:rsidP="00AD6F09">
            <w:r>
              <w:t>Cosmetisch</w:t>
            </w: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Pr="007F241C" w:rsidRDefault="007F241C" w:rsidP="00AD6F09">
            <w:proofErr w:type="spellStart"/>
            <w:r w:rsidRPr="007F241C">
              <w:t>fig</w:t>
            </w:r>
            <w:proofErr w:type="spellEnd"/>
            <w:r w:rsidRPr="007F241C">
              <w:t xml:space="preserve"> 14</w:t>
            </w:r>
          </w:p>
        </w:tc>
        <w:tc>
          <w:tcPr>
            <w:tcW w:w="5386" w:type="dxa"/>
          </w:tcPr>
          <w:p w:rsidR="00806768" w:rsidRPr="007F241C" w:rsidRDefault="007F241C" w:rsidP="007F241C">
            <w:r w:rsidRPr="007F241C">
              <w:t xml:space="preserve">Alles is een grijstint, figuur is onduidelijk. </w:t>
            </w:r>
          </w:p>
        </w:tc>
        <w:tc>
          <w:tcPr>
            <w:tcW w:w="6805" w:type="dxa"/>
          </w:tcPr>
          <w:p w:rsidR="00806768" w:rsidRPr="007F241C" w:rsidRDefault="007F241C" w:rsidP="00AD6F09">
            <w:r w:rsidRPr="007F241C">
              <w:t>Misschien beter om meer kleurverschil te gebruiken?</w:t>
            </w:r>
          </w:p>
        </w:tc>
        <w:tc>
          <w:tcPr>
            <w:tcW w:w="1984" w:type="dxa"/>
          </w:tcPr>
          <w:p w:rsidR="00806768" w:rsidRPr="007F241C" w:rsidRDefault="007F2D73" w:rsidP="00AD6F09">
            <w:r>
              <w:t>Cosmetisch</w:t>
            </w: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7F241C" w:rsidRDefault="007F241C" w:rsidP="007F24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 495</w:t>
            </w:r>
          </w:p>
          <w:p w:rsidR="00806768" w:rsidRPr="007F241C" w:rsidRDefault="00806768" w:rsidP="00AD6F09"/>
        </w:tc>
        <w:tc>
          <w:tcPr>
            <w:tcW w:w="5386" w:type="dxa"/>
          </w:tcPr>
          <w:p w:rsidR="007F241C" w:rsidRDefault="007F241C" w:rsidP="007F24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Bv03 is een technische asynchrone response, geen functionele.</w:t>
            </w:r>
          </w:p>
          <w:p w:rsidR="00806768" w:rsidRPr="007F241C" w:rsidRDefault="00806768" w:rsidP="00AD6F09"/>
        </w:tc>
        <w:tc>
          <w:tcPr>
            <w:tcW w:w="6805" w:type="dxa"/>
          </w:tcPr>
          <w:p w:rsidR="00806768" w:rsidRPr="007F241C" w:rsidRDefault="007F241C" w:rsidP="007F241C">
            <w:r>
              <w:t>Verander tekst in technische response.</w:t>
            </w:r>
          </w:p>
        </w:tc>
        <w:tc>
          <w:tcPr>
            <w:tcW w:w="1984" w:type="dxa"/>
          </w:tcPr>
          <w:p w:rsidR="00806768" w:rsidRPr="007F241C" w:rsidRDefault="007F2D73" w:rsidP="00AD6F09">
            <w:r>
              <w:t>E03</w:t>
            </w:r>
          </w:p>
        </w:tc>
      </w:tr>
      <w:tr w:rsidR="00806768" w:rsidTr="00465F17">
        <w:trPr>
          <w:trHeight w:val="770"/>
        </w:trPr>
        <w:tc>
          <w:tcPr>
            <w:tcW w:w="817" w:type="dxa"/>
          </w:tcPr>
          <w:p w:rsidR="00806768" w:rsidRPr="007F241C" w:rsidRDefault="007F241C" w:rsidP="00AD6F09">
            <w:r w:rsidRPr="007F241C">
              <w:t>R 495</w:t>
            </w:r>
          </w:p>
        </w:tc>
        <w:tc>
          <w:tcPr>
            <w:tcW w:w="5386" w:type="dxa"/>
          </w:tcPr>
          <w:p w:rsidR="007F241C" w:rsidRDefault="007F241C" w:rsidP="007F241C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Asynchrone f</w:t>
            </w:r>
            <w:r>
              <w:rPr>
                <w:rFonts w:ascii="Calibri" w:hAnsi="Calibri" w:cs="Calibri"/>
                <w:color w:val="FF0000"/>
              </w:rPr>
              <w:t>unctionele response moet ook gedefin</w:t>
            </w:r>
            <w:r>
              <w:rPr>
                <w:rFonts w:ascii="Calibri" w:hAnsi="Calibri" w:cs="Calibri"/>
                <w:color w:val="FF0000"/>
              </w:rPr>
              <w:t>i</w:t>
            </w:r>
            <w:r>
              <w:rPr>
                <w:rFonts w:ascii="Calibri" w:hAnsi="Calibri" w:cs="Calibri"/>
                <w:color w:val="FF0000"/>
              </w:rPr>
              <w:t>eerd zijn en mist nu in het koppelvlak.</w:t>
            </w:r>
          </w:p>
          <w:p w:rsidR="00806768" w:rsidRPr="007F241C" w:rsidRDefault="00806768" w:rsidP="00AD6F09"/>
        </w:tc>
        <w:tc>
          <w:tcPr>
            <w:tcW w:w="6805" w:type="dxa"/>
          </w:tcPr>
          <w:p w:rsidR="00806768" w:rsidRPr="007F241C" w:rsidRDefault="007F241C" w:rsidP="00AD6F09">
            <w:r>
              <w:rPr>
                <w:color w:val="FF0000"/>
              </w:rPr>
              <w:t>Bv01 opnemen in het koppelvlak en berichtenverkeer (WSDL/XSD)</w:t>
            </w:r>
          </w:p>
        </w:tc>
        <w:tc>
          <w:tcPr>
            <w:tcW w:w="1984" w:type="dxa"/>
          </w:tcPr>
          <w:p w:rsidR="00806768" w:rsidRPr="007F241C" w:rsidRDefault="007F2D73" w:rsidP="00AD6F09">
            <w:r>
              <w:t>E03</w:t>
            </w: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7F241C" w:rsidRDefault="007F241C" w:rsidP="007F24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 495</w:t>
            </w:r>
          </w:p>
          <w:p w:rsidR="00806768" w:rsidRPr="007F241C" w:rsidRDefault="00806768" w:rsidP="00AD6F09"/>
        </w:tc>
        <w:tc>
          <w:tcPr>
            <w:tcW w:w="5386" w:type="dxa"/>
          </w:tcPr>
          <w:p w:rsidR="00806768" w:rsidRPr="007F241C" w:rsidRDefault="007F241C" w:rsidP="007F241C">
            <w:r>
              <w:rPr>
                <w:rFonts w:ascii="Calibri" w:hAnsi="Calibri" w:cs="Calibri"/>
                <w:color w:val="000000"/>
              </w:rPr>
              <w:t xml:space="preserve">Variant met directe response ook mogelijk maken. </w:t>
            </w:r>
          </w:p>
        </w:tc>
        <w:tc>
          <w:tcPr>
            <w:tcW w:w="6805" w:type="dxa"/>
          </w:tcPr>
          <w:p w:rsidR="007F241C" w:rsidRDefault="007F241C" w:rsidP="007F24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Gebruik van Fo01 en Bv02 opnemen in specificatie.</w:t>
            </w:r>
          </w:p>
          <w:p w:rsidR="00806768" w:rsidRPr="007F241C" w:rsidRDefault="00806768" w:rsidP="00AD6F09"/>
        </w:tc>
        <w:tc>
          <w:tcPr>
            <w:tcW w:w="1984" w:type="dxa"/>
          </w:tcPr>
          <w:p w:rsidR="00806768" w:rsidRPr="007F241C" w:rsidRDefault="007F2D73" w:rsidP="00AD6F09">
            <w:r>
              <w:t>Conceptueel</w:t>
            </w: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806768" w:rsidRPr="007F241C" w:rsidRDefault="007F241C" w:rsidP="00AD6F09">
            <w:r w:rsidRPr="007F241C">
              <w:t>R 513</w:t>
            </w:r>
          </w:p>
        </w:tc>
        <w:tc>
          <w:tcPr>
            <w:tcW w:w="5386" w:type="dxa"/>
          </w:tcPr>
          <w:p w:rsidR="007F241C" w:rsidRDefault="007F241C" w:rsidP="007F241C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Een Di bericht moet beantwoord worden met een Du bericht. Als dat asynchroon moet beantwoord worden, dan is er nog steeds een Du bericht definitie</w:t>
            </w:r>
            <w:r>
              <w:rPr>
                <w:rFonts w:ascii="Calibri" w:hAnsi="Calibri" w:cs="Calibri"/>
                <w:color w:val="FF0000"/>
              </w:rPr>
              <w:t xml:space="preserve"> en </w:t>
            </w:r>
            <w:proofErr w:type="spellStart"/>
            <w:r>
              <w:rPr>
                <w:rFonts w:ascii="Calibri" w:hAnsi="Calibri" w:cs="Calibri"/>
                <w:color w:val="FF0000"/>
              </w:rPr>
              <w:t>webservice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definitie</w:t>
            </w:r>
            <w:r>
              <w:rPr>
                <w:rFonts w:ascii="Calibri" w:hAnsi="Calibri" w:cs="Calibri"/>
                <w:color w:val="FF0000"/>
              </w:rPr>
              <w:t xml:space="preserve"> nodig</w:t>
            </w:r>
            <w:r>
              <w:rPr>
                <w:rFonts w:ascii="Calibri" w:hAnsi="Calibri" w:cs="Calibri"/>
                <w:color w:val="FF0000"/>
              </w:rPr>
              <w:t xml:space="preserve"> om een functionele response te kunnen geven</w:t>
            </w:r>
            <w:r>
              <w:rPr>
                <w:rFonts w:ascii="Calibri" w:hAnsi="Calibri" w:cs="Calibri"/>
                <w:color w:val="FF0000"/>
              </w:rPr>
              <w:t>. Deze mist nu in het koppelvlak.</w:t>
            </w:r>
            <w:r>
              <w:rPr>
                <w:rFonts w:ascii="Calibri" w:hAnsi="Calibri" w:cs="Calibri"/>
                <w:color w:val="FF0000"/>
              </w:rPr>
              <w:t xml:space="preserve"> </w:t>
            </w:r>
          </w:p>
          <w:p w:rsidR="00806768" w:rsidRPr="007F241C" w:rsidRDefault="00806768" w:rsidP="00AD6F09"/>
        </w:tc>
        <w:tc>
          <w:tcPr>
            <w:tcW w:w="6805" w:type="dxa"/>
          </w:tcPr>
          <w:p w:rsidR="00806768" w:rsidRPr="007F241C" w:rsidRDefault="007F241C" w:rsidP="00AD6F09">
            <w:r>
              <w:t>Voeg Du definitie toe in beschrijving en WSDL/XSD.</w:t>
            </w:r>
          </w:p>
        </w:tc>
        <w:tc>
          <w:tcPr>
            <w:tcW w:w="1984" w:type="dxa"/>
          </w:tcPr>
          <w:p w:rsidR="00806768" w:rsidRPr="007F241C" w:rsidRDefault="007F241C" w:rsidP="00AD6F09">
            <w:r>
              <w:t>E07</w:t>
            </w:r>
          </w:p>
        </w:tc>
      </w:tr>
      <w:tr w:rsidR="00806768" w:rsidTr="00465F17">
        <w:trPr>
          <w:trHeight w:val="822"/>
        </w:trPr>
        <w:tc>
          <w:tcPr>
            <w:tcW w:w="817" w:type="dxa"/>
          </w:tcPr>
          <w:p w:rsidR="007F241C" w:rsidRDefault="007F241C" w:rsidP="007F241C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Bijlage A</w:t>
            </w:r>
          </w:p>
          <w:p w:rsidR="00806768" w:rsidRPr="007F241C" w:rsidRDefault="00806768" w:rsidP="00AD6F09"/>
        </w:tc>
        <w:tc>
          <w:tcPr>
            <w:tcW w:w="5386" w:type="dxa"/>
          </w:tcPr>
          <w:p w:rsidR="007F241C" w:rsidRDefault="007F241C" w:rsidP="007F241C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Objecttype VORDERING heeft hier als </w:t>
            </w:r>
            <w:proofErr w:type="spellStart"/>
            <w:r>
              <w:rPr>
                <w:rFonts w:ascii="Calibri" w:hAnsi="Calibri" w:cs="Calibri"/>
                <w:color w:val="FF0000"/>
              </w:rPr>
              <w:t>Mnemonic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VOR, terwijl deze overal in het document VRD gebruikt wordt. Dit zou in bijlage A dus ook VRD moeten zijn.</w:t>
            </w:r>
          </w:p>
          <w:p w:rsidR="00806768" w:rsidRPr="007F241C" w:rsidRDefault="00806768" w:rsidP="00AD6F09"/>
        </w:tc>
        <w:tc>
          <w:tcPr>
            <w:tcW w:w="6805" w:type="dxa"/>
          </w:tcPr>
          <w:p w:rsidR="00806768" w:rsidRPr="007F241C" w:rsidRDefault="007F241C" w:rsidP="00AD6F09">
            <w:r>
              <w:t>Gebruik VRD i.p.v. VOR.</w:t>
            </w:r>
          </w:p>
        </w:tc>
        <w:tc>
          <w:tcPr>
            <w:tcW w:w="1984" w:type="dxa"/>
          </w:tcPr>
          <w:p w:rsidR="00806768" w:rsidRPr="007F241C" w:rsidRDefault="007F241C" w:rsidP="00AD6F09">
            <w:r>
              <w:t>E07</w:t>
            </w:r>
          </w:p>
        </w:tc>
      </w:tr>
      <w:tr w:rsidR="00465F17" w:rsidTr="00465F17">
        <w:trPr>
          <w:trHeight w:val="822"/>
        </w:trPr>
        <w:tc>
          <w:tcPr>
            <w:tcW w:w="817" w:type="dxa"/>
          </w:tcPr>
          <w:p w:rsidR="007F241C" w:rsidRDefault="007F241C" w:rsidP="007F241C">
            <w:pPr>
              <w:rPr>
                <w:rFonts w:ascii="Calibri" w:hAnsi="Calibri" w:cs="Calibri"/>
                <w:color w:val="FF0000"/>
              </w:rPr>
            </w:pPr>
            <w:proofErr w:type="spellStart"/>
            <w:r>
              <w:rPr>
                <w:rFonts w:ascii="Calibri" w:hAnsi="Calibri" w:cs="Calibri"/>
                <w:color w:val="FF0000"/>
              </w:rPr>
              <w:lastRenderedPageBreak/>
              <w:t>Fig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15</w:t>
            </w:r>
          </w:p>
          <w:p w:rsidR="00465F17" w:rsidRPr="007F241C" w:rsidRDefault="00465F17" w:rsidP="00AD6F09"/>
        </w:tc>
        <w:tc>
          <w:tcPr>
            <w:tcW w:w="5386" w:type="dxa"/>
          </w:tcPr>
          <w:p w:rsidR="007F241C" w:rsidRDefault="007F241C" w:rsidP="007F241C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Conform bovenstaande constatering zou de relatie dus ook VRDNNPVRD moeten zijn, en niet VRDNNPVOR</w:t>
            </w:r>
          </w:p>
          <w:p w:rsidR="00465F17" w:rsidRPr="007F241C" w:rsidRDefault="00465F17" w:rsidP="00AD6F09"/>
        </w:tc>
        <w:tc>
          <w:tcPr>
            <w:tcW w:w="6805" w:type="dxa"/>
          </w:tcPr>
          <w:p w:rsidR="00465F17" w:rsidRPr="007F241C" w:rsidRDefault="007F241C" w:rsidP="00AD6F09">
            <w:r>
              <w:t>Gebruik VRDNNPVRD, i.p.v. VRDNNPVOR.</w:t>
            </w:r>
          </w:p>
        </w:tc>
        <w:tc>
          <w:tcPr>
            <w:tcW w:w="1984" w:type="dxa"/>
          </w:tcPr>
          <w:p w:rsidR="00465F17" w:rsidRPr="007F241C" w:rsidRDefault="007F241C" w:rsidP="00AD6F09">
            <w:r>
              <w:t>E07</w:t>
            </w:r>
          </w:p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7F241C" w:rsidRDefault="00465F17" w:rsidP="00AD6F09"/>
        </w:tc>
        <w:tc>
          <w:tcPr>
            <w:tcW w:w="5386" w:type="dxa"/>
          </w:tcPr>
          <w:p w:rsidR="00465F17" w:rsidRPr="007F241C" w:rsidRDefault="00465F17" w:rsidP="00AD6F09"/>
        </w:tc>
        <w:tc>
          <w:tcPr>
            <w:tcW w:w="6805" w:type="dxa"/>
          </w:tcPr>
          <w:p w:rsidR="00465F17" w:rsidRPr="007F241C" w:rsidRDefault="00465F17" w:rsidP="00AD6F09"/>
        </w:tc>
        <w:tc>
          <w:tcPr>
            <w:tcW w:w="1984" w:type="dxa"/>
          </w:tcPr>
          <w:p w:rsidR="00465F17" w:rsidRPr="007F241C" w:rsidRDefault="00465F17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7F241C" w:rsidRDefault="00465F17" w:rsidP="00AD6F09"/>
        </w:tc>
        <w:tc>
          <w:tcPr>
            <w:tcW w:w="5386" w:type="dxa"/>
          </w:tcPr>
          <w:p w:rsidR="00465F17" w:rsidRPr="007F241C" w:rsidRDefault="00465F17" w:rsidP="00AD6F09"/>
        </w:tc>
        <w:tc>
          <w:tcPr>
            <w:tcW w:w="6805" w:type="dxa"/>
          </w:tcPr>
          <w:p w:rsidR="00465F17" w:rsidRPr="007F241C" w:rsidRDefault="00465F17" w:rsidP="00AD6F09"/>
        </w:tc>
        <w:tc>
          <w:tcPr>
            <w:tcW w:w="1984" w:type="dxa"/>
          </w:tcPr>
          <w:p w:rsidR="00465F17" w:rsidRPr="007F241C" w:rsidRDefault="00465F17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7F241C" w:rsidRDefault="00465F17" w:rsidP="00AD6F09"/>
        </w:tc>
        <w:tc>
          <w:tcPr>
            <w:tcW w:w="5386" w:type="dxa"/>
          </w:tcPr>
          <w:p w:rsidR="00465F17" w:rsidRPr="007F241C" w:rsidRDefault="00465F17" w:rsidP="00AD6F09"/>
        </w:tc>
        <w:tc>
          <w:tcPr>
            <w:tcW w:w="6805" w:type="dxa"/>
          </w:tcPr>
          <w:p w:rsidR="00465F17" w:rsidRPr="007F241C" w:rsidRDefault="00465F17" w:rsidP="00AD6F09"/>
        </w:tc>
        <w:tc>
          <w:tcPr>
            <w:tcW w:w="1984" w:type="dxa"/>
          </w:tcPr>
          <w:p w:rsidR="00465F17" w:rsidRPr="007F241C" w:rsidRDefault="00465F17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7F241C" w:rsidRDefault="00465F17" w:rsidP="00AD6F09"/>
        </w:tc>
        <w:tc>
          <w:tcPr>
            <w:tcW w:w="5386" w:type="dxa"/>
          </w:tcPr>
          <w:p w:rsidR="00465F17" w:rsidRPr="007F241C" w:rsidRDefault="00465F17" w:rsidP="00AD6F09"/>
        </w:tc>
        <w:tc>
          <w:tcPr>
            <w:tcW w:w="6805" w:type="dxa"/>
          </w:tcPr>
          <w:p w:rsidR="00465F17" w:rsidRPr="007F241C" w:rsidRDefault="00465F17" w:rsidP="00AD6F09"/>
        </w:tc>
        <w:tc>
          <w:tcPr>
            <w:tcW w:w="1984" w:type="dxa"/>
          </w:tcPr>
          <w:p w:rsidR="00465F17" w:rsidRPr="007F241C" w:rsidRDefault="00465F17" w:rsidP="00AD6F09"/>
        </w:tc>
      </w:tr>
      <w:tr w:rsidR="00465F17" w:rsidTr="00465F17">
        <w:trPr>
          <w:trHeight w:val="822"/>
        </w:trPr>
        <w:tc>
          <w:tcPr>
            <w:tcW w:w="817" w:type="dxa"/>
          </w:tcPr>
          <w:p w:rsidR="00465F17" w:rsidRPr="007F241C" w:rsidRDefault="00465F17" w:rsidP="00AD6F09"/>
        </w:tc>
        <w:tc>
          <w:tcPr>
            <w:tcW w:w="5386" w:type="dxa"/>
          </w:tcPr>
          <w:p w:rsidR="00465F17" w:rsidRPr="007F241C" w:rsidRDefault="00465F17" w:rsidP="00AD6F09"/>
        </w:tc>
        <w:tc>
          <w:tcPr>
            <w:tcW w:w="6805" w:type="dxa"/>
          </w:tcPr>
          <w:p w:rsidR="00465F17" w:rsidRPr="007F241C" w:rsidRDefault="00465F17" w:rsidP="00AD6F09"/>
        </w:tc>
        <w:tc>
          <w:tcPr>
            <w:tcW w:w="1984" w:type="dxa"/>
          </w:tcPr>
          <w:p w:rsidR="00465F17" w:rsidRPr="007F241C" w:rsidRDefault="00465F17" w:rsidP="00AD6F09"/>
        </w:tc>
      </w:tr>
    </w:tbl>
    <w:p w:rsidR="00AD6F09" w:rsidRPr="007F241C" w:rsidRDefault="00AD6F09" w:rsidP="00AD6F09">
      <w:pPr>
        <w:spacing w:after="0"/>
      </w:pPr>
    </w:p>
    <w:p w:rsidR="00AD6F09" w:rsidRPr="007F241C" w:rsidRDefault="00AD6F09" w:rsidP="00AD6F09">
      <w:pPr>
        <w:spacing w:after="0"/>
      </w:pPr>
    </w:p>
    <w:sectPr w:rsidR="00AD6F09" w:rsidRPr="007F241C" w:rsidSect="00ED53BB">
      <w:headerReference w:type="even" r:id="rId6"/>
      <w:headerReference w:type="default" r:id="rId7"/>
      <w:headerReference w:type="first" r:id="rId8"/>
      <w:pgSz w:w="16838" w:h="11906" w:orient="landscape"/>
      <w:pgMar w:top="0" w:right="454" w:bottom="567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E3D" w:rsidRDefault="00433E3D" w:rsidP="00ED53BB">
      <w:pPr>
        <w:spacing w:after="0" w:line="240" w:lineRule="auto"/>
      </w:pPr>
      <w:r>
        <w:separator/>
      </w:r>
    </w:p>
  </w:endnote>
  <w:endnote w:type="continuationSeparator" w:id="0">
    <w:p w:rsidR="00433E3D" w:rsidRDefault="00433E3D" w:rsidP="00ED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E3D" w:rsidRDefault="00433E3D" w:rsidP="00ED53BB">
      <w:pPr>
        <w:spacing w:after="0" w:line="240" w:lineRule="auto"/>
      </w:pPr>
      <w:r>
        <w:separator/>
      </w:r>
    </w:p>
  </w:footnote>
  <w:footnote w:type="continuationSeparator" w:id="0">
    <w:p w:rsidR="00433E3D" w:rsidRDefault="00433E3D" w:rsidP="00ED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3BB" w:rsidRDefault="00433E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1063" o:spid="_x0000_s2051" type="#_x0000_t75" style="position:absolute;margin-left:0;margin-top:0;width:742.45pt;height:167.45pt;z-index:-251657216;mso-position-horizontal:center;mso-position-horizontal-relative:margin;mso-position-vertical:center;mso-position-vertical-relative:margin" o:allowincell="f">
          <v:imagedata r:id="rId1" o:title="Logo_KING_Operatie NUP+VNG_RG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3BB" w:rsidRDefault="00433E3D" w:rsidP="00ED53BB">
    <w:pPr>
      <w:pStyle w:val="Header"/>
      <w:ind w:left="-113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1064" o:spid="_x0000_s2052" type="#_x0000_t75" style="position:absolute;left:0;text-align:left;margin-left:0;margin-top:0;width:742.45pt;height:167.45pt;z-index:-251656192;mso-position-horizontal:center;mso-position-horizontal-relative:margin;mso-position-vertical:center;mso-position-vertical-relative:margin" o:allowincell="f">
          <v:imagedata r:id="rId1" o:title="Logo_KING_Operatie NUP+VNG_RG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3BB" w:rsidRDefault="00433E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21062" o:spid="_x0000_s2050" type="#_x0000_t75" style="position:absolute;margin-left:0;margin-top:0;width:742.45pt;height:167.45pt;z-index:-251658240;mso-position-horizontal:center;mso-position-horizontal-relative:margin;mso-position-vertical:center;mso-position-vertical-relative:margin" o:allowincell="f">
          <v:imagedata r:id="rId1" o:title="Logo_KING_Operatie NUP+VNG_RG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09"/>
    <w:rsid w:val="0004017A"/>
    <w:rsid w:val="000F2592"/>
    <w:rsid w:val="00113DF8"/>
    <w:rsid w:val="00202312"/>
    <w:rsid w:val="00250DE4"/>
    <w:rsid w:val="00334050"/>
    <w:rsid w:val="00370AF6"/>
    <w:rsid w:val="003D34FD"/>
    <w:rsid w:val="0043053A"/>
    <w:rsid w:val="00433E3D"/>
    <w:rsid w:val="00450066"/>
    <w:rsid w:val="00465F17"/>
    <w:rsid w:val="004969E8"/>
    <w:rsid w:val="004E40F7"/>
    <w:rsid w:val="006D6DBD"/>
    <w:rsid w:val="007027AB"/>
    <w:rsid w:val="007C19F8"/>
    <w:rsid w:val="007F241C"/>
    <w:rsid w:val="007F2D73"/>
    <w:rsid w:val="00806768"/>
    <w:rsid w:val="00A434CD"/>
    <w:rsid w:val="00AD6F09"/>
    <w:rsid w:val="00C2528B"/>
    <w:rsid w:val="00C433D5"/>
    <w:rsid w:val="00C84203"/>
    <w:rsid w:val="00CF7573"/>
    <w:rsid w:val="00D11C5B"/>
    <w:rsid w:val="00D35C71"/>
    <w:rsid w:val="00D77F9B"/>
    <w:rsid w:val="00DE1F33"/>
    <w:rsid w:val="00E01A27"/>
    <w:rsid w:val="00EB7DB8"/>
    <w:rsid w:val="00ED53BB"/>
    <w:rsid w:val="00F13D68"/>
    <w:rsid w:val="00FB234F"/>
    <w:rsid w:val="00FB35D0"/>
    <w:rsid w:val="00F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BF42A2DA-75E4-47B0-98F9-3BD5A430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D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D6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D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3BB"/>
  </w:style>
  <w:style w:type="paragraph" w:styleId="Footer">
    <w:name w:val="footer"/>
    <w:basedOn w:val="Normal"/>
    <w:link w:val="FooterChar"/>
    <w:uiPriority w:val="99"/>
    <w:semiHidden/>
    <w:unhideWhenUsed/>
    <w:rsid w:val="00ED5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3BB"/>
  </w:style>
  <w:style w:type="paragraph" w:styleId="BalloonText">
    <w:name w:val="Balloon Text"/>
    <w:basedOn w:val="Normal"/>
    <w:link w:val="BalloonTextChar"/>
    <w:uiPriority w:val="99"/>
    <w:semiHidden/>
    <w:unhideWhenUsed/>
    <w:rsid w:val="00ED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VNG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gortm_j</dc:creator>
  <cp:lastModifiedBy>Wouter Wigman</cp:lastModifiedBy>
  <cp:revision>4</cp:revision>
  <dcterms:created xsi:type="dcterms:W3CDTF">2014-02-11T09:00:00Z</dcterms:created>
  <dcterms:modified xsi:type="dcterms:W3CDTF">2014-02-11T09:07:00Z</dcterms:modified>
</cp:coreProperties>
</file>