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747CC" w14:textId="77777777"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Phần 1 — Hai phương án</w:t>
      </w:r>
    </w:p>
    <w:p w14:paraId="2DAA08B8" w14:textId="77777777"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Cả hai phương án đều theo các bước của Sprint Retrospective: mở buổi và đặt bối cảnh; thu thập dữ liệu; tạo Insight; chọn Improvement; kết thúc buổi. Kỹ thuật được chọn là cách tổ chức các bước, không thay thế Scrum Event.</w:t>
      </w:r>
    </w:p>
    <w:tbl>
      <w:tblPr>
        <w:tblStyle w:val="LiBang"/>
        <w:tblW w:w="0" w:type="auto"/>
        <w:tblLook w:val="04A0" w:firstRow="1" w:lastRow="0" w:firstColumn="1" w:lastColumn="0" w:noHBand="0" w:noVBand="1"/>
      </w:tblPr>
      <w:tblGrid>
        <w:gridCol w:w="1885"/>
        <w:gridCol w:w="3600"/>
        <w:gridCol w:w="3531"/>
      </w:tblGrid>
      <w:tr w:rsidR="00D61003" w14:paraId="5213C422" w14:textId="77777777" w:rsidTr="00D61003">
        <w:tc>
          <w:tcPr>
            <w:tcW w:w="1885" w:type="dxa"/>
            <w:vAlign w:val="center"/>
          </w:tcPr>
          <w:p w14:paraId="08630481" w14:textId="090D9C97"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Bước</w:t>
            </w:r>
          </w:p>
        </w:tc>
        <w:tc>
          <w:tcPr>
            <w:tcW w:w="3600" w:type="dxa"/>
            <w:vAlign w:val="center"/>
          </w:tcPr>
          <w:p w14:paraId="59B07585" w14:textId="6A3D0CEB"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Phương án A — Start–Stop–Continue</w:t>
            </w:r>
          </w:p>
        </w:tc>
        <w:tc>
          <w:tcPr>
            <w:tcW w:w="3531" w:type="dxa"/>
            <w:vAlign w:val="center"/>
          </w:tcPr>
          <w:p w14:paraId="6199530B" w14:textId="432578D3"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Phương án B — 4Ls</w:t>
            </w:r>
          </w:p>
        </w:tc>
      </w:tr>
      <w:tr w:rsidR="00D61003" w14:paraId="7FE88EAF" w14:textId="77777777" w:rsidTr="00D61003">
        <w:tc>
          <w:tcPr>
            <w:tcW w:w="1885" w:type="dxa"/>
            <w:vAlign w:val="center"/>
          </w:tcPr>
          <w:p w14:paraId="5B581ED9" w14:textId="0F990E3F"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1. Mở buổi và đặt bối cảnh — 5 phút</w:t>
            </w:r>
          </w:p>
        </w:tc>
        <w:tc>
          <w:tcPr>
            <w:tcW w:w="3600" w:type="dxa"/>
            <w:vAlign w:val="center"/>
          </w:tcPr>
          <w:p w14:paraId="5EA44425" w14:textId="7DC44752"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Thu Hà nhắc mục tiêu, quy tắc an toàn: mô tả hành vi, không nêu tên; không quy lỗi. Nói rõ O-05 là phản hồi sản phẩm, sẽ chuyển cho Product Owner.</w:t>
            </w:r>
          </w:p>
        </w:tc>
        <w:tc>
          <w:tcPr>
            <w:tcW w:w="3531" w:type="dxa"/>
            <w:vAlign w:val="center"/>
          </w:tcPr>
          <w:p w14:paraId="5ED72D0F" w14:textId="6DF11D15"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Tương tự phương án A; giải thích 4Ls là Learned, Liked, Lacked, Longed for (điều học được, điều thích, điều còn thiếu, điều mong muốn).</w:t>
            </w:r>
          </w:p>
        </w:tc>
      </w:tr>
      <w:tr w:rsidR="00D61003" w14:paraId="2FBAA5DA" w14:textId="77777777" w:rsidTr="00D61003">
        <w:tc>
          <w:tcPr>
            <w:tcW w:w="1885" w:type="dxa"/>
            <w:vAlign w:val="center"/>
          </w:tcPr>
          <w:p w14:paraId="17B6C18B" w14:textId="55F5980D"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2. Thu thập dữ liệu — 10 phút</w:t>
            </w:r>
          </w:p>
        </w:tc>
        <w:tc>
          <w:tcPr>
            <w:tcW w:w="3600" w:type="dxa"/>
            <w:vAlign w:val="center"/>
          </w:tcPr>
          <w:p w14:paraId="592BAF9C" w14:textId="49D71A71"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Mỗi người viết riêng, ẩn danh, một ý mỗi thẻ theo Start, Stop hoặc Continue. Không yêu cầu công khai ý nhạy cảm; người chỉ dự 45 phút có cơ hội viết và chia sẻ trước khi rời.</w:t>
            </w:r>
          </w:p>
        </w:tc>
        <w:tc>
          <w:tcPr>
            <w:tcW w:w="3531" w:type="dxa"/>
            <w:vAlign w:val="center"/>
          </w:tcPr>
          <w:p w14:paraId="7BFCE3C3" w14:textId="5C1E3438"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Mỗi người viết riêng, ẩn danh, một ý mỗi thẻ theo 4Ls. Dành khoảng trống rõ ràng cho điều học được và trải nghiệm; người chỉ dự 45 phút viết và chia sẻ trước khi rời.</w:t>
            </w:r>
          </w:p>
        </w:tc>
      </w:tr>
      <w:tr w:rsidR="00D61003" w14:paraId="414C5AB3" w14:textId="77777777" w:rsidTr="00D61003">
        <w:tc>
          <w:tcPr>
            <w:tcW w:w="1885" w:type="dxa"/>
            <w:vAlign w:val="center"/>
          </w:tcPr>
          <w:p w14:paraId="26797955" w14:textId="0DC63A03"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3. Tạo Insight — 20 phút</w:t>
            </w:r>
          </w:p>
        </w:tc>
        <w:tc>
          <w:tcPr>
            <w:tcW w:w="3600" w:type="dxa"/>
            <w:vAlign w:val="center"/>
          </w:tcPr>
          <w:p w14:paraId="1D308341" w14:textId="08AC4DA0"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Thu Hà gom các thẻ gần nhau thành Theme; nhóm đọc, làm rõ bằng dữ liệu O-01 đến O-04 rồi thảo luận nguyên nhân và điều học được.</w:t>
            </w:r>
          </w:p>
        </w:tc>
        <w:tc>
          <w:tcPr>
            <w:tcW w:w="3531" w:type="dxa"/>
            <w:vAlign w:val="center"/>
          </w:tcPr>
          <w:p w14:paraId="69281221" w14:textId="552AA002"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Thu Hà gom các thẻ trong và giữa bốn nhóm thành Theme; nhóm đọc, làm rõ bằng dữ liệu O-01 đến O-04 rồi thảo luận nguyên nhân và điều học được.</w:t>
            </w:r>
          </w:p>
        </w:tc>
      </w:tr>
      <w:tr w:rsidR="00D61003" w14:paraId="59855BC2" w14:textId="77777777" w:rsidTr="00D61003">
        <w:tc>
          <w:tcPr>
            <w:tcW w:w="1885" w:type="dxa"/>
            <w:vAlign w:val="center"/>
          </w:tcPr>
          <w:p w14:paraId="29404F48" w14:textId="5F493EFF"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4. Chọn Improvement — 20 phút</w:t>
            </w:r>
          </w:p>
        </w:tc>
        <w:tc>
          <w:tcPr>
            <w:tcW w:w="3600" w:type="dxa"/>
            <w:vAlign w:val="center"/>
          </w:tcPr>
          <w:p w14:paraId="232E5739" w14:textId="1802A76A"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Nhóm chọn tối đa hai hành động từ các Theme, ưu tiên hành động cụ thể có người theo dõi, thời điểm kiểm tra và bằng chứng.</w:t>
            </w:r>
          </w:p>
        </w:tc>
        <w:tc>
          <w:tcPr>
            <w:tcW w:w="3531" w:type="dxa"/>
            <w:vAlign w:val="center"/>
          </w:tcPr>
          <w:p w14:paraId="43D4E5EC" w14:textId="38DD3AC4"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Nhóm chọn tối đa hai hành động từ Insight của các Theme, gắn người theo dõi, thời điểm kiểm tra và bằng chứng.</w:t>
            </w:r>
          </w:p>
        </w:tc>
      </w:tr>
      <w:tr w:rsidR="00D61003" w14:paraId="19C7B75B" w14:textId="77777777" w:rsidTr="00D61003">
        <w:tc>
          <w:tcPr>
            <w:tcW w:w="1885" w:type="dxa"/>
            <w:vAlign w:val="center"/>
          </w:tcPr>
          <w:p w14:paraId="6C1E1730" w14:textId="1A243FF5"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5. Kết thúc — 5 phút</w:t>
            </w:r>
          </w:p>
        </w:tc>
        <w:tc>
          <w:tcPr>
            <w:tcW w:w="3600" w:type="dxa"/>
            <w:vAlign w:val="center"/>
          </w:tcPr>
          <w:p w14:paraId="596C73FD" w14:textId="7BB649CE"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Đọc lại hành động đã thống nhất; xác nhận cách theo dõi. Thu Hà hỏi nhanh điều gì giúp buổi họp an toàn và hữu ích hơn.</w:t>
            </w:r>
          </w:p>
        </w:tc>
        <w:tc>
          <w:tcPr>
            <w:tcW w:w="3531" w:type="dxa"/>
            <w:vAlign w:val="center"/>
          </w:tcPr>
          <w:p w14:paraId="30AA8BF3" w14:textId="1B3A5FB2"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Tương tự phương án A; đọc lại Insight và hành động để không bỏ mất điều học được khi chốt việc.</w:t>
            </w:r>
          </w:p>
        </w:tc>
      </w:tr>
    </w:tbl>
    <w:p w14:paraId="7A054520" w14:textId="77777777"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Phần 2 — So sánh</w:t>
      </w:r>
    </w:p>
    <w:tbl>
      <w:tblPr>
        <w:tblStyle w:val="LiBang"/>
        <w:tblW w:w="0" w:type="auto"/>
        <w:tblLook w:val="04A0" w:firstRow="1" w:lastRow="0" w:firstColumn="1" w:lastColumn="0" w:noHBand="0" w:noVBand="1"/>
      </w:tblPr>
      <w:tblGrid>
        <w:gridCol w:w="1525"/>
        <w:gridCol w:w="2700"/>
        <w:gridCol w:w="2340"/>
        <w:gridCol w:w="2451"/>
      </w:tblGrid>
      <w:tr w:rsidR="00D61003" w14:paraId="437F0C9F" w14:textId="77777777" w:rsidTr="00D61003">
        <w:tc>
          <w:tcPr>
            <w:tcW w:w="1525" w:type="dxa"/>
            <w:vAlign w:val="center"/>
          </w:tcPr>
          <w:p w14:paraId="509CE728" w14:textId="3553AC47"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Tiêu chí</w:t>
            </w:r>
          </w:p>
        </w:tc>
        <w:tc>
          <w:tcPr>
            <w:tcW w:w="2700" w:type="dxa"/>
            <w:vAlign w:val="center"/>
          </w:tcPr>
          <w:p w14:paraId="2E5CD820" w14:textId="6604F25D"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Start–Stop–Continue</w:t>
            </w:r>
          </w:p>
        </w:tc>
        <w:tc>
          <w:tcPr>
            <w:tcW w:w="2340" w:type="dxa"/>
            <w:vAlign w:val="center"/>
          </w:tcPr>
          <w:p w14:paraId="3ADC215C" w14:textId="66D2BA11"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4Ls</w:t>
            </w:r>
          </w:p>
        </w:tc>
        <w:tc>
          <w:tcPr>
            <w:tcW w:w="2451" w:type="dxa"/>
            <w:vAlign w:val="center"/>
          </w:tcPr>
          <w:p w14:paraId="29F8A92E" w14:textId="3D3907AD"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Dữ liệu làm căn cứ</w:t>
            </w:r>
          </w:p>
        </w:tc>
      </w:tr>
      <w:tr w:rsidR="00D61003" w14:paraId="130BDB36" w14:textId="77777777" w:rsidTr="00D61003">
        <w:tc>
          <w:tcPr>
            <w:tcW w:w="1525" w:type="dxa"/>
            <w:vAlign w:val="center"/>
          </w:tcPr>
          <w:p w14:paraId="7C141177" w14:textId="4FE84818"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Tìm nguyên nhân và điều học được</w:t>
            </w:r>
          </w:p>
        </w:tc>
        <w:tc>
          <w:tcPr>
            <w:tcW w:w="2700" w:type="dxa"/>
            <w:vAlign w:val="center"/>
          </w:tcPr>
          <w:p w14:paraId="28EEFD0A" w14:textId="1D22AF2A"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Nhanh làm lộ điều nên bắt đầu, dừng hoặc tiếp tục; có thể cần câu hỏi bổ sung để đi từ đề xuất hành động tới nguyên nhân và bài học.</w:t>
            </w:r>
          </w:p>
        </w:tc>
        <w:tc>
          <w:tcPr>
            <w:tcW w:w="2340" w:type="dxa"/>
            <w:vAlign w:val="center"/>
          </w:tcPr>
          <w:p w14:paraId="736E3761" w14:textId="56A6AE0E"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Có chỗ riêng cho điều học được và trải nghiệm, thuận lợi để tìm hiểu vì sao vấn đề xảy ra.</w:t>
            </w:r>
          </w:p>
        </w:tc>
        <w:tc>
          <w:tcPr>
            <w:tcW w:w="2451" w:type="dxa"/>
            <w:vAlign w:val="center"/>
          </w:tcPr>
          <w:p w14:paraId="664F80C4" w14:textId="53703A15"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Thành viên mới không dám hỏi về từ “nghiêm trọng” (O-04); các Improvement cũ chưa có kết quả (khảo sát 2,1/5).</w:t>
            </w:r>
          </w:p>
        </w:tc>
      </w:tr>
      <w:tr w:rsidR="00D61003" w14:paraId="21BB8587" w14:textId="77777777" w:rsidTr="00D61003">
        <w:tc>
          <w:tcPr>
            <w:tcW w:w="1525" w:type="dxa"/>
            <w:vAlign w:val="center"/>
          </w:tcPr>
          <w:p w14:paraId="48E571B2" w14:textId="13712028"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Chuyển thành hành động</w:t>
            </w:r>
          </w:p>
        </w:tc>
        <w:tc>
          <w:tcPr>
            <w:tcW w:w="2700" w:type="dxa"/>
            <w:vAlign w:val="center"/>
          </w:tcPr>
          <w:p w14:paraId="254793A8" w14:textId="75EB60EA"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Trực tiếp gợi ý hành động qua Start/Stop, phù hợp mong muốn tập trung vào hành động của 5/7 người.</w:t>
            </w:r>
          </w:p>
        </w:tc>
        <w:tc>
          <w:tcPr>
            <w:tcW w:w="2340" w:type="dxa"/>
            <w:vAlign w:val="center"/>
          </w:tcPr>
          <w:p w14:paraId="45F84D47" w14:textId="61F1EEA9"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Hành động thường cần thêm bước chuyển từ điều học được hoặc điều còn thiếu; có nguy cơ tốn thời gian hơn.</w:t>
            </w:r>
          </w:p>
        </w:tc>
        <w:tc>
          <w:tcPr>
            <w:tcW w:w="2451" w:type="dxa"/>
            <w:vAlign w:val="center"/>
          </w:tcPr>
          <w:p w14:paraId="61B96DF0" w14:textId="195DBAC4"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5/7 người muốn buổi họp tập trung vào hành động; Improvement cũ chưa được kiểm tra.</w:t>
            </w:r>
          </w:p>
        </w:tc>
      </w:tr>
      <w:tr w:rsidR="00D61003" w14:paraId="5C162C26" w14:textId="77777777" w:rsidTr="00D61003">
        <w:tc>
          <w:tcPr>
            <w:tcW w:w="1525" w:type="dxa"/>
            <w:vAlign w:val="center"/>
          </w:tcPr>
          <w:p w14:paraId="31FE50C1" w14:textId="3BD29DDC"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Phù hợp thời lượng và thành viên mới</w:t>
            </w:r>
          </w:p>
        </w:tc>
        <w:tc>
          <w:tcPr>
            <w:tcW w:w="2700" w:type="dxa"/>
            <w:vAlign w:val="center"/>
          </w:tcPr>
          <w:p w14:paraId="046CC53F" w14:textId="19FEE4A7"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Dễ hiểu và gọn trong 60 phút, nhưng nếu đi nhanh tới hành động có thể ít chỗ cho trải nghiệm của thành viên mới.</w:t>
            </w:r>
          </w:p>
        </w:tc>
        <w:tc>
          <w:tcPr>
            <w:tcW w:w="2340" w:type="dxa"/>
            <w:vAlign w:val="center"/>
          </w:tcPr>
          <w:p w14:paraId="5BD7C027" w14:textId="6296AB70"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Cho thành viên mới một cấu trúc để nói điều học được; cần quản lý thời gian chặt để vẫn chốt được hành động.</w:t>
            </w:r>
          </w:p>
        </w:tc>
        <w:tc>
          <w:tcPr>
            <w:tcW w:w="2451" w:type="dxa"/>
            <w:vAlign w:val="center"/>
          </w:tcPr>
          <w:p w14:paraId="7EF36FD5" w14:textId="493BE08C"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Hai người muốn có thời gian nói về trải nghiệm và điều học được; một người rời sau 45 phút; hai người ít phát biểu.</w:t>
            </w:r>
          </w:p>
        </w:tc>
      </w:tr>
    </w:tbl>
    <w:p w14:paraId="7E1AC371" w14:textId="77777777"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Phần 3 — Chọn và làm thử</w:t>
      </w:r>
    </w:p>
    <w:p w14:paraId="63C8B578" w14:textId="77777777"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 xml:space="preserve">Chọn phương án B — 4Ls. Dữ liệu cho thấy hai thành viên muốn nói về trải nghiệm và điều học được, thành viên mới chưa dám hỏi về một khái niệm quan trọng, và mức an toàn khi nói thẳng chỉ </w:t>
      </w:r>
      <w:r w:rsidRPr="00D61003">
        <w:rPr>
          <w:rFonts w:asciiTheme="majorHAnsi" w:hAnsiTheme="majorHAnsi" w:cstheme="majorHAnsi"/>
          <w:sz w:val="22"/>
          <w:szCs w:val="22"/>
        </w:rPr>
        <w:lastRenderedPageBreak/>
        <w:t>đạt 2,8/5. Đánh đổi là 4Ls có thể mất nhiều thời gian hơn để chuyển Insight thành hành động; Thu Hà cần giữ đúng khung thời gian và dành 20 phút cuối cho việc chọn Improvement.</w:t>
      </w:r>
    </w:p>
    <w:p w14:paraId="25E69A55" w14:textId="77777777"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Ba thẻ mẫu</w:t>
      </w:r>
    </w:p>
    <w:p w14:paraId="1ABB6B46" w14:textId="77777777" w:rsidR="00D61003" w:rsidRPr="00D61003" w:rsidRDefault="00D61003" w:rsidP="00D61003">
      <w:pPr>
        <w:numPr>
          <w:ilvl w:val="0"/>
          <w:numId w:val="3"/>
        </w:numPr>
        <w:rPr>
          <w:rFonts w:asciiTheme="majorHAnsi" w:hAnsiTheme="majorHAnsi" w:cstheme="majorHAnsi"/>
          <w:sz w:val="22"/>
          <w:szCs w:val="22"/>
        </w:rPr>
      </w:pPr>
      <w:r w:rsidRPr="00D61003">
        <w:rPr>
          <w:rFonts w:asciiTheme="majorHAnsi" w:hAnsiTheme="majorHAnsi" w:cstheme="majorHAnsi"/>
          <w:sz w:val="22"/>
          <w:szCs w:val="22"/>
        </w:rPr>
        <w:t>Learned: “Một thuật ngữ chuyển khiếu nại chưa được mọi người hiểu giống nhau.”</w:t>
      </w:r>
    </w:p>
    <w:p w14:paraId="230F1F58" w14:textId="77777777" w:rsidR="00D61003" w:rsidRPr="00D61003" w:rsidRDefault="00D61003" w:rsidP="00D61003">
      <w:pPr>
        <w:numPr>
          <w:ilvl w:val="0"/>
          <w:numId w:val="3"/>
        </w:numPr>
        <w:rPr>
          <w:rFonts w:asciiTheme="majorHAnsi" w:hAnsiTheme="majorHAnsi" w:cstheme="majorHAnsi"/>
          <w:sz w:val="22"/>
          <w:szCs w:val="22"/>
        </w:rPr>
      </w:pPr>
      <w:r w:rsidRPr="00D61003">
        <w:rPr>
          <w:rFonts w:asciiTheme="majorHAnsi" w:hAnsiTheme="majorHAnsi" w:cstheme="majorHAnsi"/>
          <w:sz w:val="22"/>
          <w:szCs w:val="22"/>
        </w:rPr>
        <w:t>Lacked: “Quy tắc chuyển người thay đổi nhưng chỉ được gửi qua tin nhắn riêng.”</w:t>
      </w:r>
    </w:p>
    <w:p w14:paraId="16322E51" w14:textId="77777777" w:rsidR="00D61003" w:rsidRPr="00D61003" w:rsidRDefault="00D61003" w:rsidP="00D61003">
      <w:pPr>
        <w:numPr>
          <w:ilvl w:val="0"/>
          <w:numId w:val="3"/>
        </w:numPr>
        <w:rPr>
          <w:rFonts w:asciiTheme="majorHAnsi" w:hAnsiTheme="majorHAnsi" w:cstheme="majorHAnsi"/>
          <w:sz w:val="22"/>
          <w:szCs w:val="22"/>
        </w:rPr>
      </w:pPr>
      <w:r w:rsidRPr="00D61003">
        <w:rPr>
          <w:rFonts w:asciiTheme="majorHAnsi" w:hAnsiTheme="majorHAnsi" w:cstheme="majorHAnsi"/>
          <w:sz w:val="22"/>
          <w:szCs w:val="22"/>
        </w:rPr>
        <w:t>Longed for: “Có một nơi chung để xem quy tắc chuyển người hiện hành.”</w:t>
      </w:r>
    </w:p>
    <w:p w14:paraId="1E278782" w14:textId="77777777"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Theme</w:t>
      </w:r>
    </w:p>
    <w:p w14:paraId="6D8654E6" w14:textId="77777777"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Quy tắc chuyển khiếu nại chưa được chia sẻ và xác minh theo cách mọi người cùng hiểu.</w:t>
      </w:r>
    </w:p>
    <w:p w14:paraId="5573F11E" w14:textId="77777777"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Theme này phù hợp với O-02 và O-04. Nhóm cần thảo luận để xác nhận Insight; các thẻ mẫu chưa tự kết luận nguyên nhân thay cho Scrum Team.</w:t>
      </w:r>
    </w:p>
    <w:p w14:paraId="5BF5E596" w14:textId="77777777"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Improvement</w:t>
      </w:r>
    </w:p>
    <w:tbl>
      <w:tblPr>
        <w:tblStyle w:val="LiBang"/>
        <w:tblW w:w="0" w:type="auto"/>
        <w:tblLook w:val="04A0" w:firstRow="1" w:lastRow="0" w:firstColumn="1" w:lastColumn="0" w:noHBand="0" w:noVBand="1"/>
      </w:tblPr>
      <w:tblGrid>
        <w:gridCol w:w="2515"/>
        <w:gridCol w:w="1993"/>
        <w:gridCol w:w="2254"/>
        <w:gridCol w:w="2254"/>
      </w:tblGrid>
      <w:tr w:rsidR="00D61003" w14:paraId="54B169BD" w14:textId="77777777" w:rsidTr="00D61003">
        <w:tc>
          <w:tcPr>
            <w:tcW w:w="2515" w:type="dxa"/>
            <w:vAlign w:val="center"/>
          </w:tcPr>
          <w:p w14:paraId="5DA0A2EF" w14:textId="4A4B3762"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Hành động</w:t>
            </w:r>
          </w:p>
        </w:tc>
        <w:tc>
          <w:tcPr>
            <w:tcW w:w="1993" w:type="dxa"/>
            <w:vAlign w:val="center"/>
          </w:tcPr>
          <w:p w14:paraId="769798F7" w14:textId="4298893C"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Người/nhóm theo dõi</w:t>
            </w:r>
          </w:p>
        </w:tc>
        <w:tc>
          <w:tcPr>
            <w:tcW w:w="2254" w:type="dxa"/>
            <w:vAlign w:val="center"/>
          </w:tcPr>
          <w:p w14:paraId="30D43C62" w14:textId="70D5AC71"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Khi kiểm tra</w:t>
            </w:r>
          </w:p>
        </w:tc>
        <w:tc>
          <w:tcPr>
            <w:tcW w:w="2254" w:type="dxa"/>
            <w:vAlign w:val="center"/>
          </w:tcPr>
          <w:p w14:paraId="591D50CB" w14:textId="50456F99"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Bằng chứng</w:t>
            </w:r>
          </w:p>
        </w:tc>
      </w:tr>
      <w:tr w:rsidR="00D61003" w14:paraId="55CAA6B4" w14:textId="77777777" w:rsidTr="00D61003">
        <w:tc>
          <w:tcPr>
            <w:tcW w:w="2515" w:type="dxa"/>
            <w:vAlign w:val="center"/>
          </w:tcPr>
          <w:p w14:paraId="35326A60" w14:textId="12D726DD"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Tạo và thử một bản quy tắc chuyển khiếu nại chung, có ví dụ về trường hợp “nghiêm trọng”; mời thành viên kiểm tra diễn giải bằng một ca mẫu trước khi áp dụng.</w:t>
            </w:r>
          </w:p>
        </w:tc>
        <w:tc>
          <w:tcPr>
            <w:tcW w:w="1993" w:type="dxa"/>
            <w:vAlign w:val="center"/>
          </w:tcPr>
          <w:p w14:paraId="6A27C23C" w14:textId="62FA9D70"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Developers và CSKH cùng theo dõi; Scrum Master hỗ trợ điều phối.</w:t>
            </w:r>
          </w:p>
        </w:tc>
        <w:tc>
          <w:tcPr>
            <w:tcW w:w="2254" w:type="dxa"/>
            <w:vAlign w:val="center"/>
          </w:tcPr>
          <w:p w14:paraId="12535E14" w14:textId="4376B185"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Kiểm tra trong Sprint 14 trước khi dùng quy tắc với ca thực tế; xem lại tại Retrospective Sprint 14.</w:t>
            </w:r>
          </w:p>
        </w:tc>
        <w:tc>
          <w:tcPr>
            <w:tcW w:w="2254" w:type="dxa"/>
            <w:vAlign w:val="center"/>
          </w:tcPr>
          <w:p w14:paraId="234CD66C" w14:textId="3B85215F" w:rsid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Có bản quy tắc tại nơi chung; kết quả các thành viên diễn giải ca mẫu; ghi nhận điểm còn hiểu khác nhau và cách xử lý.</w:t>
            </w:r>
          </w:p>
        </w:tc>
      </w:tr>
    </w:tbl>
    <w:p w14:paraId="5CD15AA2" w14:textId="77777777" w:rsidR="00D61003" w:rsidRDefault="00D61003" w:rsidP="00D61003">
      <w:pPr>
        <w:rPr>
          <w:rFonts w:asciiTheme="majorHAnsi" w:hAnsiTheme="majorHAnsi" w:cstheme="majorHAnsi"/>
          <w:sz w:val="22"/>
          <w:szCs w:val="22"/>
          <w:lang w:val="en-US"/>
        </w:rPr>
      </w:pPr>
    </w:p>
    <w:p w14:paraId="7BC62C63" w14:textId="712613C5" w:rsidR="00D61003" w:rsidRPr="00D61003" w:rsidRDefault="00D61003" w:rsidP="00D61003">
      <w:pPr>
        <w:rPr>
          <w:rFonts w:asciiTheme="majorHAnsi" w:hAnsiTheme="majorHAnsi" w:cstheme="majorHAnsi"/>
          <w:sz w:val="22"/>
          <w:szCs w:val="22"/>
        </w:rPr>
      </w:pPr>
      <w:r w:rsidRPr="00D61003">
        <w:rPr>
          <w:rFonts w:asciiTheme="majorHAnsi" w:hAnsiTheme="majorHAnsi" w:cstheme="majorHAnsi"/>
          <w:sz w:val="22"/>
          <w:szCs w:val="22"/>
        </w:rPr>
        <w:t>O-05 là phản hồi về sản phẩm: chủ cửa hàng hài lòng với nút báo câu trả lời sai, còn CSKH lo ca khiếu nại bị chuyển muộn. Thu Hà chuyển phản hồi này cho Product Owner để làm rõ và xem xét Product Backlog; O-05 không được dùng như dữ liệu về cách Scrum Team làm việc trong Retrospective.</w:t>
      </w:r>
    </w:p>
    <w:p w14:paraId="4565DF07" w14:textId="77777777" w:rsidR="00D61003" w:rsidRPr="00D61003" w:rsidRDefault="00D61003" w:rsidP="00D61003">
      <w:pPr>
        <w:rPr>
          <w:rFonts w:asciiTheme="majorHAnsi" w:hAnsiTheme="majorHAnsi" w:cstheme="majorHAnsi"/>
          <w:sz w:val="22"/>
          <w:szCs w:val="22"/>
        </w:rPr>
      </w:pPr>
    </w:p>
    <w:sectPr w:rsidR="00D61003" w:rsidRPr="00D6100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10171"/>
    <w:multiLevelType w:val="multilevel"/>
    <w:tmpl w:val="05DA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20FE8"/>
    <w:multiLevelType w:val="multilevel"/>
    <w:tmpl w:val="B674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F16DA5"/>
    <w:multiLevelType w:val="multilevel"/>
    <w:tmpl w:val="CDCC7F1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324106">
    <w:abstractNumId w:val="1"/>
  </w:num>
  <w:num w:numId="2" w16cid:durableId="700277562">
    <w:abstractNumId w:val="0"/>
  </w:num>
  <w:num w:numId="3" w16cid:durableId="590239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03"/>
    <w:rsid w:val="002929B3"/>
    <w:rsid w:val="00D610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7E774"/>
  <w15:chartTrackingRefBased/>
  <w15:docId w15:val="{A364B83E-9E7A-484B-8D8C-A46F16663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61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61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6100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6100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6100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6100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6100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6100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6100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6100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6100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6100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6100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6100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6100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6100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6100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61003"/>
    <w:rPr>
      <w:rFonts w:eastAsiaTheme="majorEastAsia" w:cstheme="majorBidi"/>
      <w:color w:val="272727" w:themeColor="text1" w:themeTint="D8"/>
    </w:rPr>
  </w:style>
  <w:style w:type="paragraph" w:styleId="Tiu">
    <w:name w:val="Title"/>
    <w:basedOn w:val="Binhthng"/>
    <w:next w:val="Binhthng"/>
    <w:link w:val="TiuChar"/>
    <w:uiPriority w:val="10"/>
    <w:qFormat/>
    <w:rsid w:val="00D61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6100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6100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6100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6100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61003"/>
    <w:rPr>
      <w:i/>
      <w:iCs/>
      <w:color w:val="404040" w:themeColor="text1" w:themeTint="BF"/>
    </w:rPr>
  </w:style>
  <w:style w:type="paragraph" w:styleId="oancuaDanhsach">
    <w:name w:val="List Paragraph"/>
    <w:basedOn w:val="Binhthng"/>
    <w:uiPriority w:val="34"/>
    <w:qFormat/>
    <w:rsid w:val="00D61003"/>
    <w:pPr>
      <w:ind w:left="720"/>
      <w:contextualSpacing/>
    </w:pPr>
  </w:style>
  <w:style w:type="character" w:styleId="NhnmnhThm">
    <w:name w:val="Intense Emphasis"/>
    <w:basedOn w:val="Phngmcinhcuaoanvn"/>
    <w:uiPriority w:val="21"/>
    <w:qFormat/>
    <w:rsid w:val="00D61003"/>
    <w:rPr>
      <w:i/>
      <w:iCs/>
      <w:color w:val="0F4761" w:themeColor="accent1" w:themeShade="BF"/>
    </w:rPr>
  </w:style>
  <w:style w:type="paragraph" w:styleId="Nhaykepm">
    <w:name w:val="Intense Quote"/>
    <w:basedOn w:val="Binhthng"/>
    <w:next w:val="Binhthng"/>
    <w:link w:val="NhaykepmChar"/>
    <w:uiPriority w:val="30"/>
    <w:qFormat/>
    <w:rsid w:val="00D61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61003"/>
    <w:rPr>
      <w:i/>
      <w:iCs/>
      <w:color w:val="0F4761" w:themeColor="accent1" w:themeShade="BF"/>
    </w:rPr>
  </w:style>
  <w:style w:type="character" w:styleId="ThamchiuNhnmnh">
    <w:name w:val="Intense Reference"/>
    <w:basedOn w:val="Phngmcinhcuaoanvn"/>
    <w:uiPriority w:val="32"/>
    <w:qFormat/>
    <w:rsid w:val="00D61003"/>
    <w:rPr>
      <w:b/>
      <w:bCs/>
      <w:smallCaps/>
      <w:color w:val="0F4761" w:themeColor="accent1" w:themeShade="BF"/>
      <w:spacing w:val="5"/>
    </w:rPr>
  </w:style>
  <w:style w:type="table" w:styleId="LiBang">
    <w:name w:val="Table Grid"/>
    <w:basedOn w:val="BangThngthng"/>
    <w:uiPriority w:val="39"/>
    <w:rsid w:val="00D61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2026-10-26T20:13:00Z</dcterms:created>
  <dcterms:modified xsi:type="dcterms:W3CDTF">2026-10-26T20:22:00Z</dcterms:modified>
</cp:coreProperties>
</file>