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325"/>
        <w:gridCol w:w="5691"/>
      </w:tblGrid>
      <w:tr w:rsidR="00B3796C" w14:paraId="49D502B7" w14:textId="77777777" w:rsidTr="00B3796C">
        <w:tc>
          <w:tcPr>
            <w:tcW w:w="3325" w:type="dxa"/>
            <w:vAlign w:val="center"/>
          </w:tcPr>
          <w:p w14:paraId="7E21F292" w14:textId="171F99E6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Bước trong Use Case</w:t>
            </w:r>
          </w:p>
        </w:tc>
        <w:tc>
          <w:tcPr>
            <w:tcW w:w="5691" w:type="dxa"/>
            <w:vAlign w:val="center"/>
          </w:tcPr>
          <w:p w14:paraId="7763C6F8" w14:textId="325FBA43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Thành phần UI tương ứng trên thiết kế</w:t>
            </w:r>
          </w:p>
        </w:tc>
      </w:tr>
      <w:tr w:rsidR="00B3796C" w14:paraId="11624495" w14:textId="77777777" w:rsidTr="00B3796C">
        <w:tc>
          <w:tcPr>
            <w:tcW w:w="3325" w:type="dxa"/>
            <w:vAlign w:val="center"/>
          </w:tcPr>
          <w:p w14:paraId="0BD6129B" w14:textId="1D796E8A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1. Người dùng nhấn nút Nạp tiền tại màn hình quản lý ví</w:t>
            </w:r>
          </w:p>
        </w:tc>
        <w:tc>
          <w:tcPr>
            <w:tcW w:w="5691" w:type="dxa"/>
            <w:vAlign w:val="center"/>
          </w:tcPr>
          <w:p w14:paraId="2E947BE8" w14:textId="56926193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Nút "Nap tien" (nằm trong khối thông tin số dư khả dụng).</w:t>
            </w:r>
          </w:p>
        </w:tc>
      </w:tr>
      <w:tr w:rsidR="00B3796C" w14:paraId="05EA3E19" w14:textId="77777777" w:rsidTr="00B3796C">
        <w:tc>
          <w:tcPr>
            <w:tcW w:w="3325" w:type="dxa"/>
            <w:vAlign w:val="center"/>
          </w:tcPr>
          <w:p w14:paraId="01EDBEAE" w14:textId="48B61C25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2. Hệ thống hiển thị giao diện yêu cầu nhập số tiền và chọn nguồn tiền</w:t>
            </w:r>
          </w:p>
        </w:tc>
        <w:tc>
          <w:tcPr>
            <w:tcW w:w="5691" w:type="dxa"/>
            <w:vAlign w:val="center"/>
          </w:tcPr>
          <w:p w14:paraId="18B8D5AE" w14:textId="0D6285D2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Toàn bộ giao diện màn hình "RikkeiPay - Quan ly vi dien" bao gồm các form nhập liệu.</w:t>
            </w:r>
          </w:p>
        </w:tc>
      </w:tr>
      <w:tr w:rsidR="00B3796C" w14:paraId="71642B18" w14:textId="77777777" w:rsidTr="00B3796C">
        <w:tc>
          <w:tcPr>
            <w:tcW w:w="3325" w:type="dxa"/>
            <w:vAlign w:val="center"/>
          </w:tcPr>
          <w:p w14:paraId="065CECF3" w14:textId="17B47C9E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3. Chọn nguồn tiền thanh toán (1 trong các thẻ ngân hàng đã liên kết)</w:t>
            </w:r>
          </w:p>
        </w:tc>
        <w:tc>
          <w:tcPr>
            <w:tcW w:w="5691" w:type="dxa"/>
            <w:vAlign w:val="center"/>
          </w:tcPr>
          <w:p w14:paraId="35FACBAB" w14:textId="021D7D23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Ô thả xuống / Nhập liệu "Nhap ten ngan hang lien ket..." (thuộc khối chọn ngân hàng).</w:t>
            </w:r>
          </w:p>
        </w:tc>
      </w:tr>
      <w:tr w:rsidR="00B3796C" w14:paraId="724172C3" w14:textId="77777777" w:rsidTr="00B3796C">
        <w:tc>
          <w:tcPr>
            <w:tcW w:w="3325" w:type="dxa"/>
            <w:vAlign w:val="center"/>
          </w:tcPr>
          <w:p w14:paraId="2AD63EF7" w14:textId="405662FC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4. Người dùng nhập số tiền</w:t>
            </w:r>
          </w:p>
        </w:tc>
        <w:tc>
          <w:tcPr>
            <w:tcW w:w="5691" w:type="dxa"/>
            <w:vAlign w:val="center"/>
          </w:tcPr>
          <w:p w14:paraId="783A5E52" w14:textId="4D202B06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Ô nhập liệu "So tien nap" (đang hiển thị giá trị 500.000 VND).</w:t>
            </w:r>
          </w:p>
        </w:tc>
      </w:tr>
      <w:tr w:rsidR="00B3796C" w14:paraId="69BDCA46" w14:textId="77777777" w:rsidTr="00B3796C">
        <w:tc>
          <w:tcPr>
            <w:tcW w:w="3325" w:type="dxa"/>
            <w:vAlign w:val="center"/>
          </w:tcPr>
          <w:p w14:paraId="28CF0E37" w14:textId="661F6EFA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5. Nhấn Xác nhận nạp tiền</w:t>
            </w:r>
          </w:p>
        </w:tc>
        <w:tc>
          <w:tcPr>
            <w:tcW w:w="5691" w:type="dxa"/>
            <w:vAlign w:val="center"/>
          </w:tcPr>
          <w:p w14:paraId="2A61170B" w14:textId="5EF158F1" w:rsidR="00B3796C" w:rsidRPr="00B3796C" w:rsidRDefault="00B3796C" w:rsidP="00B3796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3796C">
              <w:rPr>
                <w:rFonts w:asciiTheme="majorHAnsi" w:hAnsiTheme="majorHAnsi" w:cstheme="majorHAnsi"/>
              </w:rPr>
              <w:t>Nút chính "Xac nhan" (màu xanh dương nằm ở phía dưới cùng).</w:t>
            </w:r>
          </w:p>
        </w:tc>
      </w:tr>
    </w:tbl>
    <w:p w14:paraId="1B39FD35" w14:textId="77777777" w:rsidR="00594746" w:rsidRDefault="00594746">
      <w:pPr>
        <w:rPr>
          <w:lang w:val="en-US"/>
        </w:rPr>
      </w:pPr>
    </w:p>
    <w:p w14:paraId="6C162FE5" w14:textId="77777777" w:rsidR="00B3796C" w:rsidRDefault="00B3796C">
      <w:pPr>
        <w:rPr>
          <w:lang w:val="en-US"/>
        </w:rPr>
      </w:pPr>
    </w:p>
    <w:p w14:paraId="50E34344" w14:textId="1C51C379" w:rsidR="00B3796C" w:rsidRPr="00B3796C" w:rsidRDefault="00B3796C">
      <w:pPr>
        <w:rPr>
          <w:lang w:val="en-US"/>
        </w:rPr>
      </w:pPr>
      <w:r w:rsidRPr="00B3796C">
        <w:rPr>
          <w:lang w:val="en-US"/>
        </w:rPr>
        <w:t>link figma: https://www.figma.com/site/pASFE07TD7wlgZSPS0SDsQ/Untitled?node-id=0-1&amp;t=5kkD46nkrzswjv4w-1</w:t>
      </w:r>
    </w:p>
    <w:sectPr w:rsidR="00B3796C" w:rsidRPr="00B379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46"/>
    <w:rsid w:val="00594746"/>
    <w:rsid w:val="00B3796C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C970"/>
  <w15:chartTrackingRefBased/>
  <w15:docId w15:val="{867CA92D-CBD6-4BCD-99E3-F09CF783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9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9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94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9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94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9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9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9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9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4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94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94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9474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9474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9474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9474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9474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9474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9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9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9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9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9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9474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9474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9474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94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9474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9474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37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2</cp:revision>
  <dcterms:created xsi:type="dcterms:W3CDTF">2026-09-27T13:38:00Z</dcterms:created>
  <dcterms:modified xsi:type="dcterms:W3CDTF">2026-09-27T13:40:00Z</dcterms:modified>
</cp:coreProperties>
</file>