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E00" w:rsidRDefault="00147E00" w:rsidP="00D64CD7">
      <w:pPr>
        <w:pStyle w:val="Heading1"/>
        <w:rPr>
          <w:lang w:val="en-US"/>
        </w:rPr>
      </w:pPr>
      <w:r>
        <w:rPr>
          <w:lang w:val="en-US"/>
        </w:rPr>
        <w:t xml:space="preserve">Meta-analysis of diagnostic accuracy studies in SAS with </w:t>
      </w:r>
      <w:proofErr w:type="spellStart"/>
      <w:r>
        <w:rPr>
          <w:lang w:val="en-US"/>
        </w:rPr>
        <w:t>madareg</w:t>
      </w:r>
      <w:proofErr w:type="spellEnd"/>
    </w:p>
    <w:p w:rsidR="00147E00" w:rsidRDefault="00147E00">
      <w:pPr>
        <w:rPr>
          <w:lang w:val="en-US"/>
        </w:rPr>
      </w:pPr>
      <w:r>
        <w:rPr>
          <w:lang w:val="en-US"/>
        </w:rPr>
        <w:t xml:space="preserve">Victoria N </w:t>
      </w:r>
      <w:proofErr w:type="spellStart"/>
      <w:r>
        <w:rPr>
          <w:lang w:val="en-US"/>
        </w:rPr>
        <w:t>Nyaga</w:t>
      </w:r>
      <w:bookmarkStart w:id="0" w:name="_GoBack"/>
      <w:bookmarkEnd w:id="0"/>
      <w:proofErr w:type="spellEnd"/>
    </w:p>
    <w:p w:rsidR="002C177F" w:rsidRDefault="002C177F" w:rsidP="002C177F">
      <w:pPr>
        <w:pStyle w:val="Heading1"/>
        <w:rPr>
          <w:lang w:val="en-US"/>
        </w:rPr>
      </w:pPr>
      <w:r>
        <w:rPr>
          <w:lang w:val="en-US"/>
        </w:rPr>
        <w:t>Abstract</w:t>
      </w:r>
    </w:p>
    <w:p w:rsidR="00CD6406" w:rsidRDefault="00D64CD7" w:rsidP="00D64CD7">
      <w:pPr>
        <w:rPr>
          <w:lang w:val="en-US"/>
        </w:rPr>
      </w:pPr>
      <w:proofErr w:type="spellStart"/>
      <w:r>
        <w:rPr>
          <w:lang w:val="en-US"/>
        </w:rPr>
        <w:t>Madareg</w:t>
      </w:r>
      <w:proofErr w:type="spellEnd"/>
      <w:r>
        <w:rPr>
          <w:lang w:val="en-US"/>
        </w:rPr>
        <w:t xml:space="preserve"> is </w:t>
      </w:r>
      <w:r w:rsidR="00147E00">
        <w:rPr>
          <w:lang w:val="en-US"/>
        </w:rPr>
        <w:t xml:space="preserve">a statistical procedure to </w:t>
      </w:r>
      <w:r>
        <w:rPr>
          <w:lang w:val="en-US"/>
        </w:rPr>
        <w:t>perform</w:t>
      </w:r>
      <w:r w:rsidR="00147E00">
        <w:rPr>
          <w:lang w:val="en-US"/>
        </w:rPr>
        <w:t xml:space="preserve"> fixed- and random-effects </w:t>
      </w:r>
      <w:r>
        <w:rPr>
          <w:lang w:val="en-US"/>
        </w:rPr>
        <w:t>meta-analysis of diagnostic accuracy studies. Programmed in SAS</w:t>
      </w:r>
      <w:r w:rsidR="00B86BE1">
        <w:rPr>
          <w:lang w:val="en-US"/>
        </w:rPr>
        <w:t xml:space="preserve"> </w:t>
      </w:r>
      <w:r>
        <w:rPr>
          <w:lang w:val="en-US"/>
        </w:rPr>
        <w:t>, the package has implemented the  bivariate random-ef</w:t>
      </w:r>
      <w:r w:rsidR="00A06B16">
        <w:rPr>
          <w:lang w:val="en-US"/>
        </w:rPr>
        <w:t xml:space="preserve">fects proposed by </w:t>
      </w:r>
      <w:proofErr w:type="spellStart"/>
      <w:r w:rsidR="00A06B16">
        <w:rPr>
          <w:lang w:val="en-US"/>
        </w:rPr>
        <w:t>Reitsma</w:t>
      </w:r>
      <w:proofErr w:type="spellEnd"/>
      <w:r w:rsidR="00A06B16">
        <w:rPr>
          <w:lang w:val="en-US"/>
        </w:rPr>
        <w:t xml:space="preserve"> et al</w:t>
      </w:r>
      <w:r>
        <w:rPr>
          <w:lang w:val="en-US"/>
        </w:rPr>
        <w:t>.</w:t>
      </w:r>
      <w:r w:rsidR="00A06B16">
        <w:rPr>
          <w:lang w:val="en-US"/>
        </w:rPr>
        <w:t xml:space="preserve"> </w:t>
      </w:r>
      <w:r w:rsidR="00A06B16">
        <w:rPr>
          <w:lang w:val="en-US"/>
        </w:rPr>
        <w:fldChar w:fldCharType="begin" w:fldLock="1"/>
      </w:r>
      <w:r w:rsidR="003B6639">
        <w:rPr>
          <w:lang w:val="en-US"/>
        </w:rPr>
        <w:instrText>ADDIN CSL_CITATION { "citationItems" : [ { "id" : "ITEM-1", "itemData" : { "DOI" : "10.1016/j.jclinepi.2005.02.022", "ISSN" : "08954356", "abstract" : "BACKGROUND AND OBJECTIVES\nStudies of diagnostic accuracy most often report pairs of sensitivity and specificity. We demonstrate the advantage of using bivariate meta-regression models to analyze such data. \n\nMETHODS\nWe discuss the methodology of both the summary Receiver Operating Characteristic (sROC) and the bivariate approach by reanalyzing the data of a published meta-analysis. \n\nRESULTS\nThe sROC approach is the standard method for meta-analyzing diagnostic studies reporting pairs of sensitivity and specificity. This method uses the diagnostic odds ratio as the main outcome measure, which removes the effect of a possible threshold but at the same time loses relevant clinical information about test performance. The bivariate approach preserves the two-dimensional nature of the original data. Pairs of sensitivity and specificity are jointly analyzed, incorporating any correlation that might exist between these two measures using a random effects approach. Explanatory variables can be added to the bivariate model and lead to separate effects on sensitivity and specificity, rather than a net effect on the odds ratio scale as in the sROC approach. The statistical properties of the bivariate model are sound and flexible. \n\nCONCLUSION\nThe bivariate model can be seen as an improvement and extension of the traditional sROC approach.", "author" : [ { "dropping-particle" : "", "family" : "Reitsma", "given" : "Johannes B.", "non-dropping-particle" : "", "parse-names" : false, "suffix" : "" }, { "dropping-particle" : "", "family" : "Glas", "given" : "Afina S.", "non-dropping-particle" : "", "parse-names" : false, "suffix" : "" }, { "dropping-particle" : "", "family" : "Rutjes", "given" : "Anne W.S.", "non-dropping-particle" : "", "parse-names" : false, "suffix" : "" }, { "dropping-particle" : "", "family" : "Scholten", "given" : "Rob J.P.M.", "non-dropping-particle" : "", "parse-names" : false, "suffix" : "" }, { "dropping-particle" : "", "family" : "Bossuyt", "given" : "Patrick M.", "non-dropping-particle" : "", "parse-names" : false, "suffix" : "" }, { "dropping-particle" : "", "family" : "Zwinderman", "given" : "Aeilko H.", "non-dropping-particle" : "", "parse-names" : false, "suffix" : "" } ], "container-title" : "Journal of Clinical Epidemiology", "id" : "ITEM-1", "issue" : "10", "issued" : { "date-parts" : [ [ "2005" ] ] }, "page" : "982-990", "title" : "Bivariate analysis of sensitivity and specificity produces informative summary measures in diagnostic reviews", "type" : "article-journal", "volume" : "58" }, "uris" : [ "http://www.mendeley.com/documents/?uuid=0e518182-93b1-3281-82a8-2a7ec3d37205" ] } ], "mendeley" : { "formattedCitation" : "(1)", "plainTextFormattedCitation" : "(1)", "previouslyFormattedCitation" : "(1)" }, "properties" : { "noteIndex" : 0 }, "schema" : "https://github.com/citation-style-language/schema/raw/master/csl-citation.json" }</w:instrText>
      </w:r>
      <w:r w:rsidR="00A06B16">
        <w:rPr>
          <w:lang w:val="en-US"/>
        </w:rPr>
        <w:fldChar w:fldCharType="separate"/>
      </w:r>
      <w:r w:rsidR="00A06B16" w:rsidRPr="00A06B16">
        <w:rPr>
          <w:noProof/>
          <w:lang w:val="en-US"/>
        </w:rPr>
        <w:t>(1)</w:t>
      </w:r>
      <w:r w:rsidR="00A06B16">
        <w:rPr>
          <w:lang w:val="en-US"/>
        </w:rPr>
        <w:fldChar w:fldCharType="end"/>
      </w:r>
      <w:r w:rsidR="00A06B16">
        <w:rPr>
          <w:lang w:val="en-US"/>
        </w:rPr>
        <w:t>.</w:t>
      </w:r>
      <w:r>
        <w:rPr>
          <w:lang w:val="en-US"/>
        </w:rPr>
        <w:t xml:space="preserve"> Other capabilities of the package include a forest plot and meta-regression.</w:t>
      </w:r>
      <w:r w:rsidR="00B04210">
        <w:rPr>
          <w:lang w:val="en-US"/>
        </w:rPr>
        <w:t xml:space="preserve"> </w:t>
      </w:r>
      <w:proofErr w:type="spellStart"/>
      <w:r w:rsidR="00CD6406">
        <w:rPr>
          <w:lang w:val="en-US"/>
        </w:rPr>
        <w:t>Madareg</w:t>
      </w:r>
      <w:proofErr w:type="spellEnd"/>
      <w:r w:rsidR="00CD6406">
        <w:rPr>
          <w:lang w:val="en-US"/>
        </w:rPr>
        <w:t xml:space="preserve"> was designed to complement and overcome the limitations </w:t>
      </w:r>
      <w:proofErr w:type="spellStart"/>
      <w:r w:rsidR="00CD6406">
        <w:rPr>
          <w:lang w:val="en-US"/>
        </w:rPr>
        <w:t>metadas</w:t>
      </w:r>
      <w:proofErr w:type="spellEnd"/>
      <w:r w:rsidR="003B6639">
        <w:rPr>
          <w:lang w:val="en-US"/>
        </w:rPr>
        <w:t xml:space="preserve"> </w:t>
      </w:r>
      <w:r w:rsidR="003B6639">
        <w:rPr>
          <w:lang w:val="en-US"/>
        </w:rPr>
        <w:fldChar w:fldCharType="begin" w:fldLock="1"/>
      </w:r>
      <w:r w:rsidR="003B6639">
        <w:rPr>
          <w:lang w:val="en-US"/>
        </w:rPr>
        <w:instrText>ADDIN CSL_CITATION { "citationItems" : [ { "id" : "ITEM-1", "itemData" : { "author" : [ { "dropping-particle" : "", "family" : "Takwoingi", "given" : "Yemisi", "non-dropping-particle" : "", "parse-names" : false, "suffix" : "" }, { "dropping-particle" : "", "family" : "Deeks", "given" : "Jon", "non-dropping-particle" : "", "parse-names" : false, "suffix" : "" } ], "id" : "ITEM-1", "issued" : { "date-parts" : [ [ "2010" ] ] }, "number" : "Version 1.3", "title" : "MetaDAS: A SAS macro for meta-analysis of diagnostic accuracy studies User guide", "type" : "article" }, "uris" : [ "http://www.mendeley.com/documents/?uuid=6cca82d8-387a-3b5e-8719-b903faff70ac" ] } ], "mendeley" : { "formattedCitation" : "(2)", "plainTextFormattedCitation" : "(2)", "previouslyFormattedCitation" : "(2)" }, "properties" : { "noteIndex" : 0 }, "schema" : "https://github.com/citation-style-language/schema/raw/master/csl-citation.json" }</w:instrText>
      </w:r>
      <w:r w:rsidR="003B6639">
        <w:rPr>
          <w:lang w:val="en-US"/>
        </w:rPr>
        <w:fldChar w:fldCharType="separate"/>
      </w:r>
      <w:r w:rsidR="003B6639" w:rsidRPr="003B6639">
        <w:rPr>
          <w:noProof/>
          <w:lang w:val="en-US"/>
        </w:rPr>
        <w:t>(2)</w:t>
      </w:r>
      <w:r w:rsidR="003B6639">
        <w:rPr>
          <w:lang w:val="en-US"/>
        </w:rPr>
        <w:fldChar w:fldCharType="end"/>
      </w:r>
      <w:r w:rsidR="00CD6406">
        <w:rPr>
          <w:lang w:val="en-US"/>
        </w:rPr>
        <w:t xml:space="preserve"> and </w:t>
      </w:r>
      <w:proofErr w:type="spellStart"/>
      <w:r w:rsidR="00CD6406">
        <w:rPr>
          <w:lang w:val="en-US"/>
        </w:rPr>
        <w:t>RevMan</w:t>
      </w:r>
      <w:proofErr w:type="spellEnd"/>
      <w:r w:rsidR="003B6639">
        <w:rPr>
          <w:lang w:val="en-US"/>
        </w:rPr>
        <w:t xml:space="preserve"> </w:t>
      </w:r>
      <w:r w:rsidR="003B6639">
        <w:rPr>
          <w:lang w:val="en-US"/>
        </w:rPr>
        <w:fldChar w:fldCharType="begin" w:fldLock="1"/>
      </w:r>
      <w:r w:rsidR="00603E47">
        <w:rPr>
          <w:lang w:val="en-US"/>
        </w:rPr>
        <w:instrText>ADDIN CSL_CITATION { "citationItems" : [ { "id" : "ITEM-1", "itemData" : { "author" : [ { "dropping-particle" : "", "family" : "The Cochrane Collaboration", "given" : "", "non-dropping-particle" : "", "parse-names" : false, "suffix" : "" } ], "id" : "ITEM-1", "issued" : { "date-parts" : [ [ "2014" ] ] }, "number" : "5.3", "publisher" : "The Nordic Cochrane Centre", "publisher-place" : "Copenhagen", "title" : "Revien Manager (RevMan)", "type" : "article" }, "uris" : [ "http://www.mendeley.com/documents/?uuid=526022a5-02a7-471c-b2b6-fd2a20957ff8" ] } ], "mendeley" : { "formattedCitation" : "(3)", "plainTextFormattedCitation" : "(3)", "previouslyFormattedCitation" : "(3)" }, "properties" : { "noteIndex" : 0 }, "schema" : "https://github.com/citation-style-language/schema/raw/master/csl-citation.json" }</w:instrText>
      </w:r>
      <w:r w:rsidR="003B6639">
        <w:rPr>
          <w:lang w:val="en-US"/>
        </w:rPr>
        <w:fldChar w:fldCharType="separate"/>
      </w:r>
      <w:r w:rsidR="003B6639" w:rsidRPr="003B6639">
        <w:rPr>
          <w:noProof/>
          <w:lang w:val="en-US"/>
        </w:rPr>
        <w:t>(3)</w:t>
      </w:r>
      <w:r w:rsidR="003B6639">
        <w:rPr>
          <w:lang w:val="en-US"/>
        </w:rPr>
        <w:fldChar w:fldCharType="end"/>
      </w:r>
      <w:r w:rsidR="00CD6406">
        <w:rPr>
          <w:lang w:val="en-US"/>
        </w:rPr>
        <w:t xml:space="preserve">. </w:t>
      </w:r>
    </w:p>
    <w:p w:rsidR="00A06B16" w:rsidRDefault="00A06B16" w:rsidP="00A06B16">
      <w:pPr>
        <w:pStyle w:val="Heading1"/>
        <w:rPr>
          <w:lang w:val="en-US"/>
        </w:rPr>
      </w:pPr>
      <w:r>
        <w:rPr>
          <w:lang w:val="en-US"/>
        </w:rPr>
        <w:t>Methodology</w:t>
      </w:r>
    </w:p>
    <w:p w:rsidR="00BF21D4" w:rsidRDefault="00B86BE1" w:rsidP="00DC5E97">
      <w:pPr>
        <w:rPr>
          <w:lang w:val="en-US"/>
        </w:rPr>
      </w:pPr>
      <w:r>
        <w:rPr>
          <w:lang w:val="en-US"/>
        </w:rPr>
        <w:t>Data from a diagnostic study</w:t>
      </w:r>
      <w:r w:rsidR="00DC5E97">
        <w:rPr>
          <w:lang w:val="en-US"/>
        </w:rPr>
        <w:t xml:space="preserve"> are usually summarized as a 2 x 2 cross-tabulation of index versus reference test results (see Table 1). </w:t>
      </w:r>
      <w:r w:rsidR="00BF21D4">
        <w:rPr>
          <w:lang w:val="en-US"/>
        </w:rPr>
        <w:t>The results are classified as true positive (TP), false positive (FP), true negative (TN) and false negative (FN).</w:t>
      </w:r>
    </w:p>
    <w:tbl>
      <w:tblPr>
        <w:tblStyle w:val="TableGrid"/>
        <w:tblW w:w="0" w:type="auto"/>
        <w:tblLook w:val="04A0" w:firstRow="1" w:lastRow="0" w:firstColumn="1" w:lastColumn="0" w:noHBand="0" w:noVBand="1"/>
      </w:tblPr>
      <w:tblGrid>
        <w:gridCol w:w="2394"/>
        <w:gridCol w:w="2394"/>
        <w:gridCol w:w="2394"/>
      </w:tblGrid>
      <w:tr w:rsidR="00BF21D4" w:rsidTr="00BF21D4">
        <w:tc>
          <w:tcPr>
            <w:tcW w:w="2394" w:type="dxa"/>
          </w:tcPr>
          <w:p w:rsidR="00BF21D4" w:rsidRDefault="00BF21D4" w:rsidP="00DC5E97">
            <w:pPr>
              <w:rPr>
                <w:lang w:val="en-US"/>
              </w:rPr>
            </w:pPr>
          </w:p>
        </w:tc>
        <w:tc>
          <w:tcPr>
            <w:tcW w:w="4788" w:type="dxa"/>
            <w:gridSpan w:val="2"/>
          </w:tcPr>
          <w:p w:rsidR="00BF21D4" w:rsidRPr="00B86BE1" w:rsidRDefault="00BF21D4" w:rsidP="00BF21D4">
            <w:pPr>
              <w:jc w:val="center"/>
              <w:rPr>
                <w:b/>
                <w:lang w:val="en-US"/>
              </w:rPr>
            </w:pPr>
            <w:r w:rsidRPr="00B86BE1">
              <w:rPr>
                <w:b/>
                <w:lang w:val="en-US"/>
              </w:rPr>
              <w:t>True disease status</w:t>
            </w:r>
          </w:p>
        </w:tc>
      </w:tr>
      <w:tr w:rsidR="00BF21D4" w:rsidTr="00BF21D4">
        <w:tc>
          <w:tcPr>
            <w:tcW w:w="2394" w:type="dxa"/>
          </w:tcPr>
          <w:p w:rsidR="00BF21D4" w:rsidRPr="00B86BE1" w:rsidRDefault="00BF21D4" w:rsidP="00BF21D4">
            <w:pPr>
              <w:jc w:val="center"/>
              <w:rPr>
                <w:b/>
                <w:lang w:val="en-US"/>
              </w:rPr>
            </w:pPr>
            <w:r w:rsidRPr="00B86BE1">
              <w:rPr>
                <w:b/>
                <w:lang w:val="en-US"/>
              </w:rPr>
              <w:t>Index test result</w:t>
            </w:r>
          </w:p>
        </w:tc>
        <w:tc>
          <w:tcPr>
            <w:tcW w:w="2394" w:type="dxa"/>
          </w:tcPr>
          <w:p w:rsidR="00BF21D4" w:rsidRDefault="00BF21D4" w:rsidP="00BF21D4">
            <w:pPr>
              <w:jc w:val="center"/>
              <w:rPr>
                <w:lang w:val="en-US"/>
              </w:rPr>
            </w:pPr>
            <w:r>
              <w:rPr>
                <w:lang w:val="en-US"/>
              </w:rPr>
              <w:t>+</w:t>
            </w:r>
          </w:p>
        </w:tc>
        <w:tc>
          <w:tcPr>
            <w:tcW w:w="2394" w:type="dxa"/>
          </w:tcPr>
          <w:p w:rsidR="00BF21D4" w:rsidRDefault="00BF21D4" w:rsidP="00BF21D4">
            <w:pPr>
              <w:jc w:val="center"/>
              <w:rPr>
                <w:lang w:val="en-US"/>
              </w:rPr>
            </w:pPr>
            <w:r>
              <w:rPr>
                <w:lang w:val="en-US"/>
              </w:rPr>
              <w:t>-</w:t>
            </w:r>
          </w:p>
        </w:tc>
      </w:tr>
      <w:tr w:rsidR="00BF21D4" w:rsidTr="00BF21D4">
        <w:tc>
          <w:tcPr>
            <w:tcW w:w="2394" w:type="dxa"/>
          </w:tcPr>
          <w:p w:rsidR="00BF21D4" w:rsidRDefault="00BF21D4" w:rsidP="00BF21D4">
            <w:pPr>
              <w:jc w:val="center"/>
              <w:rPr>
                <w:lang w:val="en-US"/>
              </w:rPr>
            </w:pPr>
            <w:r>
              <w:rPr>
                <w:lang w:val="en-US"/>
              </w:rPr>
              <w:t>+</w:t>
            </w:r>
          </w:p>
        </w:tc>
        <w:tc>
          <w:tcPr>
            <w:tcW w:w="2394" w:type="dxa"/>
            <w:vAlign w:val="center"/>
          </w:tcPr>
          <w:p w:rsidR="00BF21D4" w:rsidRDefault="00BF21D4" w:rsidP="00BF21D4">
            <w:pPr>
              <w:jc w:val="center"/>
              <w:rPr>
                <w:lang w:val="en-US"/>
              </w:rPr>
            </w:pPr>
            <w:r>
              <w:rPr>
                <w:lang w:val="en-US"/>
              </w:rPr>
              <w:t>TP</w:t>
            </w:r>
          </w:p>
        </w:tc>
        <w:tc>
          <w:tcPr>
            <w:tcW w:w="2394" w:type="dxa"/>
            <w:vAlign w:val="center"/>
          </w:tcPr>
          <w:p w:rsidR="00BF21D4" w:rsidRDefault="00BF21D4" w:rsidP="00BF21D4">
            <w:pPr>
              <w:jc w:val="center"/>
              <w:rPr>
                <w:lang w:val="en-US"/>
              </w:rPr>
            </w:pPr>
            <w:r>
              <w:rPr>
                <w:lang w:val="en-US"/>
              </w:rPr>
              <w:t>FP</w:t>
            </w:r>
          </w:p>
        </w:tc>
      </w:tr>
      <w:tr w:rsidR="00BF21D4" w:rsidTr="00BF21D4">
        <w:tc>
          <w:tcPr>
            <w:tcW w:w="2394" w:type="dxa"/>
          </w:tcPr>
          <w:p w:rsidR="00BF21D4" w:rsidRDefault="00BF21D4" w:rsidP="00BF21D4">
            <w:pPr>
              <w:jc w:val="center"/>
              <w:rPr>
                <w:lang w:val="en-US"/>
              </w:rPr>
            </w:pPr>
            <w:r>
              <w:rPr>
                <w:lang w:val="en-US"/>
              </w:rPr>
              <w:t>-</w:t>
            </w:r>
          </w:p>
        </w:tc>
        <w:tc>
          <w:tcPr>
            <w:tcW w:w="2394" w:type="dxa"/>
            <w:vAlign w:val="center"/>
          </w:tcPr>
          <w:p w:rsidR="00BF21D4" w:rsidRDefault="00BF21D4" w:rsidP="00BF21D4">
            <w:pPr>
              <w:jc w:val="center"/>
              <w:rPr>
                <w:lang w:val="en-US"/>
              </w:rPr>
            </w:pPr>
            <w:r>
              <w:rPr>
                <w:lang w:val="en-US"/>
              </w:rPr>
              <w:t>FN</w:t>
            </w:r>
          </w:p>
        </w:tc>
        <w:tc>
          <w:tcPr>
            <w:tcW w:w="2394" w:type="dxa"/>
            <w:vAlign w:val="center"/>
          </w:tcPr>
          <w:p w:rsidR="00BF21D4" w:rsidRDefault="00BF21D4" w:rsidP="00BF21D4">
            <w:pPr>
              <w:jc w:val="center"/>
              <w:rPr>
                <w:lang w:val="en-US"/>
              </w:rPr>
            </w:pPr>
            <w:r>
              <w:rPr>
                <w:lang w:val="en-US"/>
              </w:rPr>
              <w:t>TN</w:t>
            </w:r>
          </w:p>
        </w:tc>
      </w:tr>
    </w:tbl>
    <w:p w:rsidR="00BF21D4" w:rsidRDefault="00BF21D4" w:rsidP="00BF21D4">
      <w:pPr>
        <w:rPr>
          <w:lang w:val="en-US"/>
        </w:rPr>
      </w:pPr>
      <w:r>
        <w:rPr>
          <w:lang w:val="en-US"/>
        </w:rPr>
        <w:t>Table 1:</w:t>
      </w:r>
      <w:r w:rsidRPr="00BF21D4">
        <w:rPr>
          <w:lang w:val="en-US"/>
        </w:rPr>
        <w:t xml:space="preserve"> </w:t>
      </w:r>
      <w:r>
        <w:rPr>
          <w:lang w:val="en-US"/>
        </w:rPr>
        <w:t>Cross-tabulation of index test results by the reference test results.</w:t>
      </w:r>
    </w:p>
    <w:p w:rsidR="00DC5E97" w:rsidRDefault="00DC5E97" w:rsidP="00DC5E97">
      <w:pPr>
        <w:rPr>
          <w:lang w:val="en-US"/>
        </w:rPr>
      </w:pPr>
      <w:r>
        <w:rPr>
          <w:lang w:val="en-US"/>
        </w:rPr>
        <w:t>The frequencies in the four data cells are then used to compute several diagnostic accuracy measures.</w:t>
      </w:r>
      <w:r w:rsidRPr="00DC5E97">
        <w:rPr>
          <w:lang w:val="en-US"/>
        </w:rPr>
        <w:t xml:space="preserve"> </w:t>
      </w:r>
      <w:r>
        <w:rPr>
          <w:lang w:val="en-US"/>
        </w:rPr>
        <w:t>The most basic and widely used measure of a test performance is a bivariate outcome consisting of sensitivity (se) and specificity (</w:t>
      </w:r>
      <w:proofErr w:type="spellStart"/>
      <w:r>
        <w:rPr>
          <w:lang w:val="en-US"/>
        </w:rPr>
        <w:t>sp</w:t>
      </w:r>
      <w:proofErr w:type="spellEnd"/>
      <w:r>
        <w:rPr>
          <w:lang w:val="en-US"/>
        </w:rPr>
        <w:t>) at a defined test cut-off. These are defined as follows</w:t>
      </w:r>
    </w:p>
    <w:p w:rsidR="00DC5E97" w:rsidRPr="00BF21D4" w:rsidRDefault="00F00C1F" w:rsidP="00DC5E97">
      <w:pPr>
        <w:rPr>
          <w:rFonts w:eastAsiaTheme="minorEastAsia"/>
          <w:lang w:val="en-US"/>
        </w:rPr>
      </w:pPr>
      <m:oMathPara>
        <m:oMath>
          <m:acc>
            <m:accPr>
              <m:ctrlPr>
                <w:rPr>
                  <w:rFonts w:ascii="Cambria Math" w:hAnsi="Cambria Math"/>
                  <w:i/>
                  <w:lang w:val="en-US"/>
                </w:rPr>
              </m:ctrlPr>
            </m:accPr>
            <m:e>
              <m:r>
                <w:rPr>
                  <w:rFonts w:ascii="Cambria Math" w:hAnsi="Cambria Math"/>
                  <w:lang w:val="en-US"/>
                </w:rPr>
                <m:t>se</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Dis</m:t>
              </m:r>
            </m:den>
          </m:f>
        </m:oMath>
      </m:oMathPara>
    </w:p>
    <w:p w:rsidR="00BF21D4" w:rsidRDefault="00F00C1F" w:rsidP="00BF21D4">
      <w:pPr>
        <w:rPr>
          <w:lang w:val="en-US"/>
        </w:rPr>
      </w:pPr>
      <m:oMathPara>
        <m:oMath>
          <m:acc>
            <m:accPr>
              <m:ctrlPr>
                <w:rPr>
                  <w:rFonts w:ascii="Cambria Math" w:hAnsi="Cambria Math"/>
                  <w:i/>
                  <w:lang w:val="en-US"/>
                </w:rPr>
              </m:ctrlPr>
            </m:accPr>
            <m:e>
              <m:r>
                <w:rPr>
                  <w:rFonts w:ascii="Cambria Math" w:hAnsi="Cambria Math"/>
                  <w:lang w:val="en-US"/>
                </w:rPr>
                <m:t>sp</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NDis</m:t>
              </m:r>
            </m:den>
          </m:f>
        </m:oMath>
      </m:oMathPara>
    </w:p>
    <w:p w:rsidR="00DC5E97" w:rsidRPr="00DC5E97" w:rsidRDefault="00BF21D4" w:rsidP="00DC5E97">
      <w:pPr>
        <w:rPr>
          <w:lang w:val="en-US"/>
        </w:rPr>
      </w:pPr>
      <w:r>
        <w:rPr>
          <w:lang w:val="en-US"/>
        </w:rPr>
        <w:t xml:space="preserve">Let </w:t>
      </w:r>
      <w:proofErr w:type="spellStart"/>
      <w:r>
        <w:rPr>
          <w:lang w:val="en-US"/>
        </w:rPr>
        <w:t>i</w:t>
      </w:r>
      <w:proofErr w:type="spellEnd"/>
      <w:r>
        <w:rPr>
          <w:lang w:val="en-US"/>
        </w:rPr>
        <w:t>=1</w:t>
      </w:r>
      <w:proofErr w:type="gramStart"/>
      <w:r>
        <w:rPr>
          <w:lang w:val="en-US"/>
        </w:rPr>
        <w:t>, …,</w:t>
      </w:r>
      <w:proofErr w:type="gramEnd"/>
      <w:r>
        <w:rPr>
          <w:lang w:val="en-US"/>
        </w:rPr>
        <w:t xml:space="preserve"> I index study. </w:t>
      </w:r>
      <w:r w:rsidR="00B776AE">
        <w:rPr>
          <w:lang w:val="en-US"/>
        </w:rPr>
        <w:t>The latent variables s</w:t>
      </w:r>
      <w:r>
        <w:rPr>
          <w:lang w:val="en-US"/>
        </w:rPr>
        <w:t>ensitivity and specificity are modeled as follows</w:t>
      </w:r>
    </w:p>
    <w:p w:rsidR="00DC5E97" w:rsidRPr="00DC5E97" w:rsidRDefault="00F00C1F" w:rsidP="00DC5E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m:t>
              </m:r>
            </m:sub>
          </m:sSub>
          <m:r>
            <w:rPr>
              <w:rFonts w:ascii="Cambria Math" w:hAnsi="Cambria Math"/>
              <w:lang w:val="en-US"/>
            </w:rPr>
            <m:t xml:space="preserve"> ~ bin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Dis</m:t>
                  </m:r>
                </m:e>
                <m:sub>
                  <m:r>
                    <w:rPr>
                      <w:rFonts w:ascii="Cambria Math" w:hAnsi="Cambria Math"/>
                      <w:lang w:val="en-US"/>
                    </w:rPr>
                    <m:t>i</m:t>
                  </m:r>
                </m:sub>
              </m:sSub>
            </m:e>
          </m:d>
        </m:oMath>
      </m:oMathPara>
    </w:p>
    <w:p w:rsidR="00DC5E97" w:rsidRPr="00DC5E97" w:rsidRDefault="00F00C1F" w:rsidP="00DC5E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TN</m:t>
              </m:r>
            </m:e>
            <m:sub>
              <m:r>
                <w:rPr>
                  <w:rFonts w:ascii="Cambria Math" w:hAnsi="Cambria Math"/>
                  <w:lang w:val="en-US"/>
                </w:rPr>
                <m:t>i</m:t>
              </m:r>
            </m:sub>
          </m:sSub>
          <m:r>
            <w:rPr>
              <w:rFonts w:ascii="Cambria Math" w:hAnsi="Cambria Math"/>
              <w:lang w:val="en-US"/>
            </w:rPr>
            <m:t xml:space="preserve"> ~ bin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sp</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NDis</m:t>
                  </m:r>
                </m:e>
                <m:sub>
                  <m:r>
                    <w:rPr>
                      <w:rFonts w:ascii="Cambria Math" w:hAnsi="Cambria Math"/>
                      <w:lang w:val="en-US"/>
                    </w:rPr>
                    <m:t>i</m:t>
                  </m:r>
                </m:sub>
              </m:sSub>
            </m:e>
          </m:d>
        </m:oMath>
      </m:oMathPara>
    </w:p>
    <w:p w:rsidR="00DC5E97" w:rsidRPr="00E1587F" w:rsidRDefault="00F00C1F" w:rsidP="00A06B16">
      <w:pPr>
        <w:rPr>
          <w:rFonts w:eastAsiaTheme="minorEastAsia"/>
          <w:lang w:val="en-US"/>
        </w:rPr>
      </w:pPr>
      <m:oMathPara>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g(</m:t>
                  </m:r>
                  <m:sSub>
                    <m:sSubPr>
                      <m:ctrlPr>
                        <w:rPr>
                          <w:rFonts w:ascii="Cambria Math" w:hAnsi="Cambria Math"/>
                          <w:i/>
                          <w:lang w:val="en-US"/>
                        </w:rPr>
                      </m:ctrlPr>
                    </m:sSubPr>
                    <m:e>
                      <m:r>
                        <w:rPr>
                          <w:rFonts w:ascii="Cambria Math" w:hAnsi="Cambria Math"/>
                          <w:lang w:val="en-US"/>
                        </w:rPr>
                        <m:t>se</m:t>
                      </m:r>
                    </m:e>
                    <m:sub>
                      <m:r>
                        <w:rPr>
                          <w:rFonts w:ascii="Cambria Math" w:hAnsi="Cambria Math"/>
                          <w:lang w:val="en-US"/>
                        </w:rPr>
                        <m:t>i</m:t>
                      </m:r>
                    </m:sub>
                  </m:sSub>
                  <m:r>
                    <w:rPr>
                      <w:rFonts w:ascii="Cambria Math" w:eastAsiaTheme="minorEastAsia" w:hAnsi="Cambria Math"/>
                      <w:lang w:val="en-US"/>
                    </w:rPr>
                    <m:t>)</m:t>
                  </m:r>
                </m:num>
                <m:den>
                  <m:r>
                    <w:rPr>
                      <w:rFonts w:ascii="Cambria Math" w:eastAsiaTheme="minorEastAsia" w:hAnsi="Cambria Math"/>
                      <w:lang w:val="en-US"/>
                    </w:rPr>
                    <m:t>g(</m:t>
                  </m:r>
                  <m:sSub>
                    <m:sSubPr>
                      <m:ctrlPr>
                        <w:rPr>
                          <w:rFonts w:ascii="Cambria Math" w:hAnsi="Cambria Math"/>
                          <w:i/>
                          <w:lang w:val="en-US"/>
                        </w:rPr>
                      </m:ctrlPr>
                    </m:sSubPr>
                    <m:e>
                      <m:r>
                        <w:rPr>
                          <w:rFonts w:ascii="Cambria Math" w:hAnsi="Cambria Math"/>
                          <w:lang w:val="en-US"/>
                        </w:rPr>
                        <m:t>sp</m:t>
                      </m:r>
                    </m:e>
                    <m:sub>
                      <m:r>
                        <w:rPr>
                          <w:rFonts w:ascii="Cambria Math" w:hAnsi="Cambria Math"/>
                          <w:lang w:val="en-US"/>
                        </w:rPr>
                        <m:t>i</m:t>
                      </m:r>
                    </m:sub>
                  </m:sSub>
                  <m:r>
                    <w:rPr>
                      <w:rFonts w:ascii="Cambria Math" w:eastAsiaTheme="minorEastAsia" w:hAnsi="Cambria Math"/>
                      <w:lang w:val="en-US"/>
                    </w:rPr>
                    <m:t>)</m:t>
                  </m:r>
                </m:den>
              </m:f>
            </m:e>
          </m:d>
          <m:r>
            <w:rPr>
              <w:rFonts w:ascii="Cambria Math" w:eastAsiaTheme="minorEastAsia" w:hAnsi="Cambria Math"/>
              <w:lang w:val="en-US"/>
            </w:rPr>
            <m:t xml:space="preserve"> ~ N</m:t>
          </m:r>
          <m:d>
            <m:dPr>
              <m:endChr m:val=""/>
              <m:ctrlPr>
                <w:rPr>
                  <w:rFonts w:ascii="Cambria Math" w:eastAsiaTheme="minorEastAsia" w:hAnsi="Cambria Math"/>
                  <w:i/>
                  <w:lang w:val="en-US"/>
                </w:rPr>
              </m:ctrlPr>
            </m:dPr>
            <m:e>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Xβ</m:t>
                      </m:r>
                    </m:num>
                    <m:den>
                      <m:r>
                        <w:rPr>
                          <w:rFonts w:ascii="Cambria Math" w:eastAsiaTheme="minorEastAsia" w:hAnsi="Cambria Math"/>
                          <w:lang w:val="en-US"/>
                        </w:rPr>
                        <m:t>Xα</m:t>
                      </m:r>
                    </m:den>
                  </m:f>
                </m:e>
              </m:d>
            </m:e>
          </m:d>
          <m:r>
            <w:rPr>
              <w:rFonts w:ascii="Cambria Math" w:eastAsiaTheme="minorEastAsia" w:hAnsi="Cambria Math"/>
              <w:lang w:val="en-US"/>
            </w:rPr>
            <m:t xml:space="preserve">, </m:t>
          </m:r>
          <m:d>
            <m:dPr>
              <m:beg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e>
                      <m:e>
                        <m:sSub>
                          <m:sSubPr>
                            <m:ctrlPr>
                              <w:rPr>
                                <w:rFonts w:ascii="Cambria Math" w:eastAsiaTheme="minorEastAsia" w:hAnsi="Cambria Math"/>
                                <w:i/>
                                <w:lang w:val="en-US"/>
                              </w:rPr>
                            </m:ctrlPr>
                          </m:sSubPr>
                          <m:e>
                            <m:r>
                              <w:rPr>
                                <w:rFonts w:ascii="Cambria Math" w:eastAsiaTheme="minorEastAsia" w:hAnsi="Cambria Math"/>
                                <w:lang w:val="en-US"/>
                              </w:rPr>
                              <m:t>ρσ</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ρσ</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2</m:t>
                            </m:r>
                          </m:sub>
                        </m:sSub>
                      </m:e>
                      <m:e>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e>
                    </m:mr>
                  </m:m>
                </m:e>
              </m:d>
            </m:e>
          </m:d>
        </m:oMath>
      </m:oMathPara>
    </w:p>
    <w:p w:rsidR="00E1587F" w:rsidRDefault="00E1587F" w:rsidP="00A06B16">
      <w:pPr>
        <w:rPr>
          <w:rFonts w:eastAsiaTheme="minorEastAsia"/>
          <w:lang w:val="en-US"/>
        </w:rPr>
      </w:pPr>
      <w:r>
        <w:rPr>
          <w:rFonts w:eastAsiaTheme="minorEastAsia"/>
          <w:lang w:val="en-US"/>
        </w:rPr>
        <w:t xml:space="preserve">Here </w:t>
      </w:r>
      <w:proofErr w:type="gramStart"/>
      <w:r>
        <w:rPr>
          <w:rFonts w:eastAsiaTheme="minorEastAsia"/>
          <w:lang w:val="en-US"/>
        </w:rPr>
        <w:t>g(</w:t>
      </w:r>
      <w:proofErr w:type="gramEnd"/>
      <w:r>
        <w:rPr>
          <w:rFonts w:eastAsiaTheme="minorEastAsia"/>
          <w:lang w:val="en-US"/>
        </w:rPr>
        <w:t xml:space="preserve">.) is a monotonic function mapping sensitivity and specificity onto the real line. The </w:t>
      </w:r>
      <w:proofErr w:type="spellStart"/>
      <w:r>
        <w:rPr>
          <w:rFonts w:eastAsiaTheme="minorEastAsia"/>
          <w:lang w:val="en-US"/>
        </w:rPr>
        <w:t>logit</w:t>
      </w:r>
      <w:proofErr w:type="spellEnd"/>
      <w:r>
        <w:rPr>
          <w:rFonts w:eastAsiaTheme="minorEastAsia"/>
          <w:lang w:val="en-US"/>
        </w:rPr>
        <w:t xml:space="preserve"> function is the most commonly used transformation. </w:t>
      </w:r>
      <m:oMath>
        <m:r>
          <w:rPr>
            <w:rFonts w:ascii="Cambria Math" w:eastAsiaTheme="minorEastAsia" w:hAnsi="Cambria Math"/>
            <w:lang w:val="en-US"/>
          </w:rPr>
          <m:t>β</m:t>
        </m:r>
      </m:oMath>
      <w:r>
        <w:rPr>
          <w:rFonts w:eastAsiaTheme="minorEastAsia"/>
          <w:lang w:val="en-US"/>
        </w:rPr>
        <w:t xml:space="preserve"> </w:t>
      </w:r>
      <w:proofErr w:type="gramStart"/>
      <w:r>
        <w:rPr>
          <w:rFonts w:eastAsiaTheme="minorEastAsia"/>
          <w:lang w:val="en-US"/>
        </w:rPr>
        <w:t>and</w:t>
      </w:r>
      <w:proofErr w:type="gramEnd"/>
      <w:r>
        <w:rPr>
          <w:rFonts w:eastAsiaTheme="minorEastAsia"/>
          <w:lang w:val="en-US"/>
        </w:rPr>
        <w:t xml:space="preserve"> </w:t>
      </w:r>
      <m:oMath>
        <m:r>
          <w:rPr>
            <w:rFonts w:ascii="Cambria Math" w:eastAsiaTheme="minorEastAsia" w:hAnsi="Cambria Math"/>
            <w:lang w:val="en-US"/>
          </w:rPr>
          <m:t>α</m:t>
        </m:r>
      </m:oMath>
      <w:r>
        <w:rPr>
          <w:rFonts w:eastAsiaTheme="minorEastAsia"/>
          <w:lang w:val="en-US"/>
        </w:rPr>
        <w:t xml:space="preserve"> are the regression coefficients for sensitivity and specificity in the scale of g. </w:t>
      </w:r>
      <m:oMath>
        <m:r>
          <w:rPr>
            <w:rFonts w:ascii="Cambria Math" w:eastAsiaTheme="minorEastAsia" w:hAnsi="Cambria Math"/>
            <w:lang w:val="en-US"/>
          </w:rPr>
          <m:t>X</m:t>
        </m:r>
      </m:oMath>
      <w:r>
        <w:rPr>
          <w:rFonts w:eastAsiaTheme="minorEastAsia"/>
          <w:lang w:val="en-US"/>
        </w:rPr>
        <w:t xml:space="preserve"> is the design matrix containing the covariate information. The intercept only model corresponds to </w:t>
      </w:r>
      <m:oMath>
        <m:r>
          <w:rPr>
            <w:rFonts w:ascii="Cambria Math" w:eastAsiaTheme="minorEastAsia" w:hAnsi="Cambria Math"/>
            <w:lang w:val="en-US"/>
          </w:rPr>
          <m:t>X</m:t>
        </m:r>
      </m:oMath>
      <w:r w:rsidR="0038334C">
        <w:rPr>
          <w:rFonts w:eastAsiaTheme="minorEastAsia"/>
          <w:lang w:val="en-US"/>
        </w:rPr>
        <w:t xml:space="preserve"> being a single column of 1’s. </w:t>
      </w:r>
      <w:r w:rsidR="00AA312B">
        <w:rPr>
          <w:rFonts w:eastAsiaTheme="minorEastAsia"/>
          <w:lang w:val="en-US"/>
        </w:rPr>
        <w:t>Consequently</w:t>
      </w:r>
      <w:r w:rsidR="0038334C">
        <w:rPr>
          <w:rFonts w:eastAsiaTheme="minorEastAsia"/>
          <w:lang w:val="en-US"/>
        </w:rPr>
        <w:t xml:space="preserve">, </w:t>
      </w:r>
      <m:oMath>
        <m:r>
          <w:rPr>
            <w:rFonts w:ascii="Cambria Math" w:eastAsiaTheme="minorEastAsia" w:hAnsi="Cambria Math"/>
            <w:lang w:val="en-US"/>
          </w:rPr>
          <m:t>β</m:t>
        </m:r>
      </m:oMath>
      <w:r w:rsidR="0038334C">
        <w:rPr>
          <w:rFonts w:eastAsiaTheme="minorEastAsia"/>
          <w:lang w:val="en-US"/>
        </w:rPr>
        <w:t xml:space="preserve"> and </w:t>
      </w:r>
      <m:oMath>
        <m:r>
          <w:rPr>
            <w:rFonts w:ascii="Cambria Math" w:eastAsiaTheme="minorEastAsia" w:hAnsi="Cambria Math"/>
            <w:lang w:val="en-US"/>
          </w:rPr>
          <m:t>α</m:t>
        </m:r>
      </m:oMath>
      <w:r w:rsidR="0038334C">
        <w:rPr>
          <w:rFonts w:eastAsiaTheme="minorEastAsia"/>
          <w:lang w:val="en-US"/>
        </w:rPr>
        <w:t xml:space="preserve"> are the mean of sensitivity and specificity in the scale of g.  </w:t>
      </w:r>
    </w:p>
    <w:p w:rsidR="0038334C" w:rsidRDefault="0038334C" w:rsidP="00A06B16">
      <w:pPr>
        <w:rPr>
          <w:rFonts w:eastAsiaTheme="minorEastAsia"/>
          <w:lang w:val="en-US"/>
        </w:rPr>
      </w:pPr>
      <w:r>
        <w:rPr>
          <w:rFonts w:eastAsiaTheme="minorEastAsia"/>
          <w:lang w:val="en-US"/>
        </w:rPr>
        <w:t xml:space="preserve">Transforming </w:t>
      </w:r>
      <m:oMath>
        <m:r>
          <w:rPr>
            <w:rFonts w:ascii="Cambria Math" w:eastAsiaTheme="minorEastAsia" w:hAnsi="Cambria Math"/>
            <w:lang w:val="en-US"/>
          </w:rPr>
          <m:t>β</m:t>
        </m:r>
      </m:oMath>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using the inverse function of g</w:t>
      </w:r>
      <w:r w:rsidR="002C177F">
        <w:rPr>
          <w:rFonts w:eastAsiaTheme="minorEastAsia"/>
          <w:lang w:val="en-US"/>
        </w:rPr>
        <w:t xml:space="preserve"> </w:t>
      </w:r>
      <w:r>
        <w:rPr>
          <w:rFonts w:eastAsiaTheme="minorEastAsia"/>
          <w:lang w:val="en-US"/>
        </w:rPr>
        <w:t xml:space="preserve">(.) yields the mean of sensitivity and specificity for hypothetical studies that have the random-effects equal to zero. To obtain the population-averaged mean, the random-effects should be </w:t>
      </w:r>
      <w:r w:rsidR="00AA312B">
        <w:rPr>
          <w:rFonts w:eastAsiaTheme="minorEastAsia"/>
          <w:lang w:val="en-US"/>
        </w:rPr>
        <w:t>integrated</w:t>
      </w:r>
      <w:r>
        <w:rPr>
          <w:rFonts w:eastAsiaTheme="minorEastAsia"/>
          <w:lang w:val="en-US"/>
        </w:rPr>
        <w:t xml:space="preserve"> out. This is not a trivial task </w:t>
      </w:r>
      <w:r w:rsidR="00B86BE1">
        <w:rPr>
          <w:rFonts w:eastAsiaTheme="minorEastAsia"/>
          <w:lang w:val="en-US"/>
        </w:rPr>
        <w:t>which</w:t>
      </w:r>
      <w:r>
        <w:rPr>
          <w:rFonts w:eastAsiaTheme="minorEastAsia"/>
          <w:lang w:val="en-US"/>
        </w:rPr>
        <w:t xml:space="preserve"> is typically overlooked in practice. </w:t>
      </w:r>
      <w:r w:rsidR="002C177F">
        <w:rPr>
          <w:rFonts w:eastAsiaTheme="minorEastAsia"/>
          <w:lang w:val="en-US"/>
        </w:rPr>
        <w:t>Nonetheless, it has implications on the interpretation of the results.</w:t>
      </w:r>
    </w:p>
    <w:p w:rsidR="00173AC4" w:rsidRDefault="00173AC4" w:rsidP="00A06B16">
      <w:pPr>
        <w:rPr>
          <w:rFonts w:eastAsiaTheme="minorEastAsia"/>
          <w:color w:val="FF0000"/>
          <w:lang w:val="en-US"/>
        </w:rPr>
      </w:pPr>
      <w:r>
        <w:rPr>
          <w:rFonts w:eastAsiaTheme="minorEastAsia"/>
          <w:lang w:val="en-US"/>
        </w:rPr>
        <w:t xml:space="preserve">There are </w:t>
      </w:r>
      <w:r w:rsidR="00AA312B">
        <w:rPr>
          <w:rFonts w:eastAsiaTheme="minorEastAsia"/>
          <w:lang w:val="en-US"/>
        </w:rPr>
        <w:t>at least</w:t>
      </w:r>
      <w:r>
        <w:rPr>
          <w:rFonts w:eastAsiaTheme="minorEastAsia"/>
          <w:lang w:val="en-US"/>
        </w:rPr>
        <w:t xml:space="preserve"> five parameters in the model to be identified. This implies that the model requires at least five observations to enable model identification. When the number of studies is less than five, the analyst can choose to not to estimate the correlation parameter and set it to zero. </w:t>
      </w:r>
    </w:p>
    <w:p w:rsidR="00506414" w:rsidRPr="00506414" w:rsidRDefault="00506414" w:rsidP="00A06B16">
      <w:pPr>
        <w:rPr>
          <w:rFonts w:eastAsiaTheme="minorEastAsia"/>
          <w:lang w:val="en-US"/>
        </w:rPr>
      </w:pPr>
      <w:r>
        <w:rPr>
          <w:rFonts w:eastAsiaTheme="minorEastAsia"/>
          <w:lang w:val="en-US"/>
        </w:rPr>
        <w:t xml:space="preserve">The variance –covariance matrix is therefore: </w:t>
      </w: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e>
                <m:e>
                  <m:r>
                    <w:rPr>
                      <w:rFonts w:ascii="Cambria Math" w:eastAsiaTheme="minorEastAsia" w:hAnsi="Cambria Math"/>
                      <w:lang w:val="en-US"/>
                    </w:rPr>
                    <m:t>0</m:t>
                  </m:r>
                </m:e>
              </m:mr>
              <m:mr>
                <m:e>
                  <m:r>
                    <w:rPr>
                      <w:rFonts w:ascii="Cambria Math" w:eastAsiaTheme="minorEastAsia" w:hAnsi="Cambria Math"/>
                      <w:lang w:val="en-US"/>
                    </w:rPr>
                    <m:t>0</m:t>
                  </m:r>
                </m:e>
                <m:e>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e>
              </m:mr>
            </m:m>
          </m:e>
        </m:d>
      </m:oMath>
    </w:p>
    <w:p w:rsidR="00DC5E97" w:rsidRDefault="00173AC4" w:rsidP="00A06B16">
      <w:pPr>
        <w:rPr>
          <w:rFonts w:eastAsiaTheme="minorEastAsia"/>
          <w:color w:val="FF0000"/>
          <w:lang w:val="en-US"/>
        </w:rPr>
      </w:pPr>
      <w:r>
        <w:rPr>
          <w:rFonts w:eastAsiaTheme="minorEastAsia"/>
          <w:lang w:val="en-US"/>
        </w:rPr>
        <w:t>When there are less than three studies, the between-study variability can be assumed to be zero resulting in a fixed effects model</w:t>
      </w:r>
      <w:r w:rsidR="00506414">
        <w:rPr>
          <w:rFonts w:eastAsiaTheme="minorEastAsia"/>
          <w:lang w:val="en-US"/>
        </w:rPr>
        <w:t xml:space="preserve"> with only two parameters to estimate</w:t>
      </w:r>
      <w:r w:rsidR="00AD269A">
        <w:rPr>
          <w:rFonts w:eastAsiaTheme="minorEastAsia"/>
          <w:lang w:val="en-US"/>
        </w:rPr>
        <w:t xml:space="preserve"> </w:t>
      </w:r>
      <w:proofErr w:type="spellStart"/>
      <w:r w:rsidR="00AD269A">
        <w:rPr>
          <w:rFonts w:eastAsiaTheme="minorEastAsia"/>
          <w:lang w:val="en-US"/>
        </w:rPr>
        <w:t>i.e</w:t>
      </w:r>
      <w:proofErr w:type="spellEnd"/>
      <w:r w:rsidR="00AD269A">
        <w:rPr>
          <w:rFonts w:eastAsiaTheme="minorEastAsia"/>
          <w:lang w:val="en-US"/>
        </w:rPr>
        <w:t xml:space="preserve"> </w:t>
      </w:r>
      <m:oMath>
        <m:r>
          <w:rPr>
            <w:rFonts w:ascii="Cambria Math" w:eastAsiaTheme="minorEastAsia" w:hAnsi="Cambria Math"/>
            <w:lang w:val="en-US"/>
          </w:rPr>
          <m:t>β</m:t>
        </m:r>
      </m:oMath>
      <w:r w:rsidR="00AD269A">
        <w:rPr>
          <w:rFonts w:eastAsiaTheme="minorEastAsia"/>
          <w:lang w:val="en-US"/>
        </w:rPr>
        <w:t xml:space="preserve"> and </w:t>
      </w:r>
      <m:oMath>
        <m:r>
          <w:rPr>
            <w:rFonts w:ascii="Cambria Math" w:eastAsiaTheme="minorEastAsia" w:hAnsi="Cambria Math"/>
            <w:lang w:val="en-US"/>
          </w:rPr>
          <m:t>α</m:t>
        </m:r>
      </m:oMath>
      <w:r w:rsidR="00AD269A">
        <w:rPr>
          <w:rFonts w:eastAsiaTheme="minorEastAsia"/>
          <w:lang w:val="en-US"/>
        </w:rPr>
        <w:t xml:space="preserve"> </w:t>
      </w:r>
      <w:r>
        <w:rPr>
          <w:rFonts w:eastAsiaTheme="minorEastAsia"/>
          <w:lang w:val="en-US"/>
        </w:rPr>
        <w:t xml:space="preserve">. </w:t>
      </w:r>
    </w:p>
    <w:p w:rsidR="00506414" w:rsidRDefault="00506414" w:rsidP="00506414">
      <w:pPr>
        <w:pStyle w:val="Heading1"/>
        <w:rPr>
          <w:rFonts w:eastAsiaTheme="minorEastAsia"/>
          <w:lang w:val="en-US"/>
        </w:rPr>
      </w:pPr>
      <w:r>
        <w:rPr>
          <w:rFonts w:eastAsiaTheme="minorEastAsia"/>
          <w:lang w:val="en-US"/>
        </w:rPr>
        <w:t>Software development</w:t>
      </w:r>
    </w:p>
    <w:p w:rsidR="003C3B14" w:rsidRPr="007F365B" w:rsidRDefault="002C177F" w:rsidP="00506414">
      <w:pPr>
        <w:rPr>
          <w:lang w:val="en-US"/>
        </w:rPr>
      </w:pPr>
      <w:r>
        <w:rPr>
          <w:lang w:val="en-US"/>
        </w:rPr>
        <w:t>The model is fitted in SAS 9.3</w:t>
      </w:r>
      <w:r w:rsidR="00506414">
        <w:rPr>
          <w:lang w:val="en-US"/>
        </w:rPr>
        <w:t xml:space="preserve"> using PROC NLMIXED. The </w:t>
      </w:r>
      <w:proofErr w:type="spellStart"/>
      <w:r w:rsidR="00506414">
        <w:rPr>
          <w:lang w:val="en-US"/>
        </w:rPr>
        <w:t>madareg</w:t>
      </w:r>
      <w:proofErr w:type="spellEnd"/>
      <w:r w:rsidR="00506414">
        <w:rPr>
          <w:lang w:val="en-US"/>
        </w:rPr>
        <w:t xml:space="preserve"> macro requires the following parameters:</w:t>
      </w:r>
      <w:r w:rsidR="003C3B14" w:rsidRPr="007F365B">
        <w:rPr>
          <w:lang w:val="en-US"/>
        </w:rPr>
        <w:tab/>
      </w:r>
      <w:r w:rsidR="003C3B14" w:rsidRPr="007F365B">
        <w:rPr>
          <w:lang w:val="en-US"/>
        </w:rPr>
        <w:tab/>
      </w:r>
      <w:r w:rsidR="003C3B14" w:rsidRPr="007F365B">
        <w:rPr>
          <w:lang w:val="en-US"/>
        </w:rPr>
        <w:tab/>
      </w:r>
      <w:r w:rsidR="003C3B14" w:rsidRPr="007F365B">
        <w:rPr>
          <w:lang w:val="en-US"/>
        </w:rPr>
        <w:tab/>
      </w:r>
      <w:r w:rsidR="003C3B14" w:rsidRPr="007F365B">
        <w:rPr>
          <w:lang w:val="en-US"/>
        </w:rPr>
        <w:tab/>
      </w:r>
      <w:r w:rsidR="003C3B14" w:rsidRPr="007F365B">
        <w:rPr>
          <w:lang w:val="en-US"/>
        </w:rPr>
        <w:tab/>
      </w:r>
      <w:r w:rsidR="003C3B14" w:rsidRPr="007F365B">
        <w:rPr>
          <w:lang w:val="en-US"/>
        </w:rPr>
        <w:tab/>
      </w:r>
      <w:r w:rsidR="003C3B14" w:rsidRPr="007F365B">
        <w:rPr>
          <w:lang w:val="en-US"/>
        </w:rPr>
        <w:tab/>
      </w:r>
      <w:r w:rsidR="003C3B14" w:rsidRPr="007F365B">
        <w:rPr>
          <w:lang w:val="en-US"/>
        </w:rPr>
        <w:tab/>
      </w:r>
      <w:r w:rsidR="003C3B14" w:rsidRPr="007F365B">
        <w:rPr>
          <w:lang w:val="en-US"/>
        </w:rPr>
        <w:tab/>
      </w:r>
    </w:p>
    <w:p w:rsidR="003C3B14" w:rsidRDefault="003C3B14" w:rsidP="00940DF2">
      <w:pPr>
        <w:ind w:left="2160" w:hanging="2160"/>
        <w:rPr>
          <w:lang w:val="en-US"/>
        </w:rPr>
      </w:pPr>
      <w:proofErr w:type="spellStart"/>
      <w:proofErr w:type="gramStart"/>
      <w:r w:rsidRPr="007F365B">
        <w:rPr>
          <w:lang w:val="en-US"/>
        </w:rPr>
        <w:t>dtfile</w:t>
      </w:r>
      <w:proofErr w:type="spellEnd"/>
      <w:proofErr w:type="gramEnd"/>
      <w:r>
        <w:rPr>
          <w:lang w:val="en-US"/>
        </w:rPr>
        <w:t xml:space="preserve"> </w:t>
      </w:r>
      <w:r w:rsidRPr="007F365B">
        <w:rPr>
          <w:lang w:val="en-US"/>
        </w:rPr>
        <w:t>=</w:t>
      </w:r>
      <w:r>
        <w:rPr>
          <w:lang w:val="en-US"/>
        </w:rPr>
        <w:t xml:space="preserve"> </w:t>
      </w:r>
      <w:r w:rsidRPr="007F365B">
        <w:rPr>
          <w:lang w:val="en-US"/>
        </w:rPr>
        <w:t>'text'</w:t>
      </w:r>
      <w:r w:rsidRPr="007F365B">
        <w:rPr>
          <w:lang w:val="en-US"/>
        </w:rPr>
        <w:tab/>
        <w:t xml:space="preserve">The path and name of the Excel or </w:t>
      </w:r>
      <w:proofErr w:type="spellStart"/>
      <w:r w:rsidRPr="007F365B">
        <w:rPr>
          <w:lang w:val="en-US"/>
        </w:rPr>
        <w:t>Stata</w:t>
      </w:r>
      <w:proofErr w:type="spellEnd"/>
      <w:r w:rsidRPr="007F365B">
        <w:rPr>
          <w:lang w:val="en-US"/>
        </w:rPr>
        <w:t xml:space="preserve"> f</w:t>
      </w:r>
      <w:r>
        <w:rPr>
          <w:lang w:val="en-US"/>
        </w:rPr>
        <w:t xml:space="preserve">ile to import </w:t>
      </w:r>
      <w:r w:rsidRPr="007F365B">
        <w:rPr>
          <w:lang w:val="en-US"/>
        </w:rPr>
        <w:t>e.g. 'C:\Documen</w:t>
      </w:r>
      <w:r>
        <w:rPr>
          <w:lang w:val="en-US"/>
        </w:rPr>
        <w:t>ts\DTA\</w:t>
      </w:r>
      <w:proofErr w:type="spellStart"/>
      <w:r>
        <w:rPr>
          <w:lang w:val="en-US"/>
        </w:rPr>
        <w:t>Revman</w:t>
      </w:r>
      <w:proofErr w:type="spellEnd"/>
      <w:r>
        <w:rPr>
          <w:lang w:val="en-US"/>
        </w:rPr>
        <w:t xml:space="preserve"> Test Data.xls'. </w:t>
      </w:r>
      <w:r w:rsidRPr="007F365B">
        <w:rPr>
          <w:lang w:val="en-US"/>
        </w:rPr>
        <w:t>The file extension (.xl, .</w:t>
      </w:r>
      <w:proofErr w:type="spellStart"/>
      <w:r>
        <w:rPr>
          <w:lang w:val="en-US"/>
        </w:rPr>
        <w:t>csv</w:t>
      </w:r>
      <w:proofErr w:type="spellEnd"/>
      <w:r>
        <w:rPr>
          <w:lang w:val="en-US"/>
        </w:rPr>
        <w:t xml:space="preserve"> or .</w:t>
      </w:r>
      <w:proofErr w:type="spellStart"/>
      <w:r>
        <w:rPr>
          <w:lang w:val="en-US"/>
        </w:rPr>
        <w:t>dta</w:t>
      </w:r>
      <w:proofErr w:type="spellEnd"/>
      <w:r>
        <w:rPr>
          <w:lang w:val="en-US"/>
        </w:rPr>
        <w:t xml:space="preserve">) must be included. </w:t>
      </w:r>
    </w:p>
    <w:p w:rsidR="003C3B14" w:rsidRPr="007F365B" w:rsidRDefault="003C3B14" w:rsidP="003C3B14">
      <w:pPr>
        <w:rPr>
          <w:lang w:val="en-US"/>
        </w:rPr>
      </w:pPr>
      <w:proofErr w:type="gramStart"/>
      <w:r>
        <w:rPr>
          <w:lang w:val="en-US"/>
        </w:rPr>
        <w:t>import</w:t>
      </w:r>
      <w:proofErr w:type="gramEnd"/>
      <w:r>
        <w:rPr>
          <w:lang w:val="en-US"/>
        </w:rPr>
        <w:t xml:space="preserve"> = y/n</w:t>
      </w:r>
      <w:r>
        <w:rPr>
          <w:lang w:val="en-US"/>
        </w:rPr>
        <w:tab/>
      </w:r>
      <w:r>
        <w:rPr>
          <w:lang w:val="en-US"/>
        </w:rPr>
        <w:tab/>
      </w:r>
      <w:r w:rsidRPr="007F365B">
        <w:rPr>
          <w:lang w:val="en-US"/>
        </w:rPr>
        <w:t xml:space="preserve">If = n, a data set must be provided with the </w:t>
      </w:r>
      <w:proofErr w:type="spellStart"/>
      <w:r w:rsidRPr="007F365B">
        <w:rPr>
          <w:lang w:val="en-US"/>
        </w:rPr>
        <w:t>dsname</w:t>
      </w:r>
      <w:proofErr w:type="spellEnd"/>
      <w:r w:rsidR="002C177F">
        <w:rPr>
          <w:lang w:val="en-US"/>
        </w:rPr>
        <w:t xml:space="preserve"> </w:t>
      </w:r>
      <w:r w:rsidRPr="007F365B">
        <w:rPr>
          <w:lang w:val="en-US"/>
        </w:rPr>
        <w:t>= option. The default is y.</w:t>
      </w:r>
      <w:r w:rsidRPr="007F365B">
        <w:rPr>
          <w:lang w:val="en-US"/>
        </w:rPr>
        <w:tab/>
      </w:r>
    </w:p>
    <w:p w:rsidR="003C3B14" w:rsidRDefault="003C3B14" w:rsidP="003C3B14">
      <w:pPr>
        <w:rPr>
          <w:lang w:val="en-US"/>
        </w:rPr>
      </w:pPr>
      <w:proofErr w:type="spellStart"/>
      <w:proofErr w:type="gramStart"/>
      <w:r>
        <w:rPr>
          <w:lang w:val="en-US"/>
        </w:rPr>
        <w:t>dsname</w:t>
      </w:r>
      <w:proofErr w:type="spellEnd"/>
      <w:proofErr w:type="gramEnd"/>
      <w:r>
        <w:rPr>
          <w:lang w:val="en-US"/>
        </w:rPr>
        <w:t xml:space="preserve"> = data set</w:t>
      </w:r>
      <w:r>
        <w:rPr>
          <w:lang w:val="en-US"/>
        </w:rPr>
        <w:tab/>
      </w:r>
      <w:r w:rsidRPr="007F365B">
        <w:rPr>
          <w:lang w:val="en-US"/>
        </w:rPr>
        <w:t>The input data set if no data import is required.</w:t>
      </w:r>
      <w:r w:rsidRPr="007F365B">
        <w:rPr>
          <w:lang w:val="en-US"/>
        </w:rPr>
        <w:tab/>
      </w:r>
    </w:p>
    <w:p w:rsidR="003C3B14" w:rsidRDefault="003C3B14" w:rsidP="003C3B14">
      <w:pPr>
        <w:rPr>
          <w:lang w:val="en-US"/>
        </w:rPr>
      </w:pPr>
      <w:proofErr w:type="gramStart"/>
      <w:r w:rsidRPr="007F365B">
        <w:rPr>
          <w:lang w:val="en-US"/>
        </w:rPr>
        <w:t>tech</w:t>
      </w:r>
      <w:proofErr w:type="gramEnd"/>
      <w:r>
        <w:rPr>
          <w:lang w:val="en-US"/>
        </w:rPr>
        <w:t xml:space="preserve"> </w:t>
      </w:r>
      <w:r w:rsidRPr="007F365B">
        <w:rPr>
          <w:lang w:val="en-US"/>
        </w:rPr>
        <w:t>=</w:t>
      </w:r>
      <w:r>
        <w:rPr>
          <w:lang w:val="en-US"/>
        </w:rPr>
        <w:t xml:space="preserve"> </w:t>
      </w:r>
      <w:proofErr w:type="spellStart"/>
      <w:r w:rsidRPr="007F365B">
        <w:rPr>
          <w:lang w:val="en-US"/>
        </w:rPr>
        <w:t>quanew</w:t>
      </w:r>
      <w:proofErr w:type="spellEnd"/>
      <w:r w:rsidRPr="007F365B">
        <w:rPr>
          <w:lang w:val="en-US"/>
        </w:rPr>
        <w:t>/</w:t>
      </w:r>
      <w:proofErr w:type="spellStart"/>
      <w:r w:rsidRPr="007F365B">
        <w:rPr>
          <w:lang w:val="en-US"/>
        </w:rPr>
        <w:t>newrap</w:t>
      </w:r>
      <w:proofErr w:type="spellEnd"/>
      <w:r w:rsidRPr="007F365B">
        <w:rPr>
          <w:lang w:val="en-US"/>
        </w:rPr>
        <w:t>/</w:t>
      </w:r>
      <w:proofErr w:type="spellStart"/>
      <w:r w:rsidRPr="007F365B">
        <w:rPr>
          <w:lang w:val="en-US"/>
        </w:rPr>
        <w:t>trureg</w:t>
      </w:r>
      <w:proofErr w:type="spellEnd"/>
      <w:r w:rsidRPr="007F365B">
        <w:rPr>
          <w:lang w:val="en-US"/>
        </w:rPr>
        <w:t>/</w:t>
      </w:r>
      <w:proofErr w:type="spellStart"/>
      <w:r w:rsidRPr="007F365B">
        <w:rPr>
          <w:lang w:val="en-US"/>
        </w:rPr>
        <w:t>nrridg</w:t>
      </w:r>
      <w:proofErr w:type="spellEnd"/>
      <w:r w:rsidRPr="007F365B">
        <w:rPr>
          <w:lang w:val="en-US"/>
        </w:rPr>
        <w:t>/</w:t>
      </w:r>
      <w:proofErr w:type="spellStart"/>
      <w:r w:rsidRPr="007F365B">
        <w:rPr>
          <w:lang w:val="en-US"/>
        </w:rPr>
        <w:t>dbldog</w:t>
      </w:r>
      <w:proofErr w:type="spellEnd"/>
      <w:r w:rsidRPr="007F365B">
        <w:rPr>
          <w:lang w:val="en-US"/>
        </w:rPr>
        <w:t>/</w:t>
      </w:r>
      <w:proofErr w:type="spellStart"/>
      <w:r w:rsidRPr="007F365B">
        <w:rPr>
          <w:lang w:val="en-US"/>
        </w:rPr>
        <w:t>congra</w:t>
      </w:r>
      <w:proofErr w:type="spellEnd"/>
      <w:r w:rsidRPr="007F365B">
        <w:rPr>
          <w:lang w:val="en-US"/>
        </w:rPr>
        <w:t>/</w:t>
      </w:r>
      <w:proofErr w:type="spellStart"/>
      <w:r w:rsidRPr="007F365B">
        <w:rPr>
          <w:lang w:val="en-US"/>
        </w:rPr>
        <w:t>nmsimp</w:t>
      </w:r>
      <w:proofErr w:type="spellEnd"/>
      <w:r w:rsidRPr="007F365B">
        <w:rPr>
          <w:lang w:val="en-US"/>
        </w:rPr>
        <w:tab/>
      </w:r>
    </w:p>
    <w:p w:rsidR="003C3B14" w:rsidRDefault="003C3B14" w:rsidP="003C3B14">
      <w:pPr>
        <w:ind w:left="2160"/>
        <w:rPr>
          <w:lang w:val="en-US"/>
        </w:rPr>
      </w:pPr>
      <w:r w:rsidRPr="007F365B">
        <w:rPr>
          <w:lang w:val="en-US"/>
        </w:rPr>
        <w:t>There are several optimization techniques available with P</w:t>
      </w:r>
      <w:r w:rsidR="002C177F">
        <w:rPr>
          <w:lang w:val="en-US"/>
        </w:rPr>
        <w:t xml:space="preserve">ROC </w:t>
      </w:r>
      <w:r w:rsidRPr="007F365B">
        <w:rPr>
          <w:lang w:val="en-US"/>
        </w:rPr>
        <w:t>NLMIXED. No algorithm fo</w:t>
      </w:r>
      <w:r w:rsidR="00940DF2">
        <w:rPr>
          <w:lang w:val="en-US"/>
        </w:rPr>
        <w:t xml:space="preserve">r optimizing general nonlinear </w:t>
      </w:r>
      <w:r w:rsidRPr="007F365B">
        <w:rPr>
          <w:lang w:val="en-US"/>
        </w:rPr>
        <w:t xml:space="preserve">functions exists that always finds the global optimum for a general nonlinear minimization problem in a reasonable </w:t>
      </w:r>
      <w:r w:rsidRPr="007F365B">
        <w:rPr>
          <w:lang w:val="en-US"/>
        </w:rPr>
        <w:lastRenderedPageBreak/>
        <w:t>amount of time. This parameter enables the user to select a</w:t>
      </w:r>
      <w:r>
        <w:rPr>
          <w:lang w:val="en-US"/>
        </w:rPr>
        <w:t xml:space="preserve"> </w:t>
      </w:r>
      <w:r w:rsidRPr="007F365B">
        <w:rPr>
          <w:lang w:val="en-US"/>
        </w:rPr>
        <w:t>technique as they would do if they were running NLMIXED directly. The default is tech=QUANEW.</w:t>
      </w:r>
      <w:r>
        <w:rPr>
          <w:lang w:val="en-US"/>
        </w:rPr>
        <w:t xml:space="preserve"> </w:t>
      </w:r>
      <w:r w:rsidR="00940DF2">
        <w:rPr>
          <w:lang w:val="en-US"/>
        </w:rPr>
        <w:t xml:space="preserve">For more </w:t>
      </w:r>
      <w:r w:rsidRPr="007F365B">
        <w:rPr>
          <w:lang w:val="en-US"/>
        </w:rPr>
        <w:t>information and algorithm descriptions, see the SAS user</w:t>
      </w:r>
      <w:r w:rsidR="00940DF2">
        <w:rPr>
          <w:lang w:val="en-US"/>
        </w:rPr>
        <w:t xml:space="preserve"> </w:t>
      </w:r>
      <w:r w:rsidRPr="007F365B">
        <w:rPr>
          <w:lang w:val="en-US"/>
        </w:rPr>
        <w:t>documentation for NLMIXED.</w:t>
      </w:r>
    </w:p>
    <w:p w:rsidR="002C177F" w:rsidRDefault="003C3B14" w:rsidP="003C3B14">
      <w:pPr>
        <w:ind w:left="2160" w:hanging="2160"/>
        <w:rPr>
          <w:lang w:val="en-US"/>
        </w:rPr>
      </w:pPr>
      <w:proofErr w:type="spellStart"/>
      <w:proofErr w:type="gramStart"/>
      <w:r>
        <w:rPr>
          <w:lang w:val="en-US"/>
        </w:rPr>
        <w:t>ident</w:t>
      </w:r>
      <w:proofErr w:type="spellEnd"/>
      <w:proofErr w:type="gramEnd"/>
      <w:r>
        <w:rPr>
          <w:lang w:val="en-US"/>
        </w:rPr>
        <w:t xml:space="preserve"> = y/n</w:t>
      </w:r>
      <w:r>
        <w:rPr>
          <w:lang w:val="en-US"/>
        </w:rPr>
        <w:tab/>
      </w:r>
      <w:r w:rsidRPr="007F365B">
        <w:rPr>
          <w:lang w:val="en-US"/>
        </w:rPr>
        <w:t xml:space="preserve">A potential problem with numerical maximization of the </w:t>
      </w:r>
      <w:r>
        <w:rPr>
          <w:lang w:val="en-US"/>
        </w:rPr>
        <w:t xml:space="preserve">likelihood function is </w:t>
      </w:r>
      <w:proofErr w:type="spellStart"/>
      <w:r>
        <w:rPr>
          <w:lang w:val="en-US"/>
        </w:rPr>
        <w:t>i</w:t>
      </w:r>
      <w:r w:rsidRPr="007F365B">
        <w:rPr>
          <w:lang w:val="en-US"/>
        </w:rPr>
        <w:t>dentifiability</w:t>
      </w:r>
      <w:proofErr w:type="spellEnd"/>
      <w:r w:rsidRPr="007F365B">
        <w:rPr>
          <w:lang w:val="en-US"/>
        </w:rPr>
        <w:t xml:space="preserve"> of model parameters. When this occurs, the lik</w:t>
      </w:r>
      <w:r>
        <w:rPr>
          <w:lang w:val="en-US"/>
        </w:rPr>
        <w:t xml:space="preserve">elihood will equal its maximum </w:t>
      </w:r>
      <w:r w:rsidRPr="007F365B">
        <w:rPr>
          <w:lang w:val="en-US"/>
        </w:rPr>
        <w:t>value at a set of parameter values instead of at a single point. To detect if ther</w:t>
      </w:r>
      <w:r>
        <w:rPr>
          <w:lang w:val="en-US"/>
        </w:rPr>
        <w:t xml:space="preserve">e is a problem, you could try </w:t>
      </w:r>
      <w:r w:rsidRPr="007F365B">
        <w:rPr>
          <w:lang w:val="en-US"/>
        </w:rPr>
        <w:t>different initial values of</w:t>
      </w:r>
      <w:r>
        <w:rPr>
          <w:lang w:val="en-US"/>
        </w:rPr>
        <w:t xml:space="preserve"> the parameters and check for </w:t>
      </w:r>
      <w:r w:rsidRPr="007F365B">
        <w:rPr>
          <w:lang w:val="en-US"/>
        </w:rPr>
        <w:t>changes in parameter estimat</w:t>
      </w:r>
      <w:r>
        <w:rPr>
          <w:lang w:val="en-US"/>
        </w:rPr>
        <w:t>es or by examining the Hessian matrix at convergence.</w:t>
      </w:r>
      <w:r w:rsidR="00940DF2">
        <w:rPr>
          <w:lang w:val="en-US"/>
        </w:rPr>
        <w:t xml:space="preserve"> </w:t>
      </w:r>
      <w:r w:rsidRPr="007F365B">
        <w:rPr>
          <w:lang w:val="en-US"/>
        </w:rPr>
        <w:t xml:space="preserve">If </w:t>
      </w:r>
      <w:proofErr w:type="spellStart"/>
      <w:r w:rsidRPr="007F365B">
        <w:rPr>
          <w:lang w:val="en-US"/>
        </w:rPr>
        <w:t>ident</w:t>
      </w:r>
      <w:proofErr w:type="spellEnd"/>
      <w:r w:rsidR="002C177F">
        <w:rPr>
          <w:lang w:val="en-US"/>
        </w:rPr>
        <w:t xml:space="preserve"> </w:t>
      </w:r>
      <w:r w:rsidRPr="007F365B">
        <w:rPr>
          <w:lang w:val="en-US"/>
        </w:rPr>
        <w:t>=</w:t>
      </w:r>
      <w:r w:rsidR="002C177F">
        <w:rPr>
          <w:lang w:val="en-US"/>
        </w:rPr>
        <w:t xml:space="preserve"> </w:t>
      </w:r>
      <w:r w:rsidRPr="007F365B">
        <w:rPr>
          <w:lang w:val="en-US"/>
        </w:rPr>
        <w:t>y the Hessian matrix after optimization is</w:t>
      </w:r>
      <w:r>
        <w:rPr>
          <w:lang w:val="en-US"/>
        </w:rPr>
        <w:t xml:space="preserve"> </w:t>
      </w:r>
      <w:r w:rsidRPr="007F365B">
        <w:rPr>
          <w:lang w:val="en-US"/>
        </w:rPr>
        <w:t>produced and the eigenvalues of the Hessian are calculated (with values saved in</w:t>
      </w:r>
      <w:r>
        <w:rPr>
          <w:lang w:val="en-US"/>
        </w:rPr>
        <w:t xml:space="preserve"> _</w:t>
      </w:r>
      <w:proofErr w:type="spellStart"/>
      <w:r>
        <w:rPr>
          <w:lang w:val="en-US"/>
        </w:rPr>
        <w:t>madareg_a_eigenvals</w:t>
      </w:r>
      <w:proofErr w:type="spellEnd"/>
      <w:r>
        <w:rPr>
          <w:lang w:val="en-US"/>
        </w:rPr>
        <w:t>_/</w:t>
      </w:r>
      <w:proofErr w:type="spellStart"/>
      <w:r w:rsidRPr="007F365B">
        <w:rPr>
          <w:lang w:val="en-US"/>
        </w:rPr>
        <w:t>madareg_cv_eigenvals</w:t>
      </w:r>
      <w:proofErr w:type="spellEnd"/>
      <w:r w:rsidRPr="007F365B">
        <w:rPr>
          <w:lang w:val="en-US"/>
        </w:rPr>
        <w:t xml:space="preserve">_). At a true minimum, the eigenvalues will all be positive, i.e., positive definite. The default is y. The starting Hessian matrix is also produced because </w:t>
      </w:r>
      <w:proofErr w:type="spellStart"/>
      <w:r w:rsidRPr="007F365B">
        <w:rPr>
          <w:lang w:val="en-US"/>
        </w:rPr>
        <w:t>Proc</w:t>
      </w:r>
      <w:proofErr w:type="spellEnd"/>
      <w:r w:rsidRPr="007F365B">
        <w:rPr>
          <w:lang w:val="en-US"/>
        </w:rPr>
        <w:t xml:space="preserve"> NLMIXED option START is always used by </w:t>
      </w:r>
      <w:proofErr w:type="spellStart"/>
      <w:r w:rsidRPr="007F365B">
        <w:rPr>
          <w:lang w:val="en-US"/>
        </w:rPr>
        <w:t>madareg</w:t>
      </w:r>
      <w:proofErr w:type="spellEnd"/>
      <w:r w:rsidRPr="007F365B">
        <w:rPr>
          <w:lang w:val="en-US"/>
        </w:rPr>
        <w:t xml:space="preserve"> to output the g</w:t>
      </w:r>
      <w:r w:rsidR="002C177F">
        <w:rPr>
          <w:lang w:val="en-US"/>
        </w:rPr>
        <w:t>radient at the starting values.</w:t>
      </w:r>
    </w:p>
    <w:p w:rsidR="003C3B14" w:rsidRPr="007F365B" w:rsidRDefault="003C3B14" w:rsidP="003C3B14">
      <w:pPr>
        <w:ind w:left="2160" w:hanging="2160"/>
        <w:rPr>
          <w:lang w:val="en-US"/>
        </w:rPr>
      </w:pPr>
      <w:proofErr w:type="spellStart"/>
      <w:proofErr w:type="gramStart"/>
      <w:r>
        <w:rPr>
          <w:lang w:val="en-US"/>
        </w:rPr>
        <w:t>tp</w:t>
      </w:r>
      <w:proofErr w:type="spellEnd"/>
      <w:r>
        <w:rPr>
          <w:lang w:val="en-US"/>
        </w:rPr>
        <w:t>=</w:t>
      </w:r>
      <w:proofErr w:type="gramEnd"/>
      <w:r>
        <w:rPr>
          <w:lang w:val="en-US"/>
        </w:rPr>
        <w:t xml:space="preserve">variable </w:t>
      </w:r>
      <w:r w:rsidR="002C177F">
        <w:rPr>
          <w:lang w:val="en-US"/>
        </w:rPr>
        <w:tab/>
      </w:r>
      <w:r w:rsidRPr="007F365B">
        <w:rPr>
          <w:lang w:val="en-US"/>
        </w:rPr>
        <w:t xml:space="preserve">The number of true positives. The default variable name is </w:t>
      </w:r>
      <w:proofErr w:type="spellStart"/>
      <w:r w:rsidRPr="007F365B">
        <w:rPr>
          <w:lang w:val="en-US"/>
        </w:rPr>
        <w:t>tp</w:t>
      </w:r>
      <w:proofErr w:type="spellEnd"/>
      <w:r w:rsidRPr="007F365B">
        <w:rPr>
          <w:lang w:val="en-US"/>
        </w:rPr>
        <w:t xml:space="preserve"> so that </w:t>
      </w:r>
      <w:proofErr w:type="spellStart"/>
      <w:r w:rsidRPr="007F365B">
        <w:rPr>
          <w:lang w:val="en-US"/>
        </w:rPr>
        <w:t>RevMan</w:t>
      </w:r>
      <w:proofErr w:type="spellEnd"/>
      <w:r w:rsidRPr="007F365B">
        <w:rPr>
          <w:lang w:val="en-US"/>
        </w:rPr>
        <w:t xml:space="preserve"> users or tho</w:t>
      </w:r>
      <w:r>
        <w:rPr>
          <w:lang w:val="en-US"/>
        </w:rPr>
        <w:t xml:space="preserve">se who have named their </w:t>
      </w:r>
      <w:r w:rsidRPr="007F365B">
        <w:rPr>
          <w:lang w:val="en-US"/>
        </w:rPr>
        <w:t>variables accordingly do n</w:t>
      </w:r>
      <w:r>
        <w:rPr>
          <w:lang w:val="en-US"/>
        </w:rPr>
        <w:t xml:space="preserve">ot need to specify this input </w:t>
      </w:r>
      <w:r w:rsidRPr="007F365B">
        <w:rPr>
          <w:lang w:val="en-US"/>
        </w:rPr>
        <w:t>parameter.</w:t>
      </w:r>
      <w:r w:rsidRPr="007F365B">
        <w:rPr>
          <w:lang w:val="en-US"/>
        </w:rPr>
        <w:tab/>
      </w:r>
    </w:p>
    <w:p w:rsidR="003C3B14" w:rsidRDefault="003C3B14" w:rsidP="003C3B14">
      <w:pPr>
        <w:rPr>
          <w:lang w:val="en-US"/>
        </w:rPr>
      </w:pPr>
      <w:proofErr w:type="spellStart"/>
      <w:proofErr w:type="gramStart"/>
      <w:r>
        <w:rPr>
          <w:lang w:val="en-US"/>
        </w:rPr>
        <w:t>fp</w:t>
      </w:r>
      <w:proofErr w:type="spellEnd"/>
      <w:proofErr w:type="gramEnd"/>
      <w:r>
        <w:rPr>
          <w:lang w:val="en-US"/>
        </w:rPr>
        <w:t xml:space="preserve"> = variable</w:t>
      </w:r>
      <w:r>
        <w:rPr>
          <w:lang w:val="en-US"/>
        </w:rPr>
        <w:tab/>
      </w:r>
      <w:r>
        <w:rPr>
          <w:lang w:val="en-US"/>
        </w:rPr>
        <w:tab/>
      </w:r>
      <w:r w:rsidRPr="007F365B">
        <w:rPr>
          <w:lang w:val="en-US"/>
        </w:rPr>
        <w:t>The number of false positive</w:t>
      </w:r>
      <w:r>
        <w:rPr>
          <w:lang w:val="en-US"/>
        </w:rPr>
        <w:t xml:space="preserve">s. The default variable name is </w:t>
      </w:r>
      <w:r w:rsidRPr="007F365B">
        <w:rPr>
          <w:lang w:val="en-US"/>
        </w:rPr>
        <w:t>fp.</w:t>
      </w:r>
      <w:r w:rsidRPr="007F365B">
        <w:rPr>
          <w:lang w:val="en-US"/>
        </w:rPr>
        <w:tab/>
      </w:r>
    </w:p>
    <w:p w:rsidR="003C3B14" w:rsidRDefault="003C3B14" w:rsidP="003C3B14">
      <w:pPr>
        <w:rPr>
          <w:lang w:val="en-US"/>
        </w:rPr>
      </w:pPr>
      <w:proofErr w:type="spellStart"/>
      <w:proofErr w:type="gramStart"/>
      <w:r w:rsidRPr="007F365B">
        <w:rPr>
          <w:lang w:val="en-US"/>
        </w:rPr>
        <w:t>fn</w:t>
      </w:r>
      <w:proofErr w:type="spellEnd"/>
      <w:proofErr w:type="gramEnd"/>
      <w:r>
        <w:rPr>
          <w:lang w:val="en-US"/>
        </w:rPr>
        <w:t xml:space="preserve"> </w:t>
      </w:r>
      <w:r w:rsidRPr="007F365B">
        <w:rPr>
          <w:lang w:val="en-US"/>
        </w:rPr>
        <w:t>=variable</w:t>
      </w:r>
      <w:r w:rsidRPr="007F365B">
        <w:rPr>
          <w:lang w:val="en-US"/>
        </w:rPr>
        <w:tab/>
      </w:r>
      <w:r w:rsidRPr="007F365B">
        <w:rPr>
          <w:lang w:val="en-US"/>
        </w:rPr>
        <w:tab/>
        <w:t xml:space="preserve">The number of false negatives. The default variable name is </w:t>
      </w:r>
      <w:proofErr w:type="gramStart"/>
      <w:r w:rsidRPr="007F365B">
        <w:rPr>
          <w:lang w:val="en-US"/>
        </w:rPr>
        <w:t>fn</w:t>
      </w:r>
      <w:proofErr w:type="gramEnd"/>
      <w:r w:rsidRPr="007F365B">
        <w:rPr>
          <w:lang w:val="en-US"/>
        </w:rPr>
        <w:t>.</w:t>
      </w:r>
      <w:r w:rsidRPr="007F365B">
        <w:rPr>
          <w:lang w:val="en-US"/>
        </w:rPr>
        <w:tab/>
      </w:r>
    </w:p>
    <w:p w:rsidR="003C3B14" w:rsidRPr="007F365B" w:rsidRDefault="003C3B14" w:rsidP="003C3B14">
      <w:pPr>
        <w:rPr>
          <w:lang w:val="en-US"/>
        </w:rPr>
      </w:pPr>
      <w:proofErr w:type="spellStart"/>
      <w:proofErr w:type="gramStart"/>
      <w:r w:rsidRPr="007F365B">
        <w:rPr>
          <w:lang w:val="en-US"/>
        </w:rPr>
        <w:t>tn</w:t>
      </w:r>
      <w:proofErr w:type="spellEnd"/>
      <w:proofErr w:type="gramEnd"/>
      <w:r>
        <w:rPr>
          <w:lang w:val="en-US"/>
        </w:rPr>
        <w:t xml:space="preserve"> </w:t>
      </w:r>
      <w:r w:rsidRPr="007F365B">
        <w:rPr>
          <w:lang w:val="en-US"/>
        </w:rPr>
        <w:t>=</w:t>
      </w:r>
      <w:r>
        <w:rPr>
          <w:lang w:val="en-US"/>
        </w:rPr>
        <w:t xml:space="preserve"> </w:t>
      </w:r>
      <w:r w:rsidRPr="007F365B">
        <w:rPr>
          <w:lang w:val="en-US"/>
        </w:rPr>
        <w:t>variable</w:t>
      </w:r>
      <w:r w:rsidRPr="007F365B">
        <w:rPr>
          <w:lang w:val="en-US"/>
        </w:rPr>
        <w:tab/>
      </w:r>
      <w:r w:rsidRPr="007F365B">
        <w:rPr>
          <w:lang w:val="en-US"/>
        </w:rPr>
        <w:tab/>
        <w:t xml:space="preserve">The number of true negatives. The default variable name is </w:t>
      </w:r>
      <w:proofErr w:type="gramStart"/>
      <w:r w:rsidRPr="007F365B">
        <w:rPr>
          <w:lang w:val="en-US"/>
        </w:rPr>
        <w:t>tn</w:t>
      </w:r>
      <w:proofErr w:type="gramEnd"/>
      <w:r w:rsidRPr="007F365B">
        <w:rPr>
          <w:lang w:val="en-US"/>
        </w:rPr>
        <w:t>.</w:t>
      </w:r>
      <w:r w:rsidRPr="007F365B">
        <w:rPr>
          <w:lang w:val="en-US"/>
        </w:rPr>
        <w:tab/>
      </w:r>
    </w:p>
    <w:p w:rsidR="003C3B14" w:rsidRPr="007F365B" w:rsidRDefault="003C3B14" w:rsidP="003C3B14">
      <w:pPr>
        <w:ind w:left="2160" w:hanging="2160"/>
        <w:rPr>
          <w:lang w:val="en-US"/>
        </w:rPr>
      </w:pPr>
      <w:proofErr w:type="gramStart"/>
      <w:r w:rsidRPr="007F365B">
        <w:rPr>
          <w:lang w:val="en-US"/>
        </w:rPr>
        <w:t>subject</w:t>
      </w:r>
      <w:proofErr w:type="gramEnd"/>
      <w:r>
        <w:rPr>
          <w:lang w:val="en-US"/>
        </w:rPr>
        <w:t xml:space="preserve"> </w:t>
      </w:r>
      <w:r w:rsidRPr="007F365B">
        <w:rPr>
          <w:lang w:val="en-US"/>
        </w:rPr>
        <w:t>=</w:t>
      </w:r>
      <w:r>
        <w:rPr>
          <w:lang w:val="en-US"/>
        </w:rPr>
        <w:t xml:space="preserve"> </w:t>
      </w:r>
      <w:r w:rsidRPr="007F365B">
        <w:rPr>
          <w:lang w:val="en-US"/>
        </w:rPr>
        <w:t>variable</w:t>
      </w:r>
      <w:r>
        <w:rPr>
          <w:lang w:val="en-US"/>
        </w:rPr>
        <w:t xml:space="preserve"> </w:t>
      </w:r>
      <w:r>
        <w:rPr>
          <w:lang w:val="en-US"/>
        </w:rPr>
        <w:tab/>
      </w:r>
      <w:r w:rsidRPr="007F365B">
        <w:rPr>
          <w:lang w:val="en-US"/>
        </w:rPr>
        <w:t xml:space="preserve">This determines when new realizations of the random effects are assumed to occur. </w:t>
      </w:r>
      <w:proofErr w:type="spellStart"/>
      <w:r w:rsidRPr="007F365B">
        <w:rPr>
          <w:lang w:val="en-US"/>
        </w:rPr>
        <w:t>Proc</w:t>
      </w:r>
      <w:proofErr w:type="spellEnd"/>
      <w:r w:rsidRPr="007F365B">
        <w:rPr>
          <w:lang w:val="en-US"/>
        </w:rPr>
        <w:t xml:space="preserve"> NLMIXED assumes that a new realization occurs whenever the subject= variable changes from the previous observation, so the input data set is clustered according to this variable. The default variable name is </w:t>
      </w:r>
      <w:proofErr w:type="spellStart"/>
      <w:r w:rsidRPr="007F365B">
        <w:rPr>
          <w:lang w:val="en-US"/>
        </w:rPr>
        <w:t>study_id</w:t>
      </w:r>
      <w:proofErr w:type="spellEnd"/>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cialpha</w:t>
      </w:r>
      <w:proofErr w:type="spellEnd"/>
      <w:proofErr w:type="gramEnd"/>
      <w:r>
        <w:rPr>
          <w:lang w:val="en-US"/>
        </w:rPr>
        <w:t xml:space="preserve"> </w:t>
      </w:r>
      <w:r w:rsidRPr="007F365B">
        <w:rPr>
          <w:lang w:val="en-US"/>
        </w:rPr>
        <w:t>=</w:t>
      </w:r>
      <w:r>
        <w:rPr>
          <w:lang w:val="en-US"/>
        </w:rPr>
        <w:t xml:space="preserve"> </w:t>
      </w:r>
      <w:r w:rsidRPr="007F365B">
        <w:rPr>
          <w:lang w:val="en-US"/>
        </w:rPr>
        <w:t>numeric</w:t>
      </w:r>
      <w:r w:rsidRPr="007F365B">
        <w:rPr>
          <w:lang w:val="en-US"/>
        </w:rPr>
        <w:tab/>
        <w:t xml:space="preserve">Specifies the alpha level for computing z statistics and confidence limits. The default is 0.05. </w:t>
      </w:r>
    </w:p>
    <w:p w:rsidR="003C3B14" w:rsidRPr="007F365B" w:rsidRDefault="003C3B14" w:rsidP="003C3B14">
      <w:pPr>
        <w:ind w:left="2160" w:hanging="2160"/>
        <w:rPr>
          <w:lang w:val="en-US"/>
        </w:rPr>
      </w:pPr>
      <w:proofErr w:type="spellStart"/>
      <w:proofErr w:type="gramStart"/>
      <w:r w:rsidRPr="007F365B">
        <w:rPr>
          <w:lang w:val="en-US"/>
        </w:rPr>
        <w:t>byvar</w:t>
      </w:r>
      <w:proofErr w:type="spellEnd"/>
      <w:proofErr w:type="gramEnd"/>
      <w:r>
        <w:rPr>
          <w:lang w:val="en-US"/>
        </w:rPr>
        <w:t xml:space="preserve"> </w:t>
      </w:r>
      <w:r w:rsidRPr="007F365B">
        <w:rPr>
          <w:lang w:val="en-US"/>
        </w:rPr>
        <w:t>=</w:t>
      </w:r>
      <w:r>
        <w:rPr>
          <w:lang w:val="en-US"/>
        </w:rPr>
        <w:t xml:space="preserve"> </w:t>
      </w:r>
      <w:r w:rsidRPr="007F365B">
        <w:rPr>
          <w:lang w:val="en-US"/>
        </w:rPr>
        <w:t>variable</w:t>
      </w:r>
      <w:r w:rsidRPr="007F365B">
        <w:rPr>
          <w:lang w:val="en-US"/>
        </w:rPr>
        <w:tab/>
        <w:t>This enables multiple analyses, i.e., consecutive calls to P</w:t>
      </w:r>
      <w:r w:rsidR="002C177F">
        <w:rPr>
          <w:lang w:val="en-US"/>
        </w:rPr>
        <w:t>ROC</w:t>
      </w:r>
      <w:r w:rsidRPr="007F365B">
        <w:rPr>
          <w:lang w:val="en-US"/>
        </w:rPr>
        <w:t xml:space="preserve"> NLMIXED for each test or group of studies in the data file. This may also be u</w:t>
      </w:r>
      <w:r>
        <w:rPr>
          <w:lang w:val="en-US"/>
        </w:rPr>
        <w:t xml:space="preserve">sed to produce separate models </w:t>
      </w:r>
      <w:r w:rsidRPr="007F365B">
        <w:rPr>
          <w:lang w:val="en-US"/>
        </w:rPr>
        <w:t xml:space="preserve">using subsets of the </w:t>
      </w:r>
      <w:r>
        <w:rPr>
          <w:lang w:val="en-US"/>
        </w:rPr>
        <w:t xml:space="preserve">data (subgroup analyses as in </w:t>
      </w:r>
      <w:r w:rsidRPr="007F365B">
        <w:rPr>
          <w:lang w:val="en-US"/>
        </w:rPr>
        <w:t xml:space="preserve">traditional meta-analysis) but be aware this is not </w:t>
      </w:r>
      <w:r w:rsidRPr="007F365B">
        <w:rPr>
          <w:lang w:val="en-US"/>
        </w:rPr>
        <w:tab/>
        <w:t xml:space="preserve">recommended because </w:t>
      </w:r>
      <w:r>
        <w:rPr>
          <w:lang w:val="en-US"/>
        </w:rPr>
        <w:t xml:space="preserve">you cannot </w:t>
      </w:r>
      <w:r>
        <w:rPr>
          <w:lang w:val="en-US"/>
        </w:rPr>
        <w:lastRenderedPageBreak/>
        <w:t xml:space="preserve">formally test for a </w:t>
      </w:r>
      <w:r w:rsidRPr="007F365B">
        <w:rPr>
          <w:lang w:val="en-US"/>
        </w:rPr>
        <w:t>difference. A better approach is to use all the</w:t>
      </w:r>
      <w:r>
        <w:rPr>
          <w:lang w:val="en-US"/>
        </w:rPr>
        <w:t xml:space="preserve"> data and </w:t>
      </w:r>
      <w:r w:rsidRPr="007F365B">
        <w:rPr>
          <w:lang w:val="en-US"/>
        </w:rPr>
        <w:t>include the variable as a covariate in the model.</w:t>
      </w:r>
      <w:r w:rsidRPr="007F365B">
        <w:rPr>
          <w:lang w:val="en-US"/>
        </w:rPr>
        <w:tab/>
      </w:r>
    </w:p>
    <w:p w:rsidR="003C3B14" w:rsidRDefault="003C3B14" w:rsidP="003C3B14">
      <w:pPr>
        <w:rPr>
          <w:lang w:val="en-US"/>
        </w:rPr>
      </w:pPr>
      <w:proofErr w:type="gramStart"/>
      <w:r w:rsidRPr="007F365B">
        <w:rPr>
          <w:lang w:val="en-US"/>
        </w:rPr>
        <w:t>covariate(s)</w:t>
      </w:r>
      <w:proofErr w:type="gramEnd"/>
      <w:r>
        <w:rPr>
          <w:lang w:val="en-US"/>
        </w:rPr>
        <w:t xml:space="preserve"> </w:t>
      </w:r>
      <w:r w:rsidRPr="007F365B">
        <w:rPr>
          <w:lang w:val="en-US"/>
        </w:rPr>
        <w:t>= variable(s)</w:t>
      </w:r>
      <w:r w:rsidRPr="007F365B">
        <w:rPr>
          <w:lang w:val="en-US"/>
        </w:rPr>
        <w:tab/>
      </w:r>
      <w:r>
        <w:rPr>
          <w:lang w:val="en-US"/>
        </w:rPr>
        <w:t xml:space="preserve"> </w:t>
      </w:r>
      <w:r>
        <w:rPr>
          <w:lang w:val="en-US"/>
        </w:rPr>
        <w:tab/>
      </w:r>
    </w:p>
    <w:p w:rsidR="003C3B14" w:rsidRPr="007F365B" w:rsidRDefault="003C3B14" w:rsidP="003C3B14">
      <w:pPr>
        <w:ind w:left="2160"/>
        <w:rPr>
          <w:lang w:val="en-US"/>
        </w:rPr>
      </w:pPr>
      <w:proofErr w:type="gramStart"/>
      <w:r w:rsidRPr="007F365B">
        <w:rPr>
          <w:lang w:val="en-US"/>
        </w:rPr>
        <w:t>Specifies a covariate</w:t>
      </w:r>
      <w:r>
        <w:rPr>
          <w:lang w:val="en-US"/>
        </w:rPr>
        <w:t xml:space="preserve">(s) for inclusion in the model </w:t>
      </w:r>
      <w:r w:rsidRPr="007F365B">
        <w:rPr>
          <w:lang w:val="en-US"/>
        </w:rPr>
        <w:t>(meta-regression).</w:t>
      </w:r>
      <w:proofErr w:type="gramEnd"/>
      <w:r w:rsidRPr="007F365B">
        <w:rPr>
          <w:lang w:val="en-US"/>
        </w:rPr>
        <w:t xml:space="preserve"> </w:t>
      </w:r>
      <w:r>
        <w:rPr>
          <w:lang w:val="en-US"/>
        </w:rPr>
        <w:t xml:space="preserve">The </w:t>
      </w:r>
      <w:r w:rsidRPr="007F365B">
        <w:rPr>
          <w:lang w:val="en-US"/>
        </w:rPr>
        <w:t>covariates</w:t>
      </w:r>
      <w:r>
        <w:rPr>
          <w:lang w:val="en-US"/>
        </w:rPr>
        <w:t xml:space="preserve"> are </w:t>
      </w:r>
      <w:r w:rsidRPr="007F365B">
        <w:rPr>
          <w:lang w:val="en-US"/>
        </w:rPr>
        <w:t>separat</w:t>
      </w:r>
      <w:r>
        <w:rPr>
          <w:lang w:val="en-US"/>
        </w:rPr>
        <w:t>ed by space.</w:t>
      </w:r>
      <w:r w:rsidRPr="007F365B">
        <w:rPr>
          <w:lang w:val="en-US"/>
        </w:rPr>
        <w:tab/>
      </w:r>
      <w:r w:rsidRPr="007F365B">
        <w:rPr>
          <w:lang w:val="en-US"/>
        </w:rPr>
        <w:tab/>
      </w:r>
    </w:p>
    <w:p w:rsidR="003C3B14" w:rsidRDefault="003C3B14" w:rsidP="003C3B14">
      <w:pPr>
        <w:ind w:left="2160" w:hanging="2160"/>
        <w:rPr>
          <w:lang w:val="en-US"/>
        </w:rPr>
      </w:pPr>
      <w:proofErr w:type="spellStart"/>
      <w:proofErr w:type="gramStart"/>
      <w:r w:rsidRPr="007F365B">
        <w:rPr>
          <w:lang w:val="en-US"/>
        </w:rPr>
        <w:t>cvref</w:t>
      </w:r>
      <w:proofErr w:type="spellEnd"/>
      <w:r w:rsidRPr="007F365B">
        <w:rPr>
          <w:lang w:val="en-US"/>
        </w:rPr>
        <w:t>(s)</w:t>
      </w:r>
      <w:proofErr w:type="gramEnd"/>
      <w:r>
        <w:rPr>
          <w:lang w:val="en-US"/>
        </w:rPr>
        <w:t xml:space="preserve"> </w:t>
      </w:r>
      <w:r w:rsidRPr="007F365B">
        <w:rPr>
          <w:lang w:val="en-US"/>
        </w:rPr>
        <w:t>=</w:t>
      </w:r>
      <w:r>
        <w:rPr>
          <w:lang w:val="en-US"/>
        </w:rPr>
        <w:t xml:space="preserve"> </w:t>
      </w:r>
      <w:r w:rsidRPr="007F365B">
        <w:rPr>
          <w:lang w:val="en-US"/>
        </w:rPr>
        <w:t>'text'/numeric</w:t>
      </w:r>
      <w:r w:rsidRPr="007F365B">
        <w:rPr>
          <w:lang w:val="en-US"/>
        </w:rPr>
        <w:tab/>
        <w:t xml:space="preserve">This specifies the reference level of the covariate. </w:t>
      </w:r>
      <w:proofErr w:type="gramStart"/>
      <w:r w:rsidRPr="007F365B">
        <w:rPr>
          <w:lang w:val="en-US"/>
        </w:rPr>
        <w:t>If it is not specified, the referen</w:t>
      </w:r>
      <w:r>
        <w:rPr>
          <w:lang w:val="en-US"/>
        </w:rPr>
        <w:t xml:space="preserve">ce level is selected based on </w:t>
      </w:r>
      <w:r w:rsidRPr="007F365B">
        <w:rPr>
          <w:lang w:val="en-US"/>
        </w:rPr>
        <w:t>the sort order.</w:t>
      </w:r>
      <w:proofErr w:type="gramEnd"/>
      <w:r w:rsidRPr="007F365B">
        <w:rPr>
          <w:lang w:val="en-US"/>
        </w:rPr>
        <w:t xml:space="preserve"> Sorting is done in asce</w:t>
      </w:r>
      <w:r>
        <w:rPr>
          <w:lang w:val="en-US"/>
        </w:rPr>
        <w:t xml:space="preserve">nding order by </w:t>
      </w:r>
      <w:r w:rsidRPr="007F365B">
        <w:rPr>
          <w:lang w:val="en-US"/>
        </w:rPr>
        <w:t xml:space="preserve">default and for descending specify </w:t>
      </w:r>
      <w:proofErr w:type="spellStart"/>
      <w:r w:rsidRPr="007F365B">
        <w:rPr>
          <w:lang w:val="en-US"/>
        </w:rPr>
        <w:t>sortcv</w:t>
      </w:r>
      <w:proofErr w:type="spellEnd"/>
      <w:r w:rsidR="002C177F">
        <w:rPr>
          <w:lang w:val="en-US"/>
        </w:rPr>
        <w:t xml:space="preserve"> </w:t>
      </w:r>
      <w:r w:rsidRPr="007F365B">
        <w:rPr>
          <w:lang w:val="en-US"/>
        </w:rPr>
        <w:t>=</w:t>
      </w:r>
      <w:r w:rsidR="002C177F">
        <w:rPr>
          <w:lang w:val="en-US"/>
        </w:rPr>
        <w:t xml:space="preserve"> </w:t>
      </w:r>
      <w:r w:rsidRPr="007F365B">
        <w:rPr>
          <w:lang w:val="en-US"/>
        </w:rPr>
        <w:t>d.</w:t>
      </w:r>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sortcv</w:t>
      </w:r>
      <w:proofErr w:type="spellEnd"/>
      <w:proofErr w:type="gramEnd"/>
      <w:r>
        <w:rPr>
          <w:lang w:val="en-US"/>
        </w:rPr>
        <w:t xml:space="preserve"> </w:t>
      </w:r>
      <w:r w:rsidRPr="007F365B">
        <w:rPr>
          <w:lang w:val="en-US"/>
        </w:rPr>
        <w:t>=</w:t>
      </w:r>
      <w:r>
        <w:rPr>
          <w:lang w:val="en-US"/>
        </w:rPr>
        <w:t xml:space="preserve"> </w:t>
      </w:r>
      <w:r w:rsidRPr="007F365B">
        <w:rPr>
          <w:lang w:val="en-US"/>
        </w:rPr>
        <w:t>d/a</w:t>
      </w:r>
      <w:r>
        <w:rPr>
          <w:lang w:val="en-US"/>
        </w:rPr>
        <w:tab/>
      </w:r>
      <w:r w:rsidRPr="007F365B">
        <w:rPr>
          <w:lang w:val="en-US"/>
        </w:rPr>
        <w:t xml:space="preserve">The sort order for the covariate. </w:t>
      </w:r>
      <w:proofErr w:type="spellStart"/>
      <w:proofErr w:type="gramStart"/>
      <w:r w:rsidRPr="007F365B">
        <w:rPr>
          <w:lang w:val="en-US"/>
        </w:rPr>
        <w:t>sortcv</w:t>
      </w:r>
      <w:proofErr w:type="spellEnd"/>
      <w:proofErr w:type="gramEnd"/>
      <w:r w:rsidR="002C177F">
        <w:rPr>
          <w:lang w:val="en-US"/>
        </w:rPr>
        <w:t xml:space="preserve"> </w:t>
      </w:r>
      <w:r w:rsidRPr="007F365B">
        <w:rPr>
          <w:lang w:val="en-US"/>
        </w:rPr>
        <w:t>=</w:t>
      </w:r>
      <w:r w:rsidR="002C177F">
        <w:rPr>
          <w:lang w:val="en-US"/>
        </w:rPr>
        <w:t xml:space="preserve"> </w:t>
      </w:r>
      <w:r w:rsidRPr="007F365B">
        <w:rPr>
          <w:lang w:val="en-US"/>
        </w:rPr>
        <w:t>d specifies descending order and a speci</w:t>
      </w:r>
      <w:r>
        <w:rPr>
          <w:lang w:val="en-US"/>
        </w:rPr>
        <w:t xml:space="preserve">fies ascending. The default is </w:t>
      </w:r>
      <w:r w:rsidRPr="007F365B">
        <w:rPr>
          <w:lang w:val="en-US"/>
        </w:rPr>
        <w:t xml:space="preserve">to sort in ascending order. </w:t>
      </w:r>
    </w:p>
    <w:p w:rsidR="003C3B14" w:rsidRPr="007F365B" w:rsidRDefault="003C3B14" w:rsidP="003C3B14">
      <w:pPr>
        <w:ind w:left="2160" w:hanging="2160"/>
        <w:rPr>
          <w:lang w:val="en-US"/>
        </w:rPr>
      </w:pPr>
      <w:proofErr w:type="spellStart"/>
      <w:proofErr w:type="gramStart"/>
      <w:r w:rsidRPr="007F365B">
        <w:rPr>
          <w:lang w:val="en-US"/>
        </w:rPr>
        <w:t>cvtype</w:t>
      </w:r>
      <w:proofErr w:type="spellEnd"/>
      <w:r w:rsidRPr="007F365B">
        <w:rPr>
          <w:lang w:val="en-US"/>
        </w:rPr>
        <w:t xml:space="preserve"> </w:t>
      </w:r>
      <w:r>
        <w:rPr>
          <w:lang w:val="en-US"/>
        </w:rPr>
        <w:t xml:space="preserve"> </w:t>
      </w:r>
      <w:r w:rsidRPr="007F365B">
        <w:rPr>
          <w:lang w:val="en-US"/>
        </w:rPr>
        <w:t>=</w:t>
      </w:r>
      <w:proofErr w:type="gramEnd"/>
      <w:r>
        <w:rPr>
          <w:lang w:val="en-US"/>
        </w:rPr>
        <w:t xml:space="preserve"> </w:t>
      </w:r>
      <w:r w:rsidRPr="007F365B">
        <w:rPr>
          <w:lang w:val="en-US"/>
        </w:rPr>
        <w:t>cat/con</w:t>
      </w:r>
      <w:r>
        <w:rPr>
          <w:lang w:val="en-US"/>
        </w:rPr>
        <w:tab/>
      </w:r>
      <w:r w:rsidRPr="007F365B">
        <w:rPr>
          <w:lang w:val="en-US"/>
        </w:rPr>
        <w:t xml:space="preserve">Type of covariate. Options are cat for categorical or con </w:t>
      </w:r>
      <w:r w:rsidRPr="007F365B">
        <w:rPr>
          <w:lang w:val="en-US"/>
        </w:rPr>
        <w:tab/>
        <w:t>for continuous. If the parameter is not specified, the covariate is assumed to be categorical.</w:t>
      </w:r>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cveffect</w:t>
      </w:r>
      <w:proofErr w:type="spellEnd"/>
      <w:proofErr w:type="gramEnd"/>
      <w:r>
        <w:rPr>
          <w:lang w:val="en-US"/>
        </w:rPr>
        <w:t xml:space="preserve"> </w:t>
      </w:r>
      <w:r w:rsidRPr="007F365B">
        <w:rPr>
          <w:lang w:val="en-US"/>
        </w:rPr>
        <w:t>=</w:t>
      </w:r>
      <w:r>
        <w:rPr>
          <w:lang w:val="en-US"/>
        </w:rPr>
        <w:t xml:space="preserve"> </w:t>
      </w:r>
      <w:r w:rsidRPr="007F365B">
        <w:rPr>
          <w:lang w:val="en-US"/>
        </w:rPr>
        <w:t>se/</w:t>
      </w:r>
      <w:proofErr w:type="spellStart"/>
      <w:r w:rsidRPr="007F365B">
        <w:rPr>
          <w:lang w:val="en-US"/>
        </w:rPr>
        <w:t>sp</w:t>
      </w:r>
      <w:proofErr w:type="spellEnd"/>
      <w:r w:rsidRPr="007F365B">
        <w:rPr>
          <w:lang w:val="en-US"/>
        </w:rPr>
        <w:t>/</w:t>
      </w:r>
      <w:proofErr w:type="spellStart"/>
      <w:r w:rsidRPr="007F365B">
        <w:rPr>
          <w:lang w:val="en-US"/>
        </w:rPr>
        <w:t>sesp</w:t>
      </w:r>
      <w:proofErr w:type="spellEnd"/>
      <w:r>
        <w:rPr>
          <w:lang w:val="en-US"/>
        </w:rPr>
        <w:t xml:space="preserve">   </w:t>
      </w:r>
      <w:r>
        <w:rPr>
          <w:lang w:val="en-US"/>
        </w:rPr>
        <w:tab/>
      </w:r>
      <w:r w:rsidRPr="007F365B">
        <w:rPr>
          <w:lang w:val="en-US"/>
        </w:rPr>
        <w:t>For the bivariate model, s</w:t>
      </w:r>
      <w:r>
        <w:rPr>
          <w:lang w:val="en-US"/>
        </w:rPr>
        <w:t xml:space="preserve">e specifies that the effect be </w:t>
      </w:r>
      <w:r w:rsidRPr="007F365B">
        <w:rPr>
          <w:lang w:val="en-US"/>
        </w:rPr>
        <w:t>assessed only on sensitivit</w:t>
      </w:r>
      <w:r>
        <w:rPr>
          <w:lang w:val="en-US"/>
        </w:rPr>
        <w:t xml:space="preserve">y while </w:t>
      </w:r>
      <w:proofErr w:type="spellStart"/>
      <w:r>
        <w:rPr>
          <w:lang w:val="en-US"/>
        </w:rPr>
        <w:t>sp</w:t>
      </w:r>
      <w:proofErr w:type="spellEnd"/>
      <w:r>
        <w:rPr>
          <w:lang w:val="en-US"/>
        </w:rPr>
        <w:t xml:space="preserve"> on specificity and </w:t>
      </w:r>
      <w:proofErr w:type="spellStart"/>
      <w:r w:rsidRPr="007F365B">
        <w:rPr>
          <w:lang w:val="en-US"/>
        </w:rPr>
        <w:t>sesp</w:t>
      </w:r>
      <w:proofErr w:type="spellEnd"/>
      <w:r w:rsidRPr="007F365B">
        <w:rPr>
          <w:lang w:val="en-US"/>
        </w:rPr>
        <w:t xml:space="preserve"> specifies effect on both</w:t>
      </w:r>
      <w:r>
        <w:rPr>
          <w:lang w:val="en-US"/>
        </w:rPr>
        <w:t xml:space="preserve"> sensitivity and specificity. </w:t>
      </w:r>
      <w:r w:rsidRPr="007F365B">
        <w:rPr>
          <w:lang w:val="en-US"/>
        </w:rPr>
        <w:t xml:space="preserve">Default is </w:t>
      </w:r>
      <w:proofErr w:type="spellStart"/>
      <w:r w:rsidRPr="007F365B">
        <w:rPr>
          <w:lang w:val="en-US"/>
        </w:rPr>
        <w:t>sesp</w:t>
      </w:r>
      <w:proofErr w:type="spellEnd"/>
      <w:r w:rsidRPr="007F365B">
        <w:rPr>
          <w:lang w:val="en-US"/>
        </w:rPr>
        <w:t>.</w:t>
      </w:r>
      <w:r w:rsidRPr="007F365B">
        <w:rPr>
          <w:lang w:val="en-US"/>
        </w:rPr>
        <w:tab/>
      </w:r>
    </w:p>
    <w:p w:rsidR="003C3B14" w:rsidRDefault="003C3B14" w:rsidP="003C3B14">
      <w:pPr>
        <w:rPr>
          <w:lang w:val="en-US"/>
        </w:rPr>
      </w:pPr>
      <w:proofErr w:type="spellStart"/>
      <w:proofErr w:type="gramStart"/>
      <w:r w:rsidRPr="007F365B">
        <w:rPr>
          <w:lang w:val="en-US"/>
        </w:rPr>
        <w:t>cvsummorder</w:t>
      </w:r>
      <w:proofErr w:type="spellEnd"/>
      <w:r w:rsidRPr="007F365B">
        <w:rPr>
          <w:lang w:val="en-US"/>
        </w:rPr>
        <w:t>(s)</w:t>
      </w:r>
      <w:proofErr w:type="gramEnd"/>
      <w:r w:rsidRPr="007F365B">
        <w:rPr>
          <w:lang w:val="en-US"/>
        </w:rPr>
        <w:t xml:space="preserve"> =</w:t>
      </w:r>
      <w:r>
        <w:rPr>
          <w:lang w:val="en-US"/>
        </w:rPr>
        <w:t xml:space="preserve"> </w:t>
      </w:r>
      <w:r w:rsidRPr="007F365B">
        <w:rPr>
          <w:lang w:val="en-US"/>
        </w:rPr>
        <w:t>stat/level</w:t>
      </w:r>
      <w:r>
        <w:rPr>
          <w:lang w:val="en-US"/>
        </w:rPr>
        <w:t xml:space="preserve"> </w:t>
      </w:r>
    </w:p>
    <w:p w:rsidR="003C3B14" w:rsidRPr="007F365B" w:rsidRDefault="003C3B14" w:rsidP="003C3B14">
      <w:pPr>
        <w:ind w:left="2160"/>
        <w:rPr>
          <w:lang w:val="en-US"/>
        </w:rPr>
      </w:pPr>
      <w:proofErr w:type="gramStart"/>
      <w:r w:rsidRPr="007F365B">
        <w:rPr>
          <w:lang w:val="en-US"/>
        </w:rPr>
        <w:t>Specifies the ordering of</w:t>
      </w:r>
      <w:r>
        <w:rPr>
          <w:lang w:val="en-US"/>
        </w:rPr>
        <w:t xml:space="preserve"> items in the table of summary </w:t>
      </w:r>
      <w:r w:rsidRPr="007F365B">
        <w:rPr>
          <w:lang w:val="en-US"/>
        </w:rPr>
        <w:t>estimates for a model with co</w:t>
      </w:r>
      <w:r>
        <w:rPr>
          <w:lang w:val="en-US"/>
        </w:rPr>
        <w:t>variate.</w:t>
      </w:r>
      <w:proofErr w:type="gramEnd"/>
      <w:r>
        <w:rPr>
          <w:lang w:val="en-US"/>
        </w:rPr>
        <w:t xml:space="preserve"> If level is specified, </w:t>
      </w:r>
      <w:r w:rsidRPr="007F365B">
        <w:rPr>
          <w:lang w:val="en-US"/>
        </w:rPr>
        <w:t>items are listed in the table</w:t>
      </w:r>
      <w:r>
        <w:rPr>
          <w:lang w:val="en-US"/>
        </w:rPr>
        <w:t xml:space="preserve"> according to covariate level.  </w:t>
      </w:r>
      <w:r w:rsidRPr="007F365B">
        <w:rPr>
          <w:lang w:val="en-US"/>
        </w:rPr>
        <w:t>If stat is specified, items a</w:t>
      </w:r>
      <w:r>
        <w:rPr>
          <w:lang w:val="en-US"/>
        </w:rPr>
        <w:t xml:space="preserve">re listed according to summary </w:t>
      </w:r>
      <w:r w:rsidRPr="007F365B">
        <w:rPr>
          <w:lang w:val="en-US"/>
        </w:rPr>
        <w:t>statistic such that all level</w:t>
      </w:r>
      <w:r>
        <w:rPr>
          <w:lang w:val="en-US"/>
        </w:rPr>
        <w:t xml:space="preserve">s of the covariate are grouped </w:t>
      </w:r>
      <w:r w:rsidRPr="007F365B">
        <w:rPr>
          <w:lang w:val="en-US"/>
        </w:rPr>
        <w:t>together for each statistic. The default is stat.</w:t>
      </w:r>
      <w:r w:rsidRPr="007F365B">
        <w:rPr>
          <w:lang w:val="en-US"/>
        </w:rPr>
        <w:tab/>
      </w:r>
    </w:p>
    <w:p w:rsidR="003C3B14" w:rsidRDefault="003C3B14" w:rsidP="003C3B14">
      <w:pPr>
        <w:ind w:left="2160" w:hanging="2160"/>
        <w:rPr>
          <w:lang w:val="en-US"/>
        </w:rPr>
      </w:pPr>
      <w:proofErr w:type="spellStart"/>
      <w:proofErr w:type="gramStart"/>
      <w:r w:rsidRPr="007F365B">
        <w:rPr>
          <w:lang w:val="en-US"/>
        </w:rPr>
        <w:t>formatlr</w:t>
      </w:r>
      <w:proofErr w:type="spellEnd"/>
      <w:proofErr w:type="gramEnd"/>
      <w:r>
        <w:rPr>
          <w:lang w:val="en-US"/>
        </w:rPr>
        <w:t xml:space="preserve"> </w:t>
      </w:r>
      <w:r w:rsidRPr="007F365B">
        <w:rPr>
          <w:lang w:val="en-US"/>
        </w:rPr>
        <w:t>=</w:t>
      </w:r>
      <w:r>
        <w:rPr>
          <w:lang w:val="en-US"/>
        </w:rPr>
        <w:t xml:space="preserve"> </w:t>
      </w:r>
      <w:r w:rsidRPr="007F365B">
        <w:rPr>
          <w:lang w:val="en-US"/>
        </w:rPr>
        <w:t>y/n</w:t>
      </w:r>
      <w:r w:rsidRPr="007F365B">
        <w:rPr>
          <w:lang w:val="en-US"/>
        </w:rPr>
        <w:tab/>
        <w:t xml:space="preserve">For formatting the log likelihood difference and p-value </w:t>
      </w:r>
      <w:r w:rsidRPr="007F365B">
        <w:rPr>
          <w:lang w:val="en-US"/>
        </w:rPr>
        <w:tab/>
        <w:t xml:space="preserve">obtained for the likelihood </w:t>
      </w:r>
      <w:r>
        <w:rPr>
          <w:lang w:val="en-US"/>
        </w:rPr>
        <w:t xml:space="preserve">ratio test. If y, then -2logL </w:t>
      </w:r>
      <w:r w:rsidRPr="007F365B">
        <w:rPr>
          <w:lang w:val="en-US"/>
        </w:rPr>
        <w:t>difference is formatted to 3 decimal places if it is greater</w:t>
      </w:r>
      <w:r>
        <w:rPr>
          <w:lang w:val="en-US"/>
        </w:rPr>
        <w:t xml:space="preserve"> </w:t>
      </w:r>
      <w:r w:rsidRPr="007F365B">
        <w:rPr>
          <w:lang w:val="en-US"/>
        </w:rPr>
        <w:t>than or equal to 0.001 otherwise the exact value is reported. The p-value is form</w:t>
      </w:r>
      <w:r>
        <w:rPr>
          <w:lang w:val="en-US"/>
        </w:rPr>
        <w:t xml:space="preserve">atted to 3 </w:t>
      </w:r>
      <w:proofErr w:type="spellStart"/>
      <w:proofErr w:type="gramStart"/>
      <w:r>
        <w:rPr>
          <w:lang w:val="en-US"/>
        </w:rPr>
        <w:t>d.p</w:t>
      </w:r>
      <w:proofErr w:type="gramEnd"/>
      <w:r>
        <w:rPr>
          <w:lang w:val="en-US"/>
        </w:rPr>
        <w:t>.</w:t>
      </w:r>
      <w:proofErr w:type="spellEnd"/>
      <w:r>
        <w:rPr>
          <w:lang w:val="en-US"/>
        </w:rPr>
        <w:t xml:space="preserve"> if less than or </w:t>
      </w:r>
      <w:r w:rsidRPr="007F365B">
        <w:rPr>
          <w:lang w:val="en-US"/>
        </w:rPr>
        <w:t>equal to 0.001 and as &lt;0.001 if less than 0.001. The default</w:t>
      </w:r>
      <w:r>
        <w:rPr>
          <w:lang w:val="en-US"/>
        </w:rPr>
        <w:t xml:space="preserve"> </w:t>
      </w:r>
      <w:r w:rsidRPr="007F365B">
        <w:rPr>
          <w:lang w:val="en-US"/>
        </w:rPr>
        <w:t>is y.</w:t>
      </w:r>
    </w:p>
    <w:p w:rsidR="003C3B14" w:rsidRPr="007F365B" w:rsidRDefault="003C3B14" w:rsidP="003C3B14">
      <w:pPr>
        <w:ind w:left="2160" w:hanging="2115"/>
        <w:rPr>
          <w:lang w:val="en-US"/>
        </w:rPr>
      </w:pPr>
      <w:proofErr w:type="spellStart"/>
      <w:proofErr w:type="gramStart"/>
      <w:r>
        <w:rPr>
          <w:lang w:val="en-US"/>
        </w:rPr>
        <w:t>mtitle</w:t>
      </w:r>
      <w:proofErr w:type="spellEnd"/>
      <w:proofErr w:type="gramEnd"/>
      <w:r>
        <w:rPr>
          <w:lang w:val="en-US"/>
        </w:rPr>
        <w:t xml:space="preserve"> = text</w:t>
      </w:r>
      <w:r>
        <w:rPr>
          <w:lang w:val="en-US"/>
        </w:rPr>
        <w:tab/>
      </w:r>
      <w:r w:rsidRPr="007F365B">
        <w:rPr>
          <w:lang w:val="en-US"/>
        </w:rPr>
        <w:t>Title of the meta-analysis that is placed in the Word document. Default is 'Meta-analysis of diagnostic test accuracy studies'. NOTE: no quotation marks al</w:t>
      </w:r>
      <w:r>
        <w:rPr>
          <w:lang w:val="en-US"/>
        </w:rPr>
        <w:t xml:space="preserve">lowed unlike some of the other </w:t>
      </w:r>
      <w:r w:rsidRPr="007F365B">
        <w:rPr>
          <w:lang w:val="en-US"/>
        </w:rPr>
        <w:t>text options.</w:t>
      </w:r>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tbpe</w:t>
      </w:r>
      <w:proofErr w:type="spellEnd"/>
      <w:proofErr w:type="gramEnd"/>
      <w:r>
        <w:rPr>
          <w:lang w:val="en-US"/>
        </w:rPr>
        <w:t xml:space="preserve"> </w:t>
      </w:r>
      <w:r w:rsidRPr="007F365B">
        <w:rPr>
          <w:lang w:val="en-US"/>
        </w:rPr>
        <w:t>=</w:t>
      </w:r>
      <w:r>
        <w:rPr>
          <w:lang w:val="en-US"/>
        </w:rPr>
        <w:t xml:space="preserve"> </w:t>
      </w:r>
      <w:r w:rsidRPr="007F365B">
        <w:rPr>
          <w:lang w:val="en-US"/>
        </w:rPr>
        <w:t>data set</w:t>
      </w:r>
      <w:r w:rsidRPr="007F365B">
        <w:rPr>
          <w:lang w:val="en-US"/>
        </w:rPr>
        <w:tab/>
        <w:t>Use parameters and starting values stored in the named table. The data set can be in either a narrow or wide form. The narrow-form data set co</w:t>
      </w:r>
      <w:r>
        <w:rPr>
          <w:lang w:val="en-US"/>
        </w:rPr>
        <w:t xml:space="preserve">ntains the variables </w:t>
      </w:r>
      <w:proofErr w:type="gramStart"/>
      <w:r>
        <w:rPr>
          <w:lang w:val="en-US"/>
        </w:rPr>
        <w:lastRenderedPageBreak/>
        <w:t xml:space="preserve">PARAMETER  </w:t>
      </w:r>
      <w:r w:rsidRPr="007F365B">
        <w:rPr>
          <w:lang w:val="en-US"/>
        </w:rPr>
        <w:t>and</w:t>
      </w:r>
      <w:proofErr w:type="gramEnd"/>
      <w:r w:rsidRPr="007F365B">
        <w:rPr>
          <w:lang w:val="en-US"/>
        </w:rPr>
        <w:t xml:space="preserve"> ESTIMATE, with parameters and values listed as distinct observations. The wide-form data set has the parameters themselves as variables, and each observation provides a different set of starting values. </w:t>
      </w:r>
      <w:r w:rsidRPr="007F365B">
        <w:rPr>
          <w:lang w:val="en-US"/>
        </w:rPr>
        <w:tab/>
      </w:r>
    </w:p>
    <w:p w:rsidR="003C3B14" w:rsidRPr="007F365B" w:rsidRDefault="003C3B14" w:rsidP="003C3B14">
      <w:pPr>
        <w:ind w:left="2160"/>
        <w:rPr>
          <w:lang w:val="en-US"/>
        </w:rPr>
      </w:pPr>
      <w:r w:rsidRPr="007F365B">
        <w:rPr>
          <w:lang w:val="en-US"/>
        </w:rPr>
        <w:t xml:space="preserve">Note: In this version of </w:t>
      </w:r>
      <w:proofErr w:type="spellStart"/>
      <w:r w:rsidRPr="007F365B">
        <w:rPr>
          <w:lang w:val="en-US"/>
        </w:rPr>
        <w:t>madareg</w:t>
      </w:r>
      <w:proofErr w:type="spellEnd"/>
      <w:r w:rsidRPr="007F365B">
        <w:rPr>
          <w:lang w:val="en-US"/>
        </w:rPr>
        <w:t>, the data set should only contain the 5 basic paramete</w:t>
      </w:r>
      <w:r w:rsidR="00940DF2">
        <w:rPr>
          <w:lang w:val="en-US"/>
        </w:rPr>
        <w:t>rs the bivariate model (</w:t>
      </w:r>
      <w:proofErr w:type="spellStart"/>
      <w:r w:rsidR="00940DF2">
        <w:rPr>
          <w:lang w:val="en-US"/>
        </w:rPr>
        <w:t>msens</w:t>
      </w:r>
      <w:proofErr w:type="spellEnd"/>
      <w:r w:rsidR="00940DF2">
        <w:rPr>
          <w:lang w:val="en-US"/>
        </w:rPr>
        <w:t xml:space="preserve">, </w:t>
      </w:r>
      <w:proofErr w:type="spellStart"/>
      <w:r w:rsidRPr="007F365B">
        <w:rPr>
          <w:lang w:val="en-US"/>
        </w:rPr>
        <w:t>mspec</w:t>
      </w:r>
      <w:proofErr w:type="spellEnd"/>
      <w:r w:rsidRPr="007F365B">
        <w:rPr>
          <w:lang w:val="en-US"/>
        </w:rPr>
        <w:t xml:space="preserve">, s2usens, s2uspec, </w:t>
      </w:r>
      <w:proofErr w:type="spellStart"/>
      <w:r w:rsidRPr="007F365B">
        <w:rPr>
          <w:lang w:val="en-US"/>
        </w:rPr>
        <w:t>covsesp</w:t>
      </w:r>
      <w:proofErr w:type="spellEnd"/>
      <w:r w:rsidRPr="007F365B">
        <w:rPr>
          <w:lang w:val="en-US"/>
        </w:rPr>
        <w:t xml:space="preserve">). If there is a covariate, the starting values for additional parameters can be specified using cspa1 - cspa5, cset1 - cset5 and/or cpb1 - cpb5. </w:t>
      </w:r>
    </w:p>
    <w:p w:rsidR="003C3B14" w:rsidRPr="007F365B" w:rsidRDefault="003C3B14" w:rsidP="003C3B14">
      <w:pPr>
        <w:ind w:left="2160"/>
        <w:rPr>
          <w:lang w:val="en-US"/>
        </w:rPr>
      </w:pPr>
      <w:r w:rsidRPr="007F365B">
        <w:rPr>
          <w:lang w:val="en-US"/>
        </w:rPr>
        <w:t>These are the basic parameters and their starting values. There are five such parameters for the model. You can either specify a single number e.g. p1= 2.5 or you can use the TO and BY keywords to specify a number list for a grid search e.g. p1 = -2 to 2 by 0.5. If you specify a grid of points, the objective functio</w:t>
      </w:r>
      <w:r>
        <w:rPr>
          <w:lang w:val="en-US"/>
        </w:rPr>
        <w:t xml:space="preserve">n value at each grid point is </w:t>
      </w:r>
      <w:r w:rsidRPr="007F365B">
        <w:rPr>
          <w:lang w:val="en-US"/>
        </w:rPr>
        <w:t>calculated and the best (fea</w:t>
      </w:r>
      <w:r>
        <w:rPr>
          <w:lang w:val="en-US"/>
        </w:rPr>
        <w:t xml:space="preserve">sible) grid point is chosen as </w:t>
      </w:r>
      <w:r w:rsidRPr="007F365B">
        <w:rPr>
          <w:lang w:val="en-US"/>
        </w:rPr>
        <w:t xml:space="preserve">an initial point for the optimization process. p1 = mean </w:t>
      </w:r>
      <w:proofErr w:type="spellStart"/>
      <w:r w:rsidRPr="007F365B">
        <w:rPr>
          <w:lang w:val="en-US"/>
        </w:rPr>
        <w:t>logit</w:t>
      </w:r>
      <w:proofErr w:type="spellEnd"/>
      <w:r w:rsidRPr="007F365B">
        <w:rPr>
          <w:lang w:val="en-US"/>
        </w:rPr>
        <w:t xml:space="preserve"> sensitivity</w:t>
      </w:r>
      <w:r>
        <w:rPr>
          <w:lang w:val="en-US"/>
        </w:rPr>
        <w:t xml:space="preserve">, p2 = mean </w:t>
      </w:r>
      <w:proofErr w:type="spellStart"/>
      <w:r>
        <w:rPr>
          <w:lang w:val="en-US"/>
        </w:rPr>
        <w:t>logit</w:t>
      </w:r>
      <w:proofErr w:type="spellEnd"/>
      <w:r>
        <w:rPr>
          <w:lang w:val="en-US"/>
        </w:rPr>
        <w:t xml:space="preserve"> specificity, </w:t>
      </w:r>
      <w:r w:rsidRPr="007F365B">
        <w:rPr>
          <w:lang w:val="en-US"/>
        </w:rPr>
        <w:t>p3</w:t>
      </w:r>
      <w:r w:rsidR="002C177F">
        <w:rPr>
          <w:lang w:val="en-US"/>
        </w:rPr>
        <w:t xml:space="preserve"> </w:t>
      </w:r>
      <w:r w:rsidRPr="007F365B">
        <w:rPr>
          <w:lang w:val="en-US"/>
        </w:rPr>
        <w:t xml:space="preserve">= variance of </w:t>
      </w:r>
      <w:proofErr w:type="spellStart"/>
      <w:r w:rsidRPr="007F365B">
        <w:rPr>
          <w:lang w:val="en-US"/>
        </w:rPr>
        <w:t>logit</w:t>
      </w:r>
      <w:proofErr w:type="spellEnd"/>
      <w:r w:rsidRPr="007F365B">
        <w:rPr>
          <w:lang w:val="en-US"/>
        </w:rPr>
        <w:t xml:space="preserve"> sensitivity, p4 = variance of </w:t>
      </w:r>
      <w:proofErr w:type="spellStart"/>
      <w:r w:rsidRPr="007F365B">
        <w:rPr>
          <w:lang w:val="en-US"/>
        </w:rPr>
        <w:t>logit</w:t>
      </w:r>
      <w:proofErr w:type="spellEnd"/>
      <w:r w:rsidRPr="007F365B">
        <w:rPr>
          <w:lang w:val="en-US"/>
        </w:rPr>
        <w:t xml:space="preserve"> specificity, p5 = covariance of </w:t>
      </w:r>
      <w:proofErr w:type="spellStart"/>
      <w:r w:rsidRPr="007F365B">
        <w:rPr>
          <w:lang w:val="en-US"/>
        </w:rPr>
        <w:t>logit</w:t>
      </w:r>
      <w:proofErr w:type="spellEnd"/>
      <w:r w:rsidRPr="007F365B">
        <w:rPr>
          <w:lang w:val="en-US"/>
        </w:rPr>
        <w:t xml:space="preserve"> sensitivity and specificity. The default values are: </w:t>
      </w:r>
    </w:p>
    <w:p w:rsidR="003C3B14" w:rsidRPr="007F365B" w:rsidRDefault="003C3B14" w:rsidP="003C3B14">
      <w:pPr>
        <w:ind w:left="2160"/>
        <w:rPr>
          <w:lang w:val="en-US"/>
        </w:rPr>
      </w:pPr>
      <w:r w:rsidRPr="007F365B">
        <w:rPr>
          <w:lang w:val="en-US"/>
        </w:rPr>
        <w:t>p1= -2 to 4 by 1</w:t>
      </w:r>
      <w:r w:rsidRPr="007F365B">
        <w:rPr>
          <w:lang w:val="en-US"/>
        </w:rPr>
        <w:tab/>
      </w:r>
    </w:p>
    <w:p w:rsidR="003C3B14" w:rsidRPr="007F365B" w:rsidRDefault="003C3B14" w:rsidP="003C3B14">
      <w:pPr>
        <w:ind w:left="2160"/>
        <w:rPr>
          <w:lang w:val="en-US"/>
        </w:rPr>
      </w:pPr>
      <w:r w:rsidRPr="007F365B">
        <w:rPr>
          <w:lang w:val="en-US"/>
        </w:rPr>
        <w:t>p2= -2 to 4 by 1</w:t>
      </w:r>
      <w:r w:rsidRPr="007F365B">
        <w:rPr>
          <w:lang w:val="en-US"/>
        </w:rPr>
        <w:tab/>
      </w:r>
    </w:p>
    <w:p w:rsidR="003C3B14" w:rsidRPr="007F365B" w:rsidRDefault="003C3B14" w:rsidP="003C3B14">
      <w:pPr>
        <w:ind w:left="2160"/>
        <w:rPr>
          <w:lang w:val="en-US"/>
        </w:rPr>
      </w:pPr>
      <w:r w:rsidRPr="007F365B">
        <w:rPr>
          <w:lang w:val="en-US"/>
        </w:rPr>
        <w:t>p3= 0 to 1 by 0.2</w:t>
      </w:r>
    </w:p>
    <w:p w:rsidR="003C3B14" w:rsidRPr="007F365B" w:rsidRDefault="003C3B14" w:rsidP="003C3B14">
      <w:pPr>
        <w:ind w:left="2160"/>
        <w:rPr>
          <w:lang w:val="en-US"/>
        </w:rPr>
      </w:pPr>
      <w:r w:rsidRPr="007F365B">
        <w:rPr>
          <w:lang w:val="en-US"/>
        </w:rPr>
        <w:t>p4= 0 to 1 by 0.2</w:t>
      </w:r>
    </w:p>
    <w:p w:rsidR="003C3B14" w:rsidRPr="007F365B" w:rsidRDefault="003C3B14" w:rsidP="003C3B14">
      <w:pPr>
        <w:ind w:left="2160"/>
        <w:rPr>
          <w:lang w:val="en-US"/>
        </w:rPr>
      </w:pPr>
      <w:r w:rsidRPr="007F365B">
        <w:rPr>
          <w:lang w:val="en-US"/>
        </w:rPr>
        <w:t>p5= -1 to 1 by 0.2</w:t>
      </w:r>
    </w:p>
    <w:p w:rsidR="003C3B14" w:rsidRPr="007F365B" w:rsidRDefault="003C3B14" w:rsidP="003C3B14">
      <w:pPr>
        <w:ind w:left="2160" w:hanging="2160"/>
        <w:rPr>
          <w:lang w:val="en-US"/>
        </w:rPr>
      </w:pPr>
      <w:r w:rsidRPr="007F365B">
        <w:rPr>
          <w:lang w:val="en-US"/>
        </w:rPr>
        <w:t xml:space="preserve">cspa1 </w:t>
      </w:r>
      <w:r w:rsidR="00940DF2">
        <w:rPr>
          <w:lang w:val="en-US"/>
        </w:rPr>
        <w:t>- cspa5</w:t>
      </w:r>
      <w:r w:rsidR="00940DF2">
        <w:rPr>
          <w:lang w:val="en-US"/>
        </w:rPr>
        <w:tab/>
      </w:r>
      <w:proofErr w:type="gramStart"/>
      <w:r w:rsidR="00940DF2">
        <w:rPr>
          <w:lang w:val="en-US"/>
        </w:rPr>
        <w:t>These</w:t>
      </w:r>
      <w:proofErr w:type="gramEnd"/>
      <w:r w:rsidR="00940DF2">
        <w:rPr>
          <w:lang w:val="en-US"/>
        </w:rPr>
        <w:t xml:space="preserve"> specify starting </w:t>
      </w:r>
      <w:r w:rsidRPr="007F365B">
        <w:rPr>
          <w:lang w:val="en-US"/>
        </w:rPr>
        <w:t>val</w:t>
      </w:r>
      <w:r>
        <w:rPr>
          <w:lang w:val="en-US"/>
        </w:rPr>
        <w:t xml:space="preserve">ues for additional specificity </w:t>
      </w:r>
      <w:r w:rsidRPr="007F365B">
        <w:rPr>
          <w:lang w:val="en-US"/>
        </w:rPr>
        <w:t>parameters e.g. cspa1 = 0 to 2 by 1. cspa1 - cspa5 indicates</w:t>
      </w:r>
      <w:r>
        <w:rPr>
          <w:lang w:val="en-US"/>
        </w:rPr>
        <w:t xml:space="preserve"> </w:t>
      </w:r>
      <w:r w:rsidRPr="007F365B">
        <w:rPr>
          <w:lang w:val="en-US"/>
        </w:rPr>
        <w:t xml:space="preserve">a maximum of 5 parameters, i.e., a covariate with 6 levels. </w:t>
      </w:r>
      <w:r>
        <w:rPr>
          <w:lang w:val="en-US"/>
        </w:rPr>
        <w:t xml:space="preserve"> </w:t>
      </w:r>
      <w:r w:rsidRPr="007F365B">
        <w:rPr>
          <w:lang w:val="en-US"/>
        </w:rPr>
        <w:t>The default is 0 for any of the 5 parameters, i.e., cspa1</w:t>
      </w:r>
      <w:r w:rsidR="002C177F">
        <w:rPr>
          <w:lang w:val="en-US"/>
        </w:rPr>
        <w:t xml:space="preserve"> </w:t>
      </w:r>
      <w:r w:rsidRPr="007F365B">
        <w:rPr>
          <w:lang w:val="en-US"/>
        </w:rPr>
        <w:t>=</w:t>
      </w:r>
      <w:r w:rsidR="002C177F">
        <w:rPr>
          <w:lang w:val="en-US"/>
        </w:rPr>
        <w:t xml:space="preserve"> </w:t>
      </w:r>
      <w:r w:rsidRPr="007F365B">
        <w:rPr>
          <w:lang w:val="en-US"/>
        </w:rPr>
        <w:t>0</w:t>
      </w:r>
      <w:proofErr w:type="gramStart"/>
      <w:r w:rsidRPr="007F365B">
        <w:rPr>
          <w:lang w:val="en-US"/>
        </w:rPr>
        <w:t xml:space="preserve">, </w:t>
      </w:r>
      <w:r>
        <w:rPr>
          <w:lang w:val="en-US"/>
        </w:rPr>
        <w:t xml:space="preserve"> </w:t>
      </w:r>
      <w:r w:rsidRPr="007F365B">
        <w:rPr>
          <w:lang w:val="en-US"/>
        </w:rPr>
        <w:t>cspa2</w:t>
      </w:r>
      <w:proofErr w:type="gramEnd"/>
      <w:r w:rsidRPr="007F365B">
        <w:rPr>
          <w:lang w:val="en-US"/>
        </w:rPr>
        <w:t xml:space="preserve"> = 0 for a covariate with 3 levels.</w:t>
      </w:r>
      <w:r w:rsidRPr="007F365B">
        <w:rPr>
          <w:lang w:val="en-US"/>
        </w:rPr>
        <w:tab/>
      </w:r>
    </w:p>
    <w:p w:rsidR="003C3B14" w:rsidRDefault="003C3B14" w:rsidP="003C3B14">
      <w:pPr>
        <w:ind w:left="2160" w:hanging="2160"/>
        <w:rPr>
          <w:lang w:val="en-US"/>
        </w:rPr>
      </w:pPr>
      <w:r w:rsidRPr="007F365B">
        <w:rPr>
          <w:lang w:val="en-US"/>
        </w:rPr>
        <w:t>cset1 - cset5</w:t>
      </w:r>
      <w:r w:rsidRPr="007F365B">
        <w:rPr>
          <w:lang w:val="en-US"/>
        </w:rPr>
        <w:tab/>
        <w:t xml:space="preserve">Starting values for sensitivity parameters. The maximum is 5, i.e., a covariate </w:t>
      </w:r>
      <w:r>
        <w:rPr>
          <w:lang w:val="en-US"/>
        </w:rPr>
        <w:t xml:space="preserve">with 6 </w:t>
      </w:r>
      <w:r w:rsidRPr="007F365B">
        <w:rPr>
          <w:lang w:val="en-US"/>
        </w:rPr>
        <w:t>levels</w:t>
      </w:r>
      <w:proofErr w:type="gramStart"/>
      <w:r w:rsidRPr="007F365B">
        <w:rPr>
          <w:lang w:val="en-US"/>
        </w:rPr>
        <w:t>,.</w:t>
      </w:r>
      <w:proofErr w:type="gramEnd"/>
      <w:r w:rsidRPr="007F365B">
        <w:rPr>
          <w:lang w:val="en-US"/>
        </w:rPr>
        <w:t xml:space="preserve"> The default is 0 for any of the 5 parameters, i.e., cset1 = 0, cset2 = 0 for a covariate with 3 levels.</w:t>
      </w:r>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randeffs</w:t>
      </w:r>
      <w:proofErr w:type="spellEnd"/>
      <w:proofErr w:type="gramEnd"/>
      <w:r>
        <w:rPr>
          <w:lang w:val="en-US"/>
        </w:rPr>
        <w:t xml:space="preserve"> </w:t>
      </w:r>
      <w:r w:rsidRPr="007F365B">
        <w:rPr>
          <w:lang w:val="en-US"/>
        </w:rPr>
        <w:t>=</w:t>
      </w:r>
      <w:r>
        <w:rPr>
          <w:lang w:val="en-US"/>
        </w:rPr>
        <w:t xml:space="preserve"> </w:t>
      </w:r>
      <w:r w:rsidRPr="007F365B">
        <w:rPr>
          <w:lang w:val="en-US"/>
        </w:rPr>
        <w:t>y/n</w:t>
      </w:r>
      <w:r w:rsidRPr="007F365B">
        <w:rPr>
          <w:lang w:val="en-US"/>
        </w:rPr>
        <w:tab/>
        <w:t xml:space="preserve">Produce table of empirical Bayes estimates of the random effects if = y. The default is n. </w:t>
      </w:r>
    </w:p>
    <w:p w:rsidR="003C3B14" w:rsidRPr="007F365B" w:rsidRDefault="003C3B14" w:rsidP="003C3B14">
      <w:pPr>
        <w:rPr>
          <w:lang w:val="en-US"/>
        </w:rPr>
      </w:pPr>
      <w:proofErr w:type="gramStart"/>
      <w:r w:rsidRPr="007F365B">
        <w:rPr>
          <w:lang w:val="en-US"/>
        </w:rPr>
        <w:t>relax</w:t>
      </w:r>
      <w:proofErr w:type="gramEnd"/>
      <w:r>
        <w:rPr>
          <w:lang w:val="en-US"/>
        </w:rPr>
        <w:t xml:space="preserve"> </w:t>
      </w:r>
      <w:r w:rsidRPr="007F365B">
        <w:rPr>
          <w:lang w:val="en-US"/>
        </w:rPr>
        <w:t>=</w:t>
      </w:r>
      <w:r>
        <w:rPr>
          <w:lang w:val="en-US"/>
        </w:rPr>
        <w:t xml:space="preserve"> </w:t>
      </w:r>
      <w:r w:rsidRPr="007F365B">
        <w:rPr>
          <w:lang w:val="en-US"/>
        </w:rPr>
        <w:t>y/n</w:t>
      </w:r>
      <w:r w:rsidRPr="007F365B">
        <w:rPr>
          <w:lang w:val="en-US"/>
        </w:rPr>
        <w:tab/>
      </w:r>
      <w:r w:rsidRPr="007F365B">
        <w:rPr>
          <w:lang w:val="en-US"/>
        </w:rPr>
        <w:tab/>
        <w:t>Assume correlation is zero.</w:t>
      </w:r>
      <w:r w:rsidR="002C177F">
        <w:rPr>
          <w:lang w:val="en-US"/>
        </w:rPr>
        <w:t xml:space="preserve"> </w:t>
      </w:r>
      <w:r w:rsidRPr="007F365B">
        <w:rPr>
          <w:lang w:val="en-US"/>
        </w:rPr>
        <w:t xml:space="preserve">The default is n. </w:t>
      </w:r>
    </w:p>
    <w:p w:rsidR="003C3B14" w:rsidRDefault="003C3B14" w:rsidP="003C3B14">
      <w:pPr>
        <w:ind w:left="2160" w:hanging="2160"/>
        <w:rPr>
          <w:lang w:val="en-US"/>
        </w:rPr>
      </w:pPr>
      <w:proofErr w:type="gramStart"/>
      <w:r>
        <w:rPr>
          <w:lang w:val="en-US"/>
        </w:rPr>
        <w:lastRenderedPageBreak/>
        <w:t>predict</w:t>
      </w:r>
      <w:proofErr w:type="gramEnd"/>
      <w:r>
        <w:rPr>
          <w:lang w:val="en-US"/>
        </w:rPr>
        <w:t xml:space="preserve"> = y/n</w:t>
      </w:r>
      <w:r>
        <w:rPr>
          <w:lang w:val="en-US"/>
        </w:rPr>
        <w:tab/>
      </w:r>
      <w:r w:rsidRPr="007F365B">
        <w:rPr>
          <w:lang w:val="en-US"/>
        </w:rPr>
        <w:t xml:space="preserve">If =y, predictions are obtained using the estimated model, parameter estimates and empirical Bayes estimates of the random effects. Standard errors of prediction are computed using the delta method and the predicted values of </w:t>
      </w:r>
      <w:proofErr w:type="spellStart"/>
      <w:r w:rsidRPr="007F365B">
        <w:rPr>
          <w:lang w:val="en-US"/>
        </w:rPr>
        <w:t>logitp</w:t>
      </w:r>
      <w:proofErr w:type="spellEnd"/>
      <w:r w:rsidRPr="007F365B">
        <w:rPr>
          <w:lang w:val="en-US"/>
        </w:rPr>
        <w:t xml:space="preserve"> (stored in data sets prefixed with _</w:t>
      </w:r>
      <w:proofErr w:type="spellStart"/>
      <w:r w:rsidRPr="007F365B">
        <w:rPr>
          <w:lang w:val="en-US"/>
        </w:rPr>
        <w:t>logitp</w:t>
      </w:r>
      <w:proofErr w:type="spellEnd"/>
      <w:r w:rsidRPr="007F365B">
        <w:rPr>
          <w:lang w:val="en-US"/>
        </w:rPr>
        <w:t>_ and _</w:t>
      </w:r>
      <w:proofErr w:type="spellStart"/>
      <w:r w:rsidRPr="007F365B">
        <w:rPr>
          <w:lang w:val="en-US"/>
        </w:rPr>
        <w:t>logitp_cv</w:t>
      </w:r>
      <w:proofErr w:type="spellEnd"/>
      <w:r w:rsidRPr="007F365B">
        <w:rPr>
          <w:lang w:val="en-US"/>
        </w:rPr>
        <w:t>_)</w:t>
      </w:r>
      <w:r>
        <w:rPr>
          <w:lang w:val="en-US"/>
        </w:rPr>
        <w:t xml:space="preserve"> </w:t>
      </w:r>
      <w:r w:rsidRPr="007F365B">
        <w:rPr>
          <w:lang w:val="en-US"/>
        </w:rPr>
        <w:t xml:space="preserve">are transformed to obtain </w:t>
      </w:r>
      <w:r>
        <w:rPr>
          <w:lang w:val="en-US"/>
        </w:rPr>
        <w:t xml:space="preserve">predictions of sensitivity and </w:t>
      </w:r>
      <w:r w:rsidRPr="007F365B">
        <w:rPr>
          <w:lang w:val="en-US"/>
        </w:rPr>
        <w:t>specificity (stored in data</w:t>
      </w:r>
      <w:r>
        <w:rPr>
          <w:lang w:val="en-US"/>
        </w:rPr>
        <w:t xml:space="preserve"> sets prefixed with _</w:t>
      </w:r>
      <w:proofErr w:type="spellStart"/>
      <w:r>
        <w:rPr>
          <w:lang w:val="en-US"/>
        </w:rPr>
        <w:t>predsesp</w:t>
      </w:r>
      <w:proofErr w:type="spellEnd"/>
      <w:r>
        <w:rPr>
          <w:lang w:val="en-US"/>
        </w:rPr>
        <w:t xml:space="preserve">_ </w:t>
      </w:r>
      <w:r w:rsidRPr="007F365B">
        <w:rPr>
          <w:lang w:val="en-US"/>
        </w:rPr>
        <w:t>and _</w:t>
      </w:r>
      <w:proofErr w:type="spellStart"/>
      <w:r w:rsidRPr="007F365B">
        <w:rPr>
          <w:lang w:val="en-US"/>
        </w:rPr>
        <w:t>predsesp_cv</w:t>
      </w:r>
      <w:proofErr w:type="spellEnd"/>
      <w:r w:rsidRPr="007F365B">
        <w:rPr>
          <w:lang w:val="en-US"/>
        </w:rPr>
        <w:t xml:space="preserve">_). The default is n. </w:t>
      </w:r>
      <w:r>
        <w:rPr>
          <w:lang w:val="en-US"/>
        </w:rPr>
        <w:t xml:space="preserve"> </w:t>
      </w:r>
    </w:p>
    <w:p w:rsidR="003C3B14" w:rsidRPr="007F365B" w:rsidRDefault="003C3B14" w:rsidP="003C3B14">
      <w:pPr>
        <w:ind w:left="2160" w:hanging="2160"/>
        <w:rPr>
          <w:lang w:val="en-US"/>
        </w:rPr>
      </w:pPr>
      <w:proofErr w:type="spellStart"/>
      <w:proofErr w:type="gramStart"/>
      <w:r w:rsidRPr="007F365B">
        <w:rPr>
          <w:lang w:val="en-US"/>
        </w:rPr>
        <w:t>checkmod</w:t>
      </w:r>
      <w:proofErr w:type="spellEnd"/>
      <w:proofErr w:type="gramEnd"/>
      <w:r>
        <w:rPr>
          <w:lang w:val="en-US"/>
        </w:rPr>
        <w:t xml:space="preserve"> </w:t>
      </w:r>
      <w:r w:rsidRPr="007F365B">
        <w:rPr>
          <w:lang w:val="en-US"/>
        </w:rPr>
        <w:t>=</w:t>
      </w:r>
      <w:r>
        <w:rPr>
          <w:lang w:val="en-US"/>
        </w:rPr>
        <w:t xml:space="preserve"> </w:t>
      </w:r>
      <w:r w:rsidRPr="007F365B">
        <w:rPr>
          <w:lang w:val="en-US"/>
        </w:rPr>
        <w:t>y/n</w:t>
      </w:r>
      <w:r w:rsidRPr="007F365B">
        <w:rPr>
          <w:lang w:val="en-US"/>
        </w:rPr>
        <w:tab/>
        <w:t>If =</w:t>
      </w:r>
      <w:r w:rsidR="002C177F">
        <w:rPr>
          <w:lang w:val="en-US"/>
        </w:rPr>
        <w:t xml:space="preserve"> </w:t>
      </w:r>
      <w:r w:rsidRPr="007F365B">
        <w:rPr>
          <w:lang w:val="en-US"/>
        </w:rPr>
        <w:t>y, produce histograms and normal probability plots of the empirical Bayes esti</w:t>
      </w:r>
      <w:r>
        <w:rPr>
          <w:lang w:val="en-US"/>
        </w:rPr>
        <w:t xml:space="preserve">mates of the random effects to </w:t>
      </w:r>
      <w:r w:rsidRPr="007F365B">
        <w:rPr>
          <w:lang w:val="en-US"/>
        </w:rPr>
        <w:t>check assumption of normality. The default is n.</w:t>
      </w:r>
      <w:r w:rsidRPr="007F365B">
        <w:rPr>
          <w:lang w:val="en-US"/>
        </w:rPr>
        <w:tab/>
      </w:r>
    </w:p>
    <w:p w:rsidR="003C3B14" w:rsidRPr="007F365B" w:rsidRDefault="003C3B14" w:rsidP="003C3B14">
      <w:pPr>
        <w:ind w:left="2160" w:hanging="2160"/>
        <w:rPr>
          <w:lang w:val="en-US"/>
        </w:rPr>
      </w:pPr>
      <w:proofErr w:type="gramStart"/>
      <w:r>
        <w:rPr>
          <w:lang w:val="en-US"/>
        </w:rPr>
        <w:t>debug</w:t>
      </w:r>
      <w:proofErr w:type="gramEnd"/>
      <w:r>
        <w:rPr>
          <w:lang w:val="en-US"/>
        </w:rPr>
        <w:t xml:space="preserve"> = y/n</w:t>
      </w:r>
      <w:r>
        <w:rPr>
          <w:lang w:val="en-US"/>
        </w:rPr>
        <w:tab/>
      </w:r>
      <w:r w:rsidRPr="007F365B">
        <w:rPr>
          <w:lang w:val="en-US"/>
        </w:rPr>
        <w:t>Debugging tool. If =</w:t>
      </w:r>
      <w:r w:rsidR="002C177F">
        <w:rPr>
          <w:lang w:val="en-US"/>
        </w:rPr>
        <w:t xml:space="preserve"> </w:t>
      </w:r>
      <w:r w:rsidRPr="007F365B">
        <w:rPr>
          <w:lang w:val="en-US"/>
        </w:rPr>
        <w:t>y, displays the SAS statements that are</w:t>
      </w:r>
      <w:r>
        <w:rPr>
          <w:lang w:val="en-US"/>
        </w:rPr>
        <w:t xml:space="preserve"> </w:t>
      </w:r>
      <w:r w:rsidRPr="007F365B">
        <w:rPr>
          <w:lang w:val="en-US"/>
        </w:rPr>
        <w:t>generated by macro execution. The default is n.</w:t>
      </w:r>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logfile</w:t>
      </w:r>
      <w:proofErr w:type="spellEnd"/>
      <w:proofErr w:type="gramEnd"/>
      <w:r w:rsidRPr="007F365B">
        <w:rPr>
          <w:lang w:val="en-US"/>
        </w:rPr>
        <w:t>='text'</w:t>
      </w:r>
      <w:r w:rsidRPr="007F365B">
        <w:rPr>
          <w:lang w:val="en-US"/>
        </w:rPr>
        <w:tab/>
        <w:t>Path and file name to save the contents of the SAS log.</w:t>
      </w:r>
      <w:r w:rsidR="002C177F">
        <w:rPr>
          <w:lang w:val="en-US"/>
        </w:rPr>
        <w:t xml:space="preserve"> </w:t>
      </w:r>
      <w:r>
        <w:rPr>
          <w:lang w:val="en-US"/>
        </w:rPr>
        <w:t>User m</w:t>
      </w:r>
      <w:r w:rsidRPr="007F365B">
        <w:rPr>
          <w:lang w:val="en-US"/>
        </w:rPr>
        <w:t>ust add the .log extension</w:t>
      </w:r>
      <w:r>
        <w:rPr>
          <w:lang w:val="en-US"/>
        </w:rPr>
        <w:t xml:space="preserve">. Contents of the log file are </w:t>
      </w:r>
      <w:r w:rsidRPr="007F365B">
        <w:rPr>
          <w:lang w:val="en-US"/>
        </w:rPr>
        <w:t>scanned and any errors found are stored in _</w:t>
      </w:r>
      <w:proofErr w:type="spellStart"/>
      <w:r w:rsidRPr="007F365B">
        <w:rPr>
          <w:lang w:val="en-US"/>
        </w:rPr>
        <w:t>madareg_errors</w:t>
      </w:r>
      <w:proofErr w:type="spellEnd"/>
      <w:r w:rsidRPr="007F365B">
        <w:rPr>
          <w:lang w:val="en-US"/>
        </w:rPr>
        <w:t>, warnings in _</w:t>
      </w:r>
      <w:proofErr w:type="spellStart"/>
      <w:r w:rsidRPr="007F365B">
        <w:rPr>
          <w:lang w:val="en-US"/>
        </w:rPr>
        <w:t>madareg_warnings</w:t>
      </w:r>
      <w:proofErr w:type="spellEnd"/>
      <w:r w:rsidRPr="007F365B">
        <w:rPr>
          <w:lang w:val="en-US"/>
        </w:rPr>
        <w:t xml:space="preserve">, and model failure messages generated by </w:t>
      </w:r>
      <w:proofErr w:type="spellStart"/>
      <w:r w:rsidRPr="007F365B">
        <w:rPr>
          <w:lang w:val="en-US"/>
        </w:rPr>
        <w:t>madareg</w:t>
      </w:r>
      <w:proofErr w:type="spellEnd"/>
      <w:r w:rsidRPr="007F365B">
        <w:rPr>
          <w:lang w:val="en-US"/>
        </w:rPr>
        <w:t xml:space="preserve"> in _</w:t>
      </w:r>
      <w:proofErr w:type="spellStart"/>
      <w:r w:rsidRPr="007F365B">
        <w:rPr>
          <w:lang w:val="en-US"/>
        </w:rPr>
        <w:t>madareg_modfail</w:t>
      </w:r>
      <w:proofErr w:type="spellEnd"/>
      <w:r w:rsidRPr="007F365B">
        <w:rPr>
          <w:lang w:val="en-US"/>
        </w:rPr>
        <w:t>. The data set for the log contents is _</w:t>
      </w:r>
      <w:proofErr w:type="spellStart"/>
      <w:r w:rsidRPr="007F365B">
        <w:rPr>
          <w:lang w:val="en-US"/>
        </w:rPr>
        <w:t>madareg_log</w:t>
      </w:r>
      <w:proofErr w:type="spellEnd"/>
      <w:r w:rsidRPr="007F365B">
        <w:rPr>
          <w:lang w:val="en-US"/>
        </w:rPr>
        <w:t xml:space="preserve">. </w:t>
      </w:r>
    </w:p>
    <w:p w:rsidR="003C3B14" w:rsidRPr="007F365B" w:rsidRDefault="003C3B14" w:rsidP="003C3B14">
      <w:pPr>
        <w:ind w:left="2160" w:hanging="2160"/>
        <w:rPr>
          <w:lang w:val="en-US"/>
        </w:rPr>
      </w:pPr>
      <w:proofErr w:type="spellStart"/>
      <w:proofErr w:type="gramStart"/>
      <w:r w:rsidRPr="007F365B">
        <w:rPr>
          <w:lang w:val="en-US"/>
        </w:rPr>
        <w:t>outfile</w:t>
      </w:r>
      <w:proofErr w:type="spellEnd"/>
      <w:proofErr w:type="gramEnd"/>
      <w:r w:rsidRPr="007F365B">
        <w:rPr>
          <w:lang w:val="en-US"/>
        </w:rPr>
        <w:t>='text'</w:t>
      </w:r>
      <w:r w:rsidRPr="007F365B">
        <w:rPr>
          <w:lang w:val="en-US"/>
        </w:rPr>
        <w:tab/>
        <w:t>Path and filename to save the contents of the SAS output window. The file name must have the .</w:t>
      </w:r>
      <w:proofErr w:type="spellStart"/>
      <w:r w:rsidRPr="007F365B">
        <w:rPr>
          <w:lang w:val="en-US"/>
        </w:rPr>
        <w:t>lst</w:t>
      </w:r>
      <w:proofErr w:type="spellEnd"/>
      <w:r w:rsidRPr="007F365B">
        <w:rPr>
          <w:lang w:val="en-US"/>
        </w:rPr>
        <w:t xml:space="preserve"> extension. This is especially useful if the analysis is expected to run for a while because the output window will fill up and user input</w:t>
      </w:r>
      <w:r>
        <w:rPr>
          <w:lang w:val="en-US"/>
        </w:rPr>
        <w:t xml:space="preserve"> </w:t>
      </w:r>
      <w:r w:rsidRPr="007F365B">
        <w:rPr>
          <w:lang w:val="en-US"/>
        </w:rPr>
        <w:t>is required before SAS can proceed. However, this is not the case if the output is being saved to a file.</w:t>
      </w:r>
      <w:r w:rsidRPr="007F365B">
        <w:rPr>
          <w:lang w:val="en-US"/>
        </w:rPr>
        <w:tab/>
      </w:r>
    </w:p>
    <w:p w:rsidR="003C3B14" w:rsidRDefault="003C3B14" w:rsidP="003C3B14">
      <w:pPr>
        <w:rPr>
          <w:lang w:val="en-US"/>
        </w:rPr>
      </w:pPr>
      <w:proofErr w:type="spellStart"/>
      <w:proofErr w:type="gramStart"/>
      <w:r w:rsidRPr="007F365B">
        <w:rPr>
          <w:lang w:val="en-US"/>
        </w:rPr>
        <w:t>keepds</w:t>
      </w:r>
      <w:proofErr w:type="spellEnd"/>
      <w:r w:rsidRPr="007F365B">
        <w:rPr>
          <w:lang w:val="en-US"/>
        </w:rPr>
        <w:t>=</w:t>
      </w:r>
      <w:proofErr w:type="gramEnd"/>
      <w:r w:rsidRPr="007F365B">
        <w:rPr>
          <w:lang w:val="en-US"/>
        </w:rPr>
        <w:t>all/some/log/none</w:t>
      </w:r>
      <w:r>
        <w:rPr>
          <w:lang w:val="en-US"/>
        </w:rPr>
        <w:t xml:space="preserve"> </w:t>
      </w:r>
    </w:p>
    <w:p w:rsidR="003C3B14" w:rsidRPr="007F365B" w:rsidRDefault="003C3B14" w:rsidP="003C3B14">
      <w:pPr>
        <w:ind w:left="2160"/>
        <w:rPr>
          <w:lang w:val="en-US"/>
        </w:rPr>
      </w:pPr>
      <w:r w:rsidRPr="007F365B">
        <w:rPr>
          <w:lang w:val="en-US"/>
        </w:rPr>
        <w:t xml:space="preserve">Selectively keeps the data sets produced as output from the analyses. Option some is </w:t>
      </w:r>
      <w:r>
        <w:rPr>
          <w:lang w:val="en-US"/>
        </w:rPr>
        <w:t xml:space="preserve">the default. With this option, </w:t>
      </w:r>
      <w:r w:rsidRPr="007F365B">
        <w:rPr>
          <w:lang w:val="en-US"/>
        </w:rPr>
        <w:t>data sets containing data</w:t>
      </w:r>
      <w:r>
        <w:rPr>
          <w:lang w:val="en-US"/>
        </w:rPr>
        <w:t xml:space="preserve"> from the Excel file are kept, </w:t>
      </w:r>
      <w:r w:rsidRPr="007F365B">
        <w:rPr>
          <w:lang w:val="en-US"/>
        </w:rPr>
        <w:t>including any data sets ge</w:t>
      </w:r>
      <w:r>
        <w:rPr>
          <w:lang w:val="en-US"/>
        </w:rPr>
        <w:t xml:space="preserve">nerated from the log file if a </w:t>
      </w:r>
      <w:r w:rsidRPr="007F365B">
        <w:rPr>
          <w:lang w:val="en-US"/>
        </w:rPr>
        <w:t>log file was specified. For</w:t>
      </w:r>
      <w:r>
        <w:rPr>
          <w:lang w:val="en-US"/>
        </w:rPr>
        <w:t xml:space="preserve"> the option log, only the data </w:t>
      </w:r>
      <w:r w:rsidRPr="007F365B">
        <w:rPr>
          <w:lang w:val="en-US"/>
        </w:rPr>
        <w:t>sets generated from the log file are kept. If option none is</w:t>
      </w:r>
      <w:r>
        <w:rPr>
          <w:lang w:val="en-US"/>
        </w:rPr>
        <w:t xml:space="preserve"> </w:t>
      </w:r>
      <w:r w:rsidRPr="007F365B">
        <w:rPr>
          <w:lang w:val="en-US"/>
        </w:rPr>
        <w:t>specified, all data se</w:t>
      </w:r>
      <w:r>
        <w:rPr>
          <w:lang w:val="en-US"/>
        </w:rPr>
        <w:t>ts prefixed with _</w:t>
      </w:r>
      <w:proofErr w:type="spellStart"/>
      <w:r>
        <w:rPr>
          <w:lang w:val="en-US"/>
        </w:rPr>
        <w:t>madareg</w:t>
      </w:r>
      <w:proofErr w:type="spellEnd"/>
      <w:r>
        <w:rPr>
          <w:lang w:val="en-US"/>
        </w:rPr>
        <w:t xml:space="preserve">_ are </w:t>
      </w:r>
      <w:r w:rsidRPr="007F365B">
        <w:rPr>
          <w:lang w:val="en-US"/>
        </w:rPr>
        <w:t xml:space="preserve">deleted. Option all keeps all output data sets from NLMIXED as well as two summary </w:t>
      </w:r>
      <w:r>
        <w:rPr>
          <w:lang w:val="en-US"/>
        </w:rPr>
        <w:t xml:space="preserve">ones for covariate summary and </w:t>
      </w:r>
      <w:r w:rsidRPr="007F365B">
        <w:rPr>
          <w:lang w:val="en-US"/>
        </w:rPr>
        <w:t>relative measures o</w:t>
      </w:r>
      <w:r>
        <w:rPr>
          <w:lang w:val="en-US"/>
        </w:rPr>
        <w:t xml:space="preserve">f test accuracy. Data sets for </w:t>
      </w:r>
      <w:r w:rsidRPr="007F365B">
        <w:rPr>
          <w:lang w:val="en-US"/>
        </w:rPr>
        <w:t>predictions, random effects, the He</w:t>
      </w:r>
      <w:r>
        <w:rPr>
          <w:lang w:val="en-US"/>
        </w:rPr>
        <w:t xml:space="preserve">ssian matrix and </w:t>
      </w:r>
      <w:r w:rsidRPr="007F365B">
        <w:rPr>
          <w:lang w:val="en-US"/>
        </w:rPr>
        <w:t>eigenvalues are also kep</w:t>
      </w:r>
      <w:r>
        <w:rPr>
          <w:lang w:val="en-US"/>
        </w:rPr>
        <w:t xml:space="preserve">t with options all and some if </w:t>
      </w:r>
      <w:r w:rsidRPr="007F365B">
        <w:rPr>
          <w:lang w:val="en-US"/>
        </w:rPr>
        <w:t>parameters have been specified for them.</w:t>
      </w:r>
      <w:r w:rsidRPr="007F365B">
        <w:rPr>
          <w:lang w:val="en-US"/>
        </w:rPr>
        <w:tab/>
      </w:r>
    </w:p>
    <w:p w:rsidR="003C3B14" w:rsidRPr="007F365B" w:rsidRDefault="003C3B14" w:rsidP="003C3B14">
      <w:pPr>
        <w:ind w:left="2160"/>
        <w:rPr>
          <w:lang w:val="en-US"/>
        </w:rPr>
      </w:pPr>
      <w:proofErr w:type="spellStart"/>
      <w:proofErr w:type="gramStart"/>
      <w:r w:rsidRPr="007F365B">
        <w:rPr>
          <w:lang w:val="en-US"/>
        </w:rPr>
        <w:t>madareg</w:t>
      </w:r>
      <w:proofErr w:type="spellEnd"/>
      <w:proofErr w:type="gramEnd"/>
      <w:r w:rsidRPr="007F365B">
        <w:rPr>
          <w:lang w:val="en-US"/>
        </w:rPr>
        <w:t xml:space="preserve"> output data sets</w:t>
      </w:r>
      <w:r>
        <w:rPr>
          <w:lang w:val="en-US"/>
        </w:rPr>
        <w:t>:</w:t>
      </w:r>
    </w:p>
    <w:p w:rsidR="003C3B14" w:rsidRPr="007F365B" w:rsidRDefault="003C3B14" w:rsidP="003C3B14">
      <w:pPr>
        <w:ind w:left="2160"/>
        <w:rPr>
          <w:lang w:val="en-US"/>
        </w:rPr>
      </w:pPr>
      <w:r w:rsidRPr="007F365B">
        <w:rPr>
          <w:lang w:val="en-US"/>
        </w:rPr>
        <w:lastRenderedPageBreak/>
        <w:t>All data from Excel file =_</w:t>
      </w:r>
      <w:proofErr w:type="spellStart"/>
      <w:r w:rsidRPr="007F365B">
        <w:rPr>
          <w:lang w:val="en-US"/>
        </w:rPr>
        <w:t>madareg_meta</w:t>
      </w:r>
      <w:proofErr w:type="spellEnd"/>
    </w:p>
    <w:p w:rsidR="003C3B14" w:rsidRPr="007F365B" w:rsidRDefault="003C3B14" w:rsidP="003C3B14">
      <w:pPr>
        <w:ind w:left="2160"/>
        <w:rPr>
          <w:lang w:val="en-US"/>
        </w:rPr>
      </w:pPr>
      <w:r w:rsidRPr="007F365B">
        <w:rPr>
          <w:lang w:val="en-US"/>
        </w:rPr>
        <w:t>Unique values of the BY variable = _</w:t>
      </w:r>
      <w:proofErr w:type="spellStart"/>
      <w:r w:rsidRPr="007F365B">
        <w:rPr>
          <w:lang w:val="en-US"/>
        </w:rPr>
        <w:t>madareg_variablename</w:t>
      </w:r>
      <w:proofErr w:type="spellEnd"/>
    </w:p>
    <w:p w:rsidR="003C3B14" w:rsidRPr="007F365B" w:rsidRDefault="003C3B14" w:rsidP="003C3B14">
      <w:pPr>
        <w:ind w:left="2160"/>
        <w:rPr>
          <w:lang w:val="en-US"/>
        </w:rPr>
      </w:pPr>
      <w:r w:rsidRPr="007F365B">
        <w:rPr>
          <w:lang w:val="en-US"/>
        </w:rPr>
        <w:t xml:space="preserve">Data set for level </w:t>
      </w:r>
      <w:proofErr w:type="spellStart"/>
      <w:r w:rsidRPr="007F365B">
        <w:rPr>
          <w:lang w:val="en-US"/>
        </w:rPr>
        <w:t>i</w:t>
      </w:r>
      <w:proofErr w:type="spellEnd"/>
      <w:r w:rsidRPr="007F365B">
        <w:rPr>
          <w:lang w:val="en-US"/>
        </w:rPr>
        <w:t xml:space="preserve"> of the BY variable = _</w:t>
      </w:r>
      <w:proofErr w:type="spellStart"/>
      <w:r w:rsidRPr="007F365B">
        <w:rPr>
          <w:lang w:val="en-US"/>
        </w:rPr>
        <w:t>madareg_dsi</w:t>
      </w:r>
      <w:proofErr w:type="spellEnd"/>
      <w:r w:rsidRPr="007F365B">
        <w:rPr>
          <w:lang w:val="en-US"/>
        </w:rPr>
        <w:tab/>
      </w:r>
    </w:p>
    <w:p w:rsidR="003C3B14" w:rsidRPr="007F365B" w:rsidRDefault="003C3B14" w:rsidP="003C3B14">
      <w:pPr>
        <w:ind w:left="2160"/>
        <w:rPr>
          <w:lang w:val="en-US"/>
        </w:rPr>
      </w:pPr>
      <w:r w:rsidRPr="007F365B">
        <w:rPr>
          <w:lang w:val="en-US"/>
        </w:rPr>
        <w:t>Unique values of the covariate = _</w:t>
      </w:r>
      <w:proofErr w:type="spellStart"/>
      <w:r w:rsidRPr="007F365B">
        <w:rPr>
          <w:lang w:val="en-US"/>
        </w:rPr>
        <w:t>madareg_variablename</w:t>
      </w:r>
      <w:proofErr w:type="spellEnd"/>
    </w:p>
    <w:p w:rsidR="003C3B14" w:rsidRPr="007F365B" w:rsidRDefault="003C3B14" w:rsidP="003C3B14">
      <w:pPr>
        <w:ind w:left="2160"/>
        <w:rPr>
          <w:lang w:val="en-US"/>
        </w:rPr>
      </w:pPr>
      <w:r w:rsidRPr="007F365B">
        <w:rPr>
          <w:lang w:val="en-US"/>
        </w:rPr>
        <w:t xml:space="preserve">Predicted </w:t>
      </w:r>
      <w:proofErr w:type="spellStart"/>
      <w:r w:rsidRPr="007F365B">
        <w:rPr>
          <w:lang w:val="en-US"/>
        </w:rPr>
        <w:t>logitp</w:t>
      </w:r>
      <w:proofErr w:type="spellEnd"/>
      <w:r w:rsidRPr="007F365B">
        <w:rPr>
          <w:lang w:val="en-US"/>
        </w:rPr>
        <w:t xml:space="preserve"> for model without covariate=_</w:t>
      </w:r>
      <w:proofErr w:type="spellStart"/>
      <w:r w:rsidRPr="007F365B">
        <w:rPr>
          <w:lang w:val="en-US"/>
        </w:rPr>
        <w:t>madareg_logitp_i</w:t>
      </w:r>
      <w:proofErr w:type="spellEnd"/>
    </w:p>
    <w:p w:rsidR="003C3B14" w:rsidRPr="007F365B" w:rsidRDefault="003C3B14" w:rsidP="003C3B14">
      <w:pPr>
        <w:ind w:left="2160"/>
        <w:rPr>
          <w:lang w:val="en-US"/>
        </w:rPr>
      </w:pPr>
      <w:r w:rsidRPr="007F365B">
        <w:rPr>
          <w:lang w:val="en-US"/>
        </w:rPr>
        <w:t xml:space="preserve">Predicted </w:t>
      </w:r>
      <w:proofErr w:type="spellStart"/>
      <w:r w:rsidRPr="007F365B">
        <w:rPr>
          <w:lang w:val="en-US"/>
        </w:rPr>
        <w:t>logitp</w:t>
      </w:r>
      <w:proofErr w:type="spellEnd"/>
      <w:r w:rsidRPr="007F365B">
        <w:rPr>
          <w:lang w:val="en-US"/>
        </w:rPr>
        <w:t xml:space="preserve"> for model with covariate=_</w:t>
      </w:r>
      <w:proofErr w:type="spellStart"/>
      <w:r w:rsidRPr="007F365B">
        <w:rPr>
          <w:lang w:val="en-US"/>
        </w:rPr>
        <w:t>madareg_cv</w:t>
      </w:r>
      <w:proofErr w:type="spellEnd"/>
      <w:r w:rsidRPr="007F365B">
        <w:rPr>
          <w:lang w:val="en-US"/>
        </w:rPr>
        <w:t>*_</w:t>
      </w:r>
      <w:proofErr w:type="spellStart"/>
      <w:r w:rsidRPr="007F365B">
        <w:rPr>
          <w:lang w:val="en-US"/>
        </w:rPr>
        <w:t>logitp_i</w:t>
      </w:r>
      <w:proofErr w:type="spellEnd"/>
    </w:p>
    <w:p w:rsidR="003C3B14" w:rsidRPr="007F365B" w:rsidRDefault="003C3B14" w:rsidP="003C3B14">
      <w:pPr>
        <w:ind w:left="2160"/>
        <w:rPr>
          <w:lang w:val="en-US"/>
        </w:rPr>
      </w:pPr>
      <w:r w:rsidRPr="007F365B">
        <w:rPr>
          <w:lang w:val="en-US"/>
        </w:rPr>
        <w:t>Predicted sensitivities and specificities for model without covariate = _</w:t>
      </w:r>
      <w:proofErr w:type="spellStart"/>
      <w:r w:rsidRPr="007F365B">
        <w:rPr>
          <w:lang w:val="en-US"/>
        </w:rPr>
        <w:t>madareg_predict_i</w:t>
      </w:r>
      <w:proofErr w:type="spellEnd"/>
      <w:r w:rsidRPr="007F365B">
        <w:rPr>
          <w:lang w:val="en-US"/>
        </w:rPr>
        <w:tab/>
      </w:r>
      <w:r w:rsidRPr="007F365B">
        <w:rPr>
          <w:lang w:val="en-US"/>
        </w:rPr>
        <w:tab/>
      </w:r>
    </w:p>
    <w:p w:rsidR="003C3B14" w:rsidRPr="007F365B" w:rsidRDefault="003C3B14" w:rsidP="003C3B14">
      <w:pPr>
        <w:ind w:left="2160"/>
        <w:rPr>
          <w:lang w:val="en-US"/>
        </w:rPr>
      </w:pPr>
      <w:r w:rsidRPr="007F365B">
        <w:rPr>
          <w:lang w:val="en-US"/>
        </w:rPr>
        <w:t xml:space="preserve">Predicted sensitivities and specificities for model with </w:t>
      </w:r>
      <w:r w:rsidRPr="007F365B">
        <w:rPr>
          <w:lang w:val="en-US"/>
        </w:rPr>
        <w:tab/>
      </w:r>
    </w:p>
    <w:p w:rsidR="003C3B14" w:rsidRPr="007F365B" w:rsidRDefault="003C3B14" w:rsidP="003C3B14">
      <w:pPr>
        <w:ind w:left="2160"/>
        <w:rPr>
          <w:lang w:val="en-US"/>
        </w:rPr>
      </w:pPr>
      <w:proofErr w:type="gramStart"/>
      <w:r w:rsidRPr="007F365B">
        <w:rPr>
          <w:lang w:val="en-US"/>
        </w:rPr>
        <w:t>covariate</w:t>
      </w:r>
      <w:proofErr w:type="gramEnd"/>
      <w:r w:rsidRPr="007F365B">
        <w:rPr>
          <w:lang w:val="en-US"/>
        </w:rPr>
        <w:t xml:space="preserve"> = _</w:t>
      </w:r>
      <w:proofErr w:type="spellStart"/>
      <w:r w:rsidRPr="007F365B">
        <w:rPr>
          <w:lang w:val="en-US"/>
        </w:rPr>
        <w:t>madareg_cv</w:t>
      </w:r>
      <w:proofErr w:type="spellEnd"/>
      <w:r w:rsidRPr="007F365B">
        <w:rPr>
          <w:lang w:val="en-US"/>
        </w:rPr>
        <w:t>*_</w:t>
      </w:r>
      <w:proofErr w:type="spellStart"/>
      <w:r w:rsidRPr="007F365B">
        <w:rPr>
          <w:lang w:val="en-US"/>
        </w:rPr>
        <w:t>predict_i</w:t>
      </w:r>
      <w:proofErr w:type="spellEnd"/>
    </w:p>
    <w:p w:rsidR="003C3B14" w:rsidRPr="007F365B" w:rsidRDefault="003C3B14" w:rsidP="003C3B14">
      <w:pPr>
        <w:ind w:left="2160"/>
        <w:rPr>
          <w:lang w:val="en-US"/>
        </w:rPr>
      </w:pPr>
      <w:r w:rsidRPr="007F365B">
        <w:rPr>
          <w:lang w:val="en-US"/>
        </w:rPr>
        <w:t xml:space="preserve">Relative estimates of accuracy measures for </w:t>
      </w:r>
    </w:p>
    <w:p w:rsidR="003C3B14" w:rsidRPr="007F365B" w:rsidRDefault="003C3B14" w:rsidP="003C3B14">
      <w:pPr>
        <w:ind w:left="2160"/>
        <w:rPr>
          <w:lang w:val="en-US"/>
        </w:rPr>
      </w:pPr>
      <w:proofErr w:type="gramStart"/>
      <w:r w:rsidRPr="007F365B">
        <w:rPr>
          <w:lang w:val="en-US"/>
        </w:rPr>
        <w:t>covariate</w:t>
      </w:r>
      <w:proofErr w:type="gramEnd"/>
      <w:r w:rsidRPr="007F365B">
        <w:rPr>
          <w:lang w:val="en-US"/>
        </w:rPr>
        <w:t xml:space="preserve"> = _</w:t>
      </w:r>
      <w:proofErr w:type="spellStart"/>
      <w:r w:rsidRPr="007F365B">
        <w:rPr>
          <w:lang w:val="en-US"/>
        </w:rPr>
        <w:t>madareg_cv</w:t>
      </w:r>
      <w:proofErr w:type="spellEnd"/>
      <w:r w:rsidRPr="007F365B">
        <w:rPr>
          <w:lang w:val="en-US"/>
        </w:rPr>
        <w:t>*_</w:t>
      </w:r>
      <w:proofErr w:type="spellStart"/>
      <w:r w:rsidRPr="007F365B">
        <w:rPr>
          <w:lang w:val="en-US"/>
        </w:rPr>
        <w:t>relsummary_i</w:t>
      </w:r>
      <w:proofErr w:type="spellEnd"/>
    </w:p>
    <w:p w:rsidR="003C3B14" w:rsidRPr="007F365B" w:rsidRDefault="003C3B14" w:rsidP="003C3B14">
      <w:pPr>
        <w:ind w:left="2160"/>
        <w:rPr>
          <w:lang w:val="en-US"/>
        </w:rPr>
      </w:pPr>
      <w:r w:rsidRPr="007F365B">
        <w:rPr>
          <w:lang w:val="en-US"/>
        </w:rPr>
        <w:t xml:space="preserve">Summary estimates of accuracy measures for covariate = </w:t>
      </w:r>
    </w:p>
    <w:p w:rsidR="003C3B14" w:rsidRPr="007F365B" w:rsidRDefault="003C3B14" w:rsidP="003C3B14">
      <w:pPr>
        <w:ind w:left="2160"/>
        <w:rPr>
          <w:lang w:val="en-US"/>
        </w:rPr>
      </w:pPr>
      <w:r w:rsidRPr="007F365B">
        <w:rPr>
          <w:lang w:val="en-US"/>
        </w:rPr>
        <w:t>_</w:t>
      </w:r>
      <w:proofErr w:type="spellStart"/>
      <w:r w:rsidRPr="007F365B">
        <w:rPr>
          <w:lang w:val="en-US"/>
        </w:rPr>
        <w:t>madareg_cv</w:t>
      </w:r>
      <w:proofErr w:type="spellEnd"/>
      <w:r w:rsidRPr="007F365B">
        <w:rPr>
          <w:lang w:val="en-US"/>
        </w:rPr>
        <w:t>*_</w:t>
      </w:r>
      <w:proofErr w:type="spellStart"/>
      <w:r w:rsidRPr="007F365B">
        <w:rPr>
          <w:lang w:val="en-US"/>
        </w:rPr>
        <w:t>statsummary_i</w:t>
      </w:r>
      <w:proofErr w:type="spellEnd"/>
      <w:r w:rsidRPr="007F365B">
        <w:rPr>
          <w:lang w:val="en-US"/>
        </w:rPr>
        <w:tab/>
      </w:r>
    </w:p>
    <w:p w:rsidR="003C3B14" w:rsidRPr="007F365B" w:rsidRDefault="003C3B14" w:rsidP="003C3B14">
      <w:pPr>
        <w:ind w:left="2160"/>
        <w:rPr>
          <w:lang w:val="en-US"/>
        </w:rPr>
      </w:pPr>
      <w:r w:rsidRPr="007F365B">
        <w:rPr>
          <w:lang w:val="en-US"/>
        </w:rPr>
        <w:t>Eigenvalues for model without covariate =_</w:t>
      </w:r>
      <w:proofErr w:type="spellStart"/>
      <w:r w:rsidRPr="007F365B">
        <w:rPr>
          <w:lang w:val="en-US"/>
        </w:rPr>
        <w:t>madareg_a_eigenvals</w:t>
      </w:r>
      <w:proofErr w:type="spellEnd"/>
      <w:r w:rsidRPr="007F365B">
        <w:rPr>
          <w:lang w:val="en-US"/>
        </w:rPr>
        <w:t>_</w:t>
      </w:r>
    </w:p>
    <w:p w:rsidR="003C3B14" w:rsidRPr="007F365B" w:rsidRDefault="003C3B14" w:rsidP="003C3B14">
      <w:pPr>
        <w:ind w:left="2160"/>
        <w:rPr>
          <w:lang w:val="en-US"/>
        </w:rPr>
      </w:pPr>
      <w:r w:rsidRPr="007F365B">
        <w:rPr>
          <w:lang w:val="en-US"/>
        </w:rPr>
        <w:t>Eigenvalues for model with covariate =_</w:t>
      </w:r>
      <w:proofErr w:type="spellStart"/>
      <w:r w:rsidRPr="007F365B">
        <w:rPr>
          <w:lang w:val="en-US"/>
        </w:rPr>
        <w:t>madareg_cv</w:t>
      </w:r>
      <w:proofErr w:type="spellEnd"/>
      <w:r w:rsidRPr="007F365B">
        <w:rPr>
          <w:lang w:val="en-US"/>
        </w:rPr>
        <w:t>*_</w:t>
      </w:r>
      <w:proofErr w:type="spellStart"/>
      <w:r w:rsidRPr="007F365B">
        <w:rPr>
          <w:lang w:val="en-US"/>
        </w:rPr>
        <w:t>eigenvals</w:t>
      </w:r>
      <w:proofErr w:type="spellEnd"/>
      <w:r w:rsidRPr="007F365B">
        <w:rPr>
          <w:lang w:val="en-US"/>
        </w:rPr>
        <w:t>_</w:t>
      </w:r>
    </w:p>
    <w:p w:rsidR="003C3B14" w:rsidRPr="007F365B" w:rsidRDefault="003C3B14" w:rsidP="003C3B14">
      <w:pPr>
        <w:ind w:left="2160"/>
        <w:rPr>
          <w:lang w:val="en-US"/>
        </w:rPr>
      </w:pPr>
      <w:r w:rsidRPr="007F365B">
        <w:rPr>
          <w:lang w:val="en-US"/>
        </w:rPr>
        <w:t xml:space="preserve">SAS NLMIXED output data sets are prefixed by </w:t>
      </w:r>
      <w:proofErr w:type="spellStart"/>
      <w:r w:rsidRPr="007F365B">
        <w:rPr>
          <w:lang w:val="en-US"/>
        </w:rPr>
        <w:t>madareg</w:t>
      </w:r>
      <w:proofErr w:type="spellEnd"/>
      <w:r w:rsidRPr="007F365B">
        <w:rPr>
          <w:lang w:val="en-US"/>
        </w:rPr>
        <w:t xml:space="preserve"> as follows: </w:t>
      </w:r>
    </w:p>
    <w:p w:rsidR="003C3B14" w:rsidRPr="007F365B" w:rsidRDefault="003C3B14" w:rsidP="003C3B14">
      <w:pPr>
        <w:ind w:left="2160"/>
        <w:rPr>
          <w:lang w:val="en-US"/>
        </w:rPr>
      </w:pPr>
      <w:r w:rsidRPr="007F365B">
        <w:rPr>
          <w:lang w:val="en-US"/>
        </w:rPr>
        <w:t>Model without covariate</w:t>
      </w:r>
    </w:p>
    <w:p w:rsidR="003C3B14" w:rsidRPr="007F365B" w:rsidRDefault="003C3B14" w:rsidP="003C3B14">
      <w:pPr>
        <w:ind w:left="2160"/>
        <w:rPr>
          <w:lang w:val="en-US"/>
        </w:rPr>
      </w:pPr>
      <w:r w:rsidRPr="007F365B">
        <w:rPr>
          <w:lang w:val="en-US"/>
        </w:rPr>
        <w:t>Parameters=_</w:t>
      </w:r>
      <w:proofErr w:type="spellStart"/>
      <w:r w:rsidRPr="007F365B">
        <w:rPr>
          <w:lang w:val="en-US"/>
        </w:rPr>
        <w:t>madareg_a_parms</w:t>
      </w:r>
      <w:proofErr w:type="spellEnd"/>
      <w:r w:rsidRPr="007F365B">
        <w:rPr>
          <w:lang w:val="en-US"/>
        </w:rPr>
        <w:t>_</w:t>
      </w:r>
    </w:p>
    <w:p w:rsidR="003C3B14" w:rsidRPr="007F365B" w:rsidRDefault="003C3B14" w:rsidP="003C3B14">
      <w:pPr>
        <w:ind w:left="2160"/>
        <w:rPr>
          <w:lang w:val="en-US"/>
        </w:rPr>
      </w:pPr>
      <w:r w:rsidRPr="007F365B">
        <w:rPr>
          <w:lang w:val="en-US"/>
        </w:rPr>
        <w:t>Parameter estimates=_</w:t>
      </w:r>
      <w:proofErr w:type="spellStart"/>
      <w:r w:rsidRPr="007F365B">
        <w:rPr>
          <w:lang w:val="en-US"/>
        </w:rPr>
        <w:t>madareg_a_pe</w:t>
      </w:r>
      <w:proofErr w:type="spellEnd"/>
      <w:r w:rsidRPr="007F365B">
        <w:rPr>
          <w:lang w:val="en-US"/>
        </w:rPr>
        <w:t>_</w:t>
      </w:r>
      <w:r w:rsidRPr="007F365B">
        <w:rPr>
          <w:lang w:val="en-US"/>
        </w:rPr>
        <w:tab/>
      </w:r>
    </w:p>
    <w:p w:rsidR="003C3B14" w:rsidRPr="007F365B" w:rsidRDefault="003C3B14" w:rsidP="003C3B14">
      <w:pPr>
        <w:ind w:left="2160"/>
        <w:rPr>
          <w:lang w:val="en-US"/>
        </w:rPr>
      </w:pPr>
      <w:r w:rsidRPr="007F365B">
        <w:rPr>
          <w:lang w:val="en-US"/>
        </w:rPr>
        <w:t>Fit statistics=_</w:t>
      </w:r>
      <w:proofErr w:type="spellStart"/>
      <w:r w:rsidRPr="007F365B">
        <w:rPr>
          <w:lang w:val="en-US"/>
        </w:rPr>
        <w:t>madareg_a_fit</w:t>
      </w:r>
      <w:proofErr w:type="spellEnd"/>
      <w:r w:rsidRPr="007F365B">
        <w:rPr>
          <w:lang w:val="en-US"/>
        </w:rPr>
        <w:t>_</w:t>
      </w:r>
      <w:r w:rsidRPr="007F365B">
        <w:rPr>
          <w:lang w:val="en-US"/>
        </w:rPr>
        <w:tab/>
      </w:r>
    </w:p>
    <w:p w:rsidR="003C3B14" w:rsidRPr="007F365B" w:rsidRDefault="003C3B14" w:rsidP="003C3B14">
      <w:pPr>
        <w:ind w:left="2160"/>
        <w:rPr>
          <w:lang w:val="en-US"/>
        </w:rPr>
      </w:pPr>
      <w:r w:rsidRPr="007F365B">
        <w:rPr>
          <w:lang w:val="en-US"/>
        </w:rPr>
        <w:t>Additional estimates=_</w:t>
      </w:r>
      <w:proofErr w:type="spellStart"/>
      <w:r w:rsidRPr="007F365B">
        <w:rPr>
          <w:lang w:val="en-US"/>
        </w:rPr>
        <w:t>madareg_a_addest</w:t>
      </w:r>
      <w:proofErr w:type="spellEnd"/>
      <w:r w:rsidRPr="007F365B">
        <w:rPr>
          <w:lang w:val="en-US"/>
        </w:rPr>
        <w:t>_</w:t>
      </w:r>
    </w:p>
    <w:p w:rsidR="003C3B14" w:rsidRPr="007F365B" w:rsidRDefault="003C3B14" w:rsidP="003C3B14">
      <w:pPr>
        <w:ind w:left="2160"/>
        <w:rPr>
          <w:lang w:val="en-US"/>
        </w:rPr>
      </w:pPr>
      <w:r w:rsidRPr="007F365B">
        <w:rPr>
          <w:lang w:val="en-US"/>
        </w:rPr>
        <w:t>Covariance matrix of additional estimates =_</w:t>
      </w:r>
      <w:proofErr w:type="spellStart"/>
      <w:r w:rsidRPr="007F365B">
        <w:rPr>
          <w:lang w:val="en-US"/>
        </w:rPr>
        <w:t>madareg_a_covaddest</w:t>
      </w:r>
      <w:proofErr w:type="spellEnd"/>
      <w:r w:rsidRPr="007F365B">
        <w:rPr>
          <w:lang w:val="en-US"/>
        </w:rPr>
        <w:t>_</w:t>
      </w:r>
    </w:p>
    <w:p w:rsidR="003C3B14" w:rsidRPr="007F365B" w:rsidRDefault="003C3B14" w:rsidP="003C3B14">
      <w:pPr>
        <w:ind w:left="2160"/>
        <w:rPr>
          <w:lang w:val="en-US"/>
        </w:rPr>
      </w:pPr>
      <w:r w:rsidRPr="007F365B">
        <w:rPr>
          <w:lang w:val="en-US"/>
        </w:rPr>
        <w:t>Convergence status=_</w:t>
      </w:r>
      <w:proofErr w:type="spellStart"/>
      <w:r w:rsidRPr="007F365B">
        <w:rPr>
          <w:lang w:val="en-US"/>
        </w:rPr>
        <w:t>madareg_a_convgstat</w:t>
      </w:r>
      <w:proofErr w:type="spellEnd"/>
      <w:r w:rsidRPr="007F365B">
        <w:rPr>
          <w:lang w:val="en-US"/>
        </w:rPr>
        <w:t>_</w:t>
      </w:r>
      <w:r w:rsidRPr="007F365B">
        <w:rPr>
          <w:lang w:val="en-US"/>
        </w:rPr>
        <w:tab/>
      </w:r>
    </w:p>
    <w:p w:rsidR="003C3B14" w:rsidRPr="007F365B" w:rsidRDefault="003C3B14" w:rsidP="003C3B14">
      <w:pPr>
        <w:ind w:left="2160"/>
        <w:rPr>
          <w:lang w:val="en-US"/>
        </w:rPr>
      </w:pPr>
      <w:r w:rsidRPr="007F365B">
        <w:rPr>
          <w:lang w:val="en-US"/>
        </w:rPr>
        <w:t>Final Hessian matrix=_</w:t>
      </w:r>
      <w:proofErr w:type="spellStart"/>
      <w:r w:rsidRPr="007F365B">
        <w:rPr>
          <w:lang w:val="en-US"/>
        </w:rPr>
        <w:t>madareg_a_hessian</w:t>
      </w:r>
      <w:proofErr w:type="spellEnd"/>
      <w:r w:rsidRPr="007F365B">
        <w:rPr>
          <w:lang w:val="en-US"/>
        </w:rPr>
        <w:t>_</w:t>
      </w:r>
    </w:p>
    <w:p w:rsidR="003C3B14" w:rsidRPr="007F365B" w:rsidRDefault="003C3B14" w:rsidP="003C3B14">
      <w:pPr>
        <w:ind w:left="2160"/>
        <w:rPr>
          <w:lang w:val="en-US"/>
        </w:rPr>
      </w:pPr>
      <w:r w:rsidRPr="007F365B">
        <w:rPr>
          <w:lang w:val="en-US"/>
        </w:rPr>
        <w:t>Model with covariate</w:t>
      </w:r>
    </w:p>
    <w:p w:rsidR="003C3B14" w:rsidRPr="007F365B" w:rsidRDefault="003C3B14" w:rsidP="003C3B14">
      <w:pPr>
        <w:ind w:left="2160"/>
        <w:rPr>
          <w:lang w:val="en-US"/>
        </w:rPr>
      </w:pPr>
      <w:r w:rsidRPr="007F365B">
        <w:rPr>
          <w:lang w:val="en-US"/>
        </w:rPr>
        <w:lastRenderedPageBreak/>
        <w:t>Parameters=_</w:t>
      </w:r>
      <w:proofErr w:type="spellStart"/>
      <w:r w:rsidRPr="007F365B">
        <w:rPr>
          <w:lang w:val="en-US"/>
        </w:rPr>
        <w:t>madareg_cv</w:t>
      </w:r>
      <w:proofErr w:type="spellEnd"/>
      <w:r w:rsidRPr="007F365B">
        <w:rPr>
          <w:lang w:val="en-US"/>
        </w:rPr>
        <w:t>*_</w:t>
      </w:r>
      <w:proofErr w:type="spellStart"/>
      <w:r w:rsidRPr="007F365B">
        <w:rPr>
          <w:lang w:val="en-US"/>
        </w:rPr>
        <w:t>parms</w:t>
      </w:r>
      <w:proofErr w:type="spellEnd"/>
      <w:r w:rsidRPr="007F365B">
        <w:rPr>
          <w:lang w:val="en-US"/>
        </w:rPr>
        <w:t>_</w:t>
      </w:r>
    </w:p>
    <w:p w:rsidR="003C3B14" w:rsidRPr="007F365B" w:rsidRDefault="003C3B14" w:rsidP="003C3B14">
      <w:pPr>
        <w:ind w:left="2160"/>
        <w:rPr>
          <w:lang w:val="en-US"/>
        </w:rPr>
      </w:pPr>
      <w:r w:rsidRPr="007F365B">
        <w:rPr>
          <w:lang w:val="en-US"/>
        </w:rPr>
        <w:t>Parameter estimates=_</w:t>
      </w:r>
      <w:proofErr w:type="spellStart"/>
      <w:r w:rsidRPr="007F365B">
        <w:rPr>
          <w:lang w:val="en-US"/>
        </w:rPr>
        <w:t>madareg_cv</w:t>
      </w:r>
      <w:proofErr w:type="spellEnd"/>
      <w:r w:rsidRPr="007F365B">
        <w:rPr>
          <w:lang w:val="en-US"/>
        </w:rPr>
        <w:t>*_</w:t>
      </w:r>
      <w:proofErr w:type="spellStart"/>
      <w:r w:rsidRPr="007F365B">
        <w:rPr>
          <w:lang w:val="en-US"/>
        </w:rPr>
        <w:t>pe</w:t>
      </w:r>
      <w:proofErr w:type="spellEnd"/>
      <w:r w:rsidRPr="007F365B">
        <w:rPr>
          <w:lang w:val="en-US"/>
        </w:rPr>
        <w:t>_</w:t>
      </w:r>
    </w:p>
    <w:p w:rsidR="003C3B14" w:rsidRPr="007F365B" w:rsidRDefault="003C3B14" w:rsidP="003C3B14">
      <w:pPr>
        <w:ind w:left="2160"/>
        <w:rPr>
          <w:lang w:val="en-US"/>
        </w:rPr>
      </w:pPr>
      <w:r w:rsidRPr="007F365B">
        <w:rPr>
          <w:lang w:val="en-US"/>
        </w:rPr>
        <w:t>Fit statistics=_</w:t>
      </w:r>
      <w:proofErr w:type="spellStart"/>
      <w:r w:rsidRPr="007F365B">
        <w:rPr>
          <w:lang w:val="en-US"/>
        </w:rPr>
        <w:t>madareg_cv</w:t>
      </w:r>
      <w:proofErr w:type="spellEnd"/>
      <w:r w:rsidRPr="007F365B">
        <w:rPr>
          <w:lang w:val="en-US"/>
        </w:rPr>
        <w:t>*_fit_</w:t>
      </w:r>
    </w:p>
    <w:p w:rsidR="003C3B14" w:rsidRPr="007F365B" w:rsidRDefault="003C3B14" w:rsidP="003C3B14">
      <w:pPr>
        <w:ind w:left="2160"/>
        <w:rPr>
          <w:lang w:val="en-US"/>
        </w:rPr>
      </w:pPr>
      <w:r w:rsidRPr="007F365B">
        <w:rPr>
          <w:lang w:val="en-US"/>
        </w:rPr>
        <w:t>Additional estimates=_</w:t>
      </w:r>
      <w:proofErr w:type="spellStart"/>
      <w:r w:rsidRPr="007F365B">
        <w:rPr>
          <w:lang w:val="en-US"/>
        </w:rPr>
        <w:t>madareg_cv</w:t>
      </w:r>
      <w:proofErr w:type="spellEnd"/>
      <w:r w:rsidRPr="007F365B">
        <w:rPr>
          <w:lang w:val="en-US"/>
        </w:rPr>
        <w:t>*_</w:t>
      </w:r>
      <w:proofErr w:type="spellStart"/>
      <w:r w:rsidRPr="007F365B">
        <w:rPr>
          <w:lang w:val="en-US"/>
        </w:rPr>
        <w:t>addest</w:t>
      </w:r>
      <w:proofErr w:type="spellEnd"/>
      <w:r w:rsidRPr="007F365B">
        <w:rPr>
          <w:lang w:val="en-US"/>
        </w:rPr>
        <w:t>_</w:t>
      </w:r>
    </w:p>
    <w:p w:rsidR="003C3B14" w:rsidRPr="007F365B" w:rsidRDefault="003C3B14" w:rsidP="003C3B14">
      <w:pPr>
        <w:ind w:left="2160"/>
        <w:rPr>
          <w:lang w:val="en-US"/>
        </w:rPr>
      </w:pPr>
      <w:r w:rsidRPr="007F365B">
        <w:rPr>
          <w:lang w:val="en-US"/>
        </w:rPr>
        <w:t>Covariance matrix of additional estimates=_</w:t>
      </w:r>
      <w:proofErr w:type="spellStart"/>
      <w:r w:rsidRPr="007F365B">
        <w:rPr>
          <w:lang w:val="en-US"/>
        </w:rPr>
        <w:t>madareg_cv</w:t>
      </w:r>
      <w:proofErr w:type="spellEnd"/>
      <w:r w:rsidRPr="007F365B">
        <w:rPr>
          <w:lang w:val="en-US"/>
        </w:rPr>
        <w:t>*_</w:t>
      </w:r>
      <w:proofErr w:type="spellStart"/>
      <w:r w:rsidRPr="007F365B">
        <w:rPr>
          <w:lang w:val="en-US"/>
        </w:rPr>
        <w:t>covaddest</w:t>
      </w:r>
      <w:proofErr w:type="spellEnd"/>
      <w:r w:rsidRPr="007F365B">
        <w:rPr>
          <w:lang w:val="en-US"/>
        </w:rPr>
        <w:t>_</w:t>
      </w:r>
    </w:p>
    <w:p w:rsidR="003C3B14" w:rsidRPr="007F365B" w:rsidRDefault="003C3B14" w:rsidP="003C3B14">
      <w:pPr>
        <w:ind w:left="2160"/>
        <w:rPr>
          <w:lang w:val="en-US"/>
        </w:rPr>
      </w:pPr>
      <w:r w:rsidRPr="007F365B">
        <w:rPr>
          <w:lang w:val="en-US"/>
        </w:rPr>
        <w:t>Convergence status=_</w:t>
      </w:r>
      <w:proofErr w:type="spellStart"/>
      <w:r w:rsidRPr="007F365B">
        <w:rPr>
          <w:lang w:val="en-US"/>
        </w:rPr>
        <w:t>madareg_cv</w:t>
      </w:r>
      <w:proofErr w:type="spellEnd"/>
      <w:r w:rsidRPr="007F365B">
        <w:rPr>
          <w:lang w:val="en-US"/>
        </w:rPr>
        <w:t>*_</w:t>
      </w:r>
      <w:proofErr w:type="spellStart"/>
      <w:r w:rsidRPr="007F365B">
        <w:rPr>
          <w:lang w:val="en-US"/>
        </w:rPr>
        <w:t>convgstat</w:t>
      </w:r>
      <w:proofErr w:type="spellEnd"/>
      <w:r w:rsidRPr="007F365B">
        <w:rPr>
          <w:lang w:val="en-US"/>
        </w:rPr>
        <w:t>_</w:t>
      </w:r>
      <w:r w:rsidRPr="007F365B">
        <w:rPr>
          <w:lang w:val="en-US"/>
        </w:rPr>
        <w:tab/>
      </w:r>
    </w:p>
    <w:p w:rsidR="003C3B14" w:rsidRPr="007F365B" w:rsidRDefault="003C3B14" w:rsidP="003C3B14">
      <w:pPr>
        <w:ind w:left="2160"/>
        <w:rPr>
          <w:lang w:val="en-US"/>
        </w:rPr>
      </w:pPr>
      <w:r w:rsidRPr="007F365B">
        <w:rPr>
          <w:lang w:val="en-US"/>
        </w:rPr>
        <w:t>Contrasts=_</w:t>
      </w:r>
      <w:proofErr w:type="spellStart"/>
      <w:r w:rsidRPr="007F365B">
        <w:rPr>
          <w:lang w:val="en-US"/>
        </w:rPr>
        <w:t>madareg_cv</w:t>
      </w:r>
      <w:proofErr w:type="spellEnd"/>
      <w:r w:rsidRPr="007F365B">
        <w:rPr>
          <w:lang w:val="en-US"/>
        </w:rPr>
        <w:t>*_contrasts_</w:t>
      </w:r>
    </w:p>
    <w:p w:rsidR="003C3B14" w:rsidRPr="007F365B" w:rsidRDefault="003C3B14" w:rsidP="003C3B14">
      <w:pPr>
        <w:ind w:left="2160"/>
        <w:rPr>
          <w:lang w:val="en-US"/>
        </w:rPr>
      </w:pPr>
      <w:r w:rsidRPr="007F365B">
        <w:rPr>
          <w:lang w:val="en-US"/>
        </w:rPr>
        <w:t>Final Hessian matrix=_</w:t>
      </w:r>
      <w:proofErr w:type="spellStart"/>
      <w:r w:rsidRPr="007F365B">
        <w:rPr>
          <w:lang w:val="en-US"/>
        </w:rPr>
        <w:t>madareg_cv</w:t>
      </w:r>
      <w:proofErr w:type="spellEnd"/>
      <w:r w:rsidRPr="007F365B">
        <w:rPr>
          <w:lang w:val="en-US"/>
        </w:rPr>
        <w:t>*_hessian_</w:t>
      </w:r>
    </w:p>
    <w:p w:rsidR="003C3B14" w:rsidRPr="007F365B" w:rsidRDefault="003C3B14" w:rsidP="003C3B14">
      <w:pPr>
        <w:ind w:left="2160"/>
        <w:rPr>
          <w:lang w:val="en-US"/>
        </w:rPr>
      </w:pPr>
      <w:r w:rsidRPr="007F365B">
        <w:rPr>
          <w:lang w:val="en-US"/>
        </w:rPr>
        <w:t xml:space="preserve">For the bivariate model there are 2 </w:t>
      </w:r>
      <w:proofErr w:type="spellStart"/>
      <w:r w:rsidRPr="007F365B">
        <w:rPr>
          <w:lang w:val="en-US"/>
        </w:rPr>
        <w:t>additonal</w:t>
      </w:r>
      <w:proofErr w:type="spellEnd"/>
      <w:r w:rsidRPr="007F365B">
        <w:rPr>
          <w:lang w:val="en-US"/>
        </w:rPr>
        <w:t xml:space="preserve"> tables, </w:t>
      </w:r>
    </w:p>
    <w:p w:rsidR="003C3B14" w:rsidRPr="007F365B" w:rsidRDefault="003C3B14" w:rsidP="003C3B14">
      <w:pPr>
        <w:ind w:left="2160"/>
        <w:rPr>
          <w:lang w:val="en-US"/>
        </w:rPr>
      </w:pPr>
      <w:proofErr w:type="spellStart"/>
      <w:proofErr w:type="gramStart"/>
      <w:r w:rsidRPr="007F365B">
        <w:rPr>
          <w:lang w:val="en-US"/>
        </w:rPr>
        <w:t>madareg_cv</w:t>
      </w:r>
      <w:proofErr w:type="spellEnd"/>
      <w:r w:rsidRPr="007F365B">
        <w:rPr>
          <w:lang w:val="en-US"/>
        </w:rPr>
        <w:t>*_</w:t>
      </w:r>
      <w:proofErr w:type="spellStart"/>
      <w:r w:rsidRPr="007F365B">
        <w:rPr>
          <w:lang w:val="en-US"/>
        </w:rPr>
        <w:t>covparmest</w:t>
      </w:r>
      <w:proofErr w:type="spellEnd"/>
      <w:r w:rsidRPr="007F365B">
        <w:rPr>
          <w:lang w:val="en-US"/>
        </w:rPr>
        <w:t xml:space="preserve">_ and </w:t>
      </w:r>
      <w:proofErr w:type="spellStart"/>
      <w:r w:rsidRPr="007F365B">
        <w:rPr>
          <w:lang w:val="en-US"/>
        </w:rPr>
        <w:t>madareg_cv</w:t>
      </w:r>
      <w:proofErr w:type="spellEnd"/>
      <w:r w:rsidRPr="007F365B">
        <w:rPr>
          <w:lang w:val="en-US"/>
        </w:rPr>
        <w:t>*_</w:t>
      </w:r>
      <w:proofErr w:type="spellStart"/>
      <w:r w:rsidRPr="007F365B">
        <w:rPr>
          <w:lang w:val="en-US"/>
        </w:rPr>
        <w:t>covparmest</w:t>
      </w:r>
      <w:proofErr w:type="spellEnd"/>
      <w:r w:rsidRPr="007F365B">
        <w:rPr>
          <w:lang w:val="en-US"/>
        </w:rPr>
        <w:t>_, for the</w:t>
      </w:r>
      <w:r w:rsidR="00940DF2">
        <w:rPr>
          <w:lang w:val="en-US"/>
        </w:rPr>
        <w:t xml:space="preserve"> </w:t>
      </w:r>
      <w:r w:rsidRPr="007F365B">
        <w:rPr>
          <w:lang w:val="en-US"/>
        </w:rPr>
        <w:t>covariance ma</w:t>
      </w:r>
      <w:r w:rsidR="002C177F">
        <w:rPr>
          <w:lang w:val="en-US"/>
        </w:rPr>
        <w:t>t</w:t>
      </w:r>
      <w:r w:rsidRPr="007F365B">
        <w:rPr>
          <w:lang w:val="en-US"/>
        </w:rPr>
        <w:t>rix of parameter estimates.</w:t>
      </w:r>
      <w:proofErr w:type="gramEnd"/>
      <w:r w:rsidRPr="007F365B">
        <w:rPr>
          <w:lang w:val="en-US"/>
        </w:rPr>
        <w:t xml:space="preserve"> </w:t>
      </w:r>
    </w:p>
    <w:p w:rsidR="003C3B14" w:rsidRPr="007F365B" w:rsidRDefault="003C3B14" w:rsidP="003C3B14">
      <w:pPr>
        <w:ind w:left="2160" w:hanging="2160"/>
        <w:rPr>
          <w:lang w:val="en-US"/>
        </w:rPr>
      </w:pPr>
      <w:proofErr w:type="gramStart"/>
      <w:r w:rsidRPr="007F365B">
        <w:rPr>
          <w:lang w:val="en-US"/>
        </w:rPr>
        <w:t>info</w:t>
      </w:r>
      <w:proofErr w:type="gramEnd"/>
      <w:r>
        <w:rPr>
          <w:lang w:val="en-US"/>
        </w:rPr>
        <w:t xml:space="preserve"> </w:t>
      </w:r>
      <w:r w:rsidRPr="007F365B">
        <w:rPr>
          <w:lang w:val="en-US"/>
        </w:rPr>
        <w:t>=</w:t>
      </w:r>
      <w:r>
        <w:rPr>
          <w:lang w:val="en-US"/>
        </w:rPr>
        <w:t xml:space="preserve"> y/n</w:t>
      </w:r>
      <w:r>
        <w:rPr>
          <w:lang w:val="en-US"/>
        </w:rPr>
        <w:tab/>
      </w:r>
      <w:r w:rsidRPr="007F365B">
        <w:rPr>
          <w:lang w:val="en-US"/>
        </w:rPr>
        <w:t>If =y, include details of some of the input parameters specified for the macro. The default is y.</w:t>
      </w:r>
      <w:r w:rsidRPr="007F365B">
        <w:rPr>
          <w:lang w:val="en-US"/>
        </w:rPr>
        <w:tab/>
      </w:r>
    </w:p>
    <w:p w:rsidR="003C3B14" w:rsidRPr="007F365B" w:rsidRDefault="003C3B14" w:rsidP="003C3B14">
      <w:pPr>
        <w:ind w:left="2160" w:hanging="2160"/>
        <w:rPr>
          <w:lang w:val="en-US"/>
        </w:rPr>
      </w:pPr>
      <w:proofErr w:type="spellStart"/>
      <w:proofErr w:type="gramStart"/>
      <w:r w:rsidRPr="007F365B">
        <w:rPr>
          <w:lang w:val="en-US"/>
        </w:rPr>
        <w:t>incbasic</w:t>
      </w:r>
      <w:proofErr w:type="spellEnd"/>
      <w:proofErr w:type="gramEnd"/>
      <w:r>
        <w:rPr>
          <w:lang w:val="en-US"/>
        </w:rPr>
        <w:t xml:space="preserve"> </w:t>
      </w:r>
      <w:r w:rsidRPr="007F365B">
        <w:rPr>
          <w:lang w:val="en-US"/>
        </w:rPr>
        <w:t>=</w:t>
      </w:r>
      <w:r>
        <w:rPr>
          <w:lang w:val="en-US"/>
        </w:rPr>
        <w:t xml:space="preserve"> </w:t>
      </w:r>
      <w:r w:rsidRPr="007F365B">
        <w:rPr>
          <w:lang w:val="en-US"/>
        </w:rPr>
        <w:t>y/n</w:t>
      </w:r>
      <w:r w:rsidRPr="007F365B">
        <w:rPr>
          <w:lang w:val="en-US"/>
        </w:rPr>
        <w:tab/>
        <w:t xml:space="preserve">If = n then the output for the model with no covariate is </w:t>
      </w:r>
      <w:r w:rsidRPr="007F365B">
        <w:rPr>
          <w:lang w:val="en-US"/>
        </w:rPr>
        <w:tab/>
        <w:t>suppressed. This may be useful where the model with no covariate</w:t>
      </w:r>
      <w:r>
        <w:rPr>
          <w:lang w:val="en-US"/>
        </w:rPr>
        <w:t xml:space="preserve"> is not realistic</w:t>
      </w:r>
      <w:r w:rsidRPr="007F365B">
        <w:rPr>
          <w:lang w:val="en-US"/>
        </w:rPr>
        <w:t xml:space="preserve">. The default is y. </w:t>
      </w:r>
    </w:p>
    <w:p w:rsidR="003C3B14" w:rsidRPr="007F365B" w:rsidRDefault="003C3B14" w:rsidP="003C3B14">
      <w:pPr>
        <w:ind w:left="2160" w:hanging="2160"/>
        <w:rPr>
          <w:lang w:val="en-US"/>
        </w:rPr>
      </w:pPr>
      <w:proofErr w:type="spellStart"/>
      <w:proofErr w:type="gramStart"/>
      <w:r w:rsidRPr="007F365B">
        <w:rPr>
          <w:lang w:val="en-US"/>
        </w:rPr>
        <w:t>rfile</w:t>
      </w:r>
      <w:proofErr w:type="spellEnd"/>
      <w:proofErr w:type="gramEnd"/>
      <w:r>
        <w:rPr>
          <w:lang w:val="en-US"/>
        </w:rPr>
        <w:t xml:space="preserve"> </w:t>
      </w:r>
      <w:r w:rsidRPr="007F365B">
        <w:rPr>
          <w:lang w:val="en-US"/>
        </w:rPr>
        <w:t>=</w:t>
      </w:r>
      <w:r>
        <w:rPr>
          <w:lang w:val="en-US"/>
        </w:rPr>
        <w:t xml:space="preserve"> </w:t>
      </w:r>
      <w:r w:rsidRPr="007F365B">
        <w:rPr>
          <w:lang w:val="en-US"/>
        </w:rPr>
        <w:t>'text'</w:t>
      </w:r>
      <w:r w:rsidRPr="007F365B">
        <w:rPr>
          <w:lang w:val="en-US"/>
        </w:rPr>
        <w:tab/>
        <w:t xml:space="preserve">Path and name of the Word document to save the result of the </w:t>
      </w:r>
      <w:r w:rsidRPr="007F365B">
        <w:rPr>
          <w:lang w:val="en-US"/>
        </w:rPr>
        <w:tab/>
        <w:t xml:space="preserve">analyses. The file name must have the .rtf extension (rich text file). </w:t>
      </w:r>
    </w:p>
    <w:p w:rsidR="003C3B14" w:rsidRPr="007F365B" w:rsidRDefault="003C3B14" w:rsidP="003C3B14">
      <w:pPr>
        <w:ind w:left="2160" w:hanging="2160"/>
        <w:rPr>
          <w:lang w:val="en-US"/>
        </w:rPr>
      </w:pPr>
      <w:proofErr w:type="gramStart"/>
      <w:r w:rsidRPr="007F365B">
        <w:rPr>
          <w:lang w:val="en-US"/>
        </w:rPr>
        <w:t>model</w:t>
      </w:r>
      <w:proofErr w:type="gramEnd"/>
      <w:r w:rsidRPr="007F365B">
        <w:rPr>
          <w:lang w:val="en-US"/>
        </w:rPr>
        <w:t xml:space="preserve"> = RE/FE   </w:t>
      </w:r>
      <w:r>
        <w:rPr>
          <w:lang w:val="en-US"/>
        </w:rPr>
        <w:tab/>
      </w:r>
      <w:r w:rsidRPr="007F365B">
        <w:rPr>
          <w:lang w:val="en-US"/>
        </w:rPr>
        <w:t>Random or fixed effects model. If there are two studies, then the fixed-effect model is fitted.</w:t>
      </w:r>
      <w:r w:rsidRPr="007F365B">
        <w:rPr>
          <w:lang w:val="en-US"/>
        </w:rPr>
        <w:tab/>
      </w:r>
    </w:p>
    <w:p w:rsidR="003C3B14" w:rsidRPr="007F365B" w:rsidRDefault="003C3B14" w:rsidP="003C3B14">
      <w:pPr>
        <w:rPr>
          <w:lang w:val="en-US"/>
        </w:rPr>
      </w:pPr>
      <w:proofErr w:type="gramStart"/>
      <w:r w:rsidRPr="007F365B">
        <w:rPr>
          <w:lang w:val="en-US"/>
        </w:rPr>
        <w:t>graph</w:t>
      </w:r>
      <w:proofErr w:type="gramEnd"/>
      <w:r w:rsidRPr="007F365B">
        <w:rPr>
          <w:lang w:val="en-US"/>
        </w:rPr>
        <w:t xml:space="preserve"> = Y/N</w:t>
      </w:r>
      <w:r w:rsidRPr="007F365B">
        <w:rPr>
          <w:lang w:val="en-US"/>
        </w:rPr>
        <w:tab/>
      </w:r>
      <w:r w:rsidRPr="007F365B">
        <w:rPr>
          <w:lang w:val="en-US"/>
        </w:rPr>
        <w:tab/>
        <w:t xml:space="preserve">Include the forest plot or not. Default is Y. </w:t>
      </w:r>
    </w:p>
    <w:p w:rsidR="003C3B14" w:rsidRPr="007F365B" w:rsidRDefault="003C3B14" w:rsidP="003C3B14">
      <w:pPr>
        <w:ind w:left="2160" w:hanging="2160"/>
        <w:rPr>
          <w:lang w:val="en-US"/>
        </w:rPr>
      </w:pPr>
      <w:proofErr w:type="spellStart"/>
      <w:proofErr w:type="gramStart"/>
      <w:r>
        <w:rPr>
          <w:lang w:val="en-US"/>
        </w:rPr>
        <w:t>gtitle</w:t>
      </w:r>
      <w:proofErr w:type="spellEnd"/>
      <w:proofErr w:type="gramEnd"/>
      <w:r>
        <w:rPr>
          <w:lang w:val="en-US"/>
        </w:rPr>
        <w:t xml:space="preserve"> = </w:t>
      </w:r>
      <w:r w:rsidRPr="007F365B">
        <w:rPr>
          <w:lang w:val="en-US"/>
        </w:rPr>
        <w:t>'text'</w:t>
      </w:r>
      <w:r>
        <w:rPr>
          <w:lang w:val="en-US"/>
        </w:rPr>
        <w:tab/>
      </w:r>
      <w:r w:rsidRPr="007F365B">
        <w:rPr>
          <w:lang w:val="en-US"/>
        </w:rPr>
        <w:t xml:space="preserve">Title of the forest plot. </w:t>
      </w:r>
      <w:r w:rsidRPr="007F365B">
        <w:rPr>
          <w:lang w:val="en-US"/>
        </w:rPr>
        <w:tab/>
        <w:t>Default is</w:t>
      </w:r>
      <w:r>
        <w:rPr>
          <w:lang w:val="en-US"/>
        </w:rPr>
        <w:t xml:space="preserve"> </w:t>
      </w:r>
      <w:r w:rsidRPr="007F365B">
        <w:rPr>
          <w:lang w:val="en-US"/>
        </w:rPr>
        <w:t>'Forest plot of sensitivity and specificity and 95% CI'</w:t>
      </w:r>
    </w:p>
    <w:p w:rsidR="003C3B14" w:rsidRPr="007F365B" w:rsidRDefault="003C3B14" w:rsidP="003C3B14">
      <w:pPr>
        <w:ind w:left="2160" w:hanging="2160"/>
        <w:rPr>
          <w:lang w:val="en-US"/>
        </w:rPr>
      </w:pPr>
      <w:proofErr w:type="spellStart"/>
      <w:proofErr w:type="gramStart"/>
      <w:r w:rsidRPr="007F365B">
        <w:rPr>
          <w:lang w:val="en-US"/>
        </w:rPr>
        <w:t>cltype</w:t>
      </w:r>
      <w:proofErr w:type="spellEnd"/>
      <w:proofErr w:type="gramEnd"/>
      <w:r>
        <w:rPr>
          <w:lang w:val="en-US"/>
        </w:rPr>
        <w:t xml:space="preserve"> </w:t>
      </w:r>
      <w:r w:rsidRPr="007F365B">
        <w:rPr>
          <w:lang w:val="en-US"/>
        </w:rPr>
        <w:t>= AC/W/CP</w:t>
      </w:r>
      <w:r w:rsidRPr="007F365B">
        <w:rPr>
          <w:lang w:val="en-US"/>
        </w:rPr>
        <w:tab/>
        <w:t xml:space="preserve">How to compute the confidence intervals for the individual. AC is </w:t>
      </w:r>
      <w:proofErr w:type="spellStart"/>
      <w:r w:rsidRPr="007F365B">
        <w:rPr>
          <w:lang w:val="en-US"/>
        </w:rPr>
        <w:t>Agresti-co</w:t>
      </w:r>
      <w:r>
        <w:rPr>
          <w:lang w:val="en-US"/>
        </w:rPr>
        <w:t>ull</w:t>
      </w:r>
      <w:proofErr w:type="spellEnd"/>
      <w:r>
        <w:rPr>
          <w:lang w:val="en-US"/>
        </w:rPr>
        <w:t xml:space="preserve">, W is for Wilson/Score and </w:t>
      </w:r>
      <w:r w:rsidRPr="007F365B">
        <w:rPr>
          <w:lang w:val="en-US"/>
        </w:rPr>
        <w:t xml:space="preserve">CP (default) for </w:t>
      </w:r>
      <w:proofErr w:type="spellStart"/>
      <w:r w:rsidRPr="007F365B">
        <w:rPr>
          <w:lang w:val="en-US"/>
        </w:rPr>
        <w:t>Clopper</w:t>
      </w:r>
      <w:proofErr w:type="spellEnd"/>
      <w:r w:rsidRPr="007F365B">
        <w:rPr>
          <w:lang w:val="en-US"/>
        </w:rPr>
        <w:t xml:space="preserve">-Pearson, the exact interval. </w:t>
      </w:r>
    </w:p>
    <w:p w:rsidR="003C3B14" w:rsidRPr="007F365B" w:rsidRDefault="003C3B14" w:rsidP="003C3B14">
      <w:pPr>
        <w:rPr>
          <w:lang w:val="en-US"/>
        </w:rPr>
      </w:pPr>
      <w:proofErr w:type="spellStart"/>
      <w:proofErr w:type="gramStart"/>
      <w:r w:rsidRPr="007F365B">
        <w:rPr>
          <w:lang w:val="en-US"/>
        </w:rPr>
        <w:t>pmin</w:t>
      </w:r>
      <w:proofErr w:type="spellEnd"/>
      <w:proofErr w:type="gramEnd"/>
      <w:r w:rsidRPr="007F365B">
        <w:rPr>
          <w:lang w:val="en-US"/>
        </w:rPr>
        <w:t xml:space="preserve"> =</w:t>
      </w:r>
      <w:r w:rsidRPr="007F365B">
        <w:rPr>
          <w:lang w:val="en-US"/>
        </w:rPr>
        <w:tab/>
      </w:r>
      <w:r w:rsidRPr="007F365B">
        <w:rPr>
          <w:lang w:val="en-US"/>
        </w:rPr>
        <w:tab/>
      </w:r>
      <w:r w:rsidRPr="007F365B">
        <w:rPr>
          <w:lang w:val="en-US"/>
        </w:rPr>
        <w:tab/>
        <w:t>A number in the interval [0,1] to indicate the minimum x-axis</w:t>
      </w:r>
      <w:r>
        <w:rPr>
          <w:lang w:val="en-US"/>
        </w:rPr>
        <w:t xml:space="preserve"> </w:t>
      </w:r>
      <w:r w:rsidRPr="007F365B">
        <w:rPr>
          <w:lang w:val="en-US"/>
        </w:rPr>
        <w:t xml:space="preserve">tick-value. </w:t>
      </w:r>
    </w:p>
    <w:p w:rsidR="003C3B14" w:rsidRPr="007F365B" w:rsidRDefault="003C3B14" w:rsidP="003C3B14">
      <w:pPr>
        <w:rPr>
          <w:lang w:val="en-US"/>
        </w:rPr>
      </w:pPr>
      <w:proofErr w:type="spellStart"/>
      <w:proofErr w:type="gramStart"/>
      <w:r>
        <w:rPr>
          <w:lang w:val="en-US"/>
        </w:rPr>
        <w:t>pmax</w:t>
      </w:r>
      <w:proofErr w:type="spellEnd"/>
      <w:proofErr w:type="gramEnd"/>
      <w:r>
        <w:rPr>
          <w:lang w:val="en-US"/>
        </w:rPr>
        <w:t xml:space="preserve"> = </w:t>
      </w:r>
      <w:r>
        <w:rPr>
          <w:lang w:val="en-US"/>
        </w:rPr>
        <w:tab/>
      </w:r>
      <w:r>
        <w:rPr>
          <w:lang w:val="en-US"/>
        </w:rPr>
        <w:tab/>
      </w:r>
      <w:r w:rsidRPr="007F365B">
        <w:rPr>
          <w:lang w:val="en-US"/>
        </w:rPr>
        <w:t>A number in the interval [0,1] to indicate the maximum x-axis</w:t>
      </w:r>
      <w:r>
        <w:rPr>
          <w:lang w:val="en-US"/>
        </w:rPr>
        <w:t xml:space="preserve"> </w:t>
      </w:r>
      <w:r w:rsidRPr="007F365B">
        <w:rPr>
          <w:lang w:val="en-US"/>
        </w:rPr>
        <w:t xml:space="preserve">tick-value. </w:t>
      </w:r>
    </w:p>
    <w:p w:rsidR="003C3B14" w:rsidRPr="007F365B" w:rsidRDefault="003C3B14" w:rsidP="003C3B14">
      <w:pPr>
        <w:rPr>
          <w:lang w:val="en-US"/>
        </w:rPr>
      </w:pPr>
      <w:proofErr w:type="spellStart"/>
      <w:proofErr w:type="gramStart"/>
      <w:r w:rsidRPr="007F365B">
        <w:rPr>
          <w:lang w:val="en-US"/>
        </w:rPr>
        <w:t>gwidth</w:t>
      </w:r>
      <w:proofErr w:type="spellEnd"/>
      <w:proofErr w:type="gramEnd"/>
      <w:r w:rsidRPr="007F365B">
        <w:rPr>
          <w:lang w:val="en-US"/>
        </w:rPr>
        <w:t xml:space="preserve"> = </w:t>
      </w:r>
      <w:r w:rsidRPr="007F365B">
        <w:rPr>
          <w:lang w:val="en-US"/>
        </w:rPr>
        <w:tab/>
      </w:r>
      <w:r w:rsidRPr="007F365B">
        <w:rPr>
          <w:lang w:val="en-US"/>
        </w:rPr>
        <w:tab/>
        <w:t xml:space="preserve">Number to indicate width of the forest plot, default is 800. </w:t>
      </w:r>
    </w:p>
    <w:p w:rsidR="003C3B14" w:rsidRPr="007F365B" w:rsidRDefault="003C3B14" w:rsidP="003C3B14">
      <w:pPr>
        <w:rPr>
          <w:lang w:val="en-US"/>
        </w:rPr>
      </w:pPr>
      <w:proofErr w:type="spellStart"/>
      <w:proofErr w:type="gramStart"/>
      <w:r w:rsidRPr="007F365B">
        <w:rPr>
          <w:lang w:val="en-US"/>
        </w:rPr>
        <w:t>gheight</w:t>
      </w:r>
      <w:proofErr w:type="spellEnd"/>
      <w:proofErr w:type="gramEnd"/>
      <w:r w:rsidRPr="007F365B">
        <w:rPr>
          <w:lang w:val="en-US"/>
        </w:rPr>
        <w:t xml:space="preserve"> = </w:t>
      </w:r>
      <w:r w:rsidRPr="007F365B">
        <w:rPr>
          <w:lang w:val="en-US"/>
        </w:rPr>
        <w:tab/>
      </w:r>
      <w:r w:rsidRPr="007F365B">
        <w:rPr>
          <w:lang w:val="en-US"/>
        </w:rPr>
        <w:tab/>
        <w:t xml:space="preserve">Number to indicate height of the forest plot, default is 800. </w:t>
      </w:r>
    </w:p>
    <w:p w:rsidR="003C3B14" w:rsidRPr="007F365B" w:rsidRDefault="003C3B14" w:rsidP="003C3B14">
      <w:pPr>
        <w:rPr>
          <w:lang w:val="en-US"/>
        </w:rPr>
      </w:pPr>
      <w:proofErr w:type="spellStart"/>
      <w:proofErr w:type="gramStart"/>
      <w:r w:rsidRPr="007F365B">
        <w:rPr>
          <w:lang w:val="en-US"/>
        </w:rPr>
        <w:lastRenderedPageBreak/>
        <w:t>gdpi</w:t>
      </w:r>
      <w:proofErr w:type="spellEnd"/>
      <w:proofErr w:type="gramEnd"/>
      <w:r w:rsidRPr="007F365B">
        <w:rPr>
          <w:lang w:val="en-US"/>
        </w:rPr>
        <w:t xml:space="preserve"> =  </w:t>
      </w:r>
      <w:r w:rsidRPr="007F365B">
        <w:rPr>
          <w:lang w:val="en-US"/>
        </w:rPr>
        <w:tab/>
      </w:r>
      <w:r w:rsidRPr="007F365B">
        <w:rPr>
          <w:lang w:val="en-US"/>
        </w:rPr>
        <w:tab/>
      </w:r>
      <w:r>
        <w:rPr>
          <w:lang w:val="en-US"/>
        </w:rPr>
        <w:tab/>
      </w:r>
      <w:r w:rsidRPr="007F365B">
        <w:rPr>
          <w:lang w:val="en-US"/>
        </w:rPr>
        <w:t>Number to indicate the resolution of the forest plot, default is 250.</w:t>
      </w:r>
      <w:r w:rsidRPr="007F365B">
        <w:rPr>
          <w:lang w:val="en-US"/>
        </w:rPr>
        <w:tab/>
      </w:r>
    </w:p>
    <w:p w:rsidR="003C3B14" w:rsidRPr="007F365B" w:rsidRDefault="003C3B14" w:rsidP="003C3B14">
      <w:pPr>
        <w:rPr>
          <w:lang w:val="en-US"/>
        </w:rPr>
      </w:pPr>
      <w:proofErr w:type="spellStart"/>
      <w:proofErr w:type="gramStart"/>
      <w:r w:rsidRPr="007F365B">
        <w:rPr>
          <w:lang w:val="en-US"/>
        </w:rPr>
        <w:t>dp</w:t>
      </w:r>
      <w:proofErr w:type="spellEnd"/>
      <w:proofErr w:type="gramEnd"/>
      <w:r w:rsidRPr="007F365B">
        <w:rPr>
          <w:lang w:val="en-US"/>
        </w:rPr>
        <w:t xml:space="preserve"> = </w:t>
      </w:r>
      <w:r w:rsidRPr="007F365B">
        <w:rPr>
          <w:lang w:val="en-US"/>
        </w:rPr>
        <w:tab/>
      </w:r>
      <w:r w:rsidRPr="007F365B">
        <w:rPr>
          <w:lang w:val="en-US"/>
        </w:rPr>
        <w:tab/>
      </w:r>
      <w:r w:rsidRPr="007F365B">
        <w:rPr>
          <w:lang w:val="en-US"/>
        </w:rPr>
        <w:tab/>
        <w:t xml:space="preserve">Decimal points to be displayed on the forest plot. Default is 2. </w:t>
      </w:r>
    </w:p>
    <w:p w:rsidR="00147E00" w:rsidRDefault="00A666E4" w:rsidP="00A666E4">
      <w:pPr>
        <w:pStyle w:val="Heading1"/>
        <w:rPr>
          <w:lang w:val="en-US"/>
        </w:rPr>
      </w:pPr>
      <w:r>
        <w:rPr>
          <w:lang w:val="en-US"/>
        </w:rPr>
        <w:t>Application</w:t>
      </w:r>
    </w:p>
    <w:p w:rsidR="004D43A5" w:rsidRPr="004D43A5" w:rsidRDefault="004D43A5" w:rsidP="004D43A5">
      <w:pPr>
        <w:pStyle w:val="Heading2"/>
        <w:rPr>
          <w:lang w:val="en-US"/>
        </w:rPr>
      </w:pPr>
      <w:r>
        <w:rPr>
          <w:lang w:val="en-US"/>
        </w:rPr>
        <w:t>Example 1</w:t>
      </w:r>
    </w:p>
    <w:p w:rsidR="00A06B16" w:rsidRPr="00A06B16" w:rsidRDefault="00A06B16" w:rsidP="00A06B16">
      <w:pPr>
        <w:rPr>
          <w:sz w:val="24"/>
          <w:szCs w:val="24"/>
          <w:lang w:val="en-US"/>
        </w:rPr>
      </w:pPr>
      <w:r w:rsidRPr="00A06B16">
        <w:rPr>
          <w:lang w:val="en-US"/>
        </w:rPr>
        <w:t>Fitting random-effects model with test as covariate. Since the number of studies is limited</w:t>
      </w:r>
      <w:r>
        <w:rPr>
          <w:lang w:val="en-US"/>
        </w:rPr>
        <w:t xml:space="preserve"> (only three studies)</w:t>
      </w:r>
      <w:r w:rsidRPr="00A06B16">
        <w:rPr>
          <w:lang w:val="en-US"/>
        </w:rPr>
        <w:t xml:space="preserve">, the correlation between </w:t>
      </w:r>
      <w:proofErr w:type="spellStart"/>
      <w:r w:rsidRPr="00A06B16">
        <w:rPr>
          <w:lang w:val="en-US"/>
        </w:rPr>
        <w:t>logit</w:t>
      </w:r>
      <w:proofErr w:type="spellEnd"/>
      <w:r w:rsidRPr="00A06B16">
        <w:rPr>
          <w:lang w:val="en-US"/>
        </w:rPr>
        <w:t xml:space="preserve"> sensitivity and </w:t>
      </w:r>
      <w:proofErr w:type="spellStart"/>
      <w:r w:rsidRPr="00A06B16">
        <w:rPr>
          <w:lang w:val="en-US"/>
        </w:rPr>
        <w:t>logit</w:t>
      </w:r>
      <w:proofErr w:type="spellEnd"/>
      <w:r w:rsidRPr="00A06B16">
        <w:rPr>
          <w:lang w:val="en-US"/>
        </w:rPr>
        <w:t xml:space="preserve"> specificity is ignored by setting it equal to zero. </w:t>
      </w:r>
    </w:p>
    <w:tbl>
      <w:tblPr>
        <w:tblW w:w="96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2043"/>
        <w:gridCol w:w="1211"/>
        <w:gridCol w:w="1810"/>
        <w:gridCol w:w="1598"/>
        <w:gridCol w:w="498"/>
        <w:gridCol w:w="546"/>
        <w:gridCol w:w="760"/>
        <w:gridCol w:w="540"/>
      </w:tblGrid>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Test</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Threshold</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Outcome</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proofErr w:type="spellStart"/>
            <w:r w:rsidRPr="00A666E4">
              <w:rPr>
                <w:rFonts w:eastAsia="Times New Roman" w:cs="Times New Roman"/>
                <w:b/>
                <w:color w:val="000000"/>
                <w:lang w:val="en-US"/>
              </w:rPr>
              <w:t>Study_ID</w:t>
            </w:r>
            <w:proofErr w:type="spellEnd"/>
          </w:p>
        </w:tc>
        <w:tc>
          <w:tcPr>
            <w:tcW w:w="1598"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proofErr w:type="spellStart"/>
            <w:r w:rsidRPr="00A666E4">
              <w:rPr>
                <w:rFonts w:eastAsia="Times New Roman" w:cs="Times New Roman"/>
                <w:b/>
                <w:color w:val="000000"/>
                <w:lang w:val="en-US"/>
              </w:rPr>
              <w:t>Year_of_study</w:t>
            </w:r>
            <w:proofErr w:type="spellEnd"/>
          </w:p>
        </w:tc>
        <w:tc>
          <w:tcPr>
            <w:tcW w:w="498"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TP</w:t>
            </w:r>
          </w:p>
        </w:tc>
        <w:tc>
          <w:tcPr>
            <w:tcW w:w="546"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FP</w:t>
            </w:r>
          </w:p>
        </w:tc>
        <w:tc>
          <w:tcPr>
            <w:tcW w:w="760"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TN</w:t>
            </w:r>
          </w:p>
        </w:tc>
        <w:tc>
          <w:tcPr>
            <w:tcW w:w="540" w:type="dxa"/>
            <w:shd w:val="clear" w:color="auto" w:fill="auto"/>
            <w:noWrap/>
            <w:vAlign w:val="bottom"/>
            <w:hideMark/>
          </w:tcPr>
          <w:p w:rsidR="00A06B16" w:rsidRPr="00A666E4" w:rsidRDefault="00A06B16" w:rsidP="00A06B16">
            <w:pPr>
              <w:spacing w:before="0" w:after="0" w:line="240" w:lineRule="auto"/>
              <w:rPr>
                <w:rFonts w:eastAsia="Times New Roman" w:cs="Times New Roman"/>
                <w:b/>
                <w:color w:val="000000"/>
                <w:lang w:val="en-US"/>
              </w:rPr>
            </w:pPr>
            <w:r w:rsidRPr="00A666E4">
              <w:rPr>
                <w:rFonts w:eastAsia="Times New Roman" w:cs="Times New Roman"/>
                <w:b/>
                <w:color w:val="000000"/>
                <w:lang w:val="en-US"/>
              </w:rPr>
              <w:t>FN</w:t>
            </w:r>
          </w:p>
        </w:tc>
      </w:tr>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CC</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ASCUS+</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Agorastos</w:t>
            </w:r>
            <w:proofErr w:type="spellEnd"/>
            <w:r w:rsidRPr="00A666E4">
              <w:rPr>
                <w:rFonts w:eastAsia="Times New Roman" w:cs="Times New Roman"/>
                <w:color w:val="000000"/>
                <w:lang w:val="en-US"/>
              </w:rPr>
              <w:t xml:space="preserve"> T 2005</w:t>
            </w:r>
          </w:p>
        </w:tc>
        <w:tc>
          <w:tcPr>
            <w:tcW w:w="15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2005</w:t>
            </w:r>
          </w:p>
        </w:tc>
        <w:tc>
          <w:tcPr>
            <w:tcW w:w="4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c>
          <w:tcPr>
            <w:tcW w:w="546"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w:t>
            </w:r>
          </w:p>
        </w:tc>
        <w:tc>
          <w:tcPr>
            <w:tcW w:w="76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1272</w:t>
            </w:r>
          </w:p>
        </w:tc>
        <w:tc>
          <w:tcPr>
            <w:tcW w:w="54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r>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PCR</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 xml:space="preserve">13 </w:t>
            </w:r>
            <w:proofErr w:type="spellStart"/>
            <w:r w:rsidRPr="00A666E4">
              <w:rPr>
                <w:rFonts w:eastAsia="Times New Roman" w:cs="Times New Roman"/>
                <w:color w:val="000000"/>
                <w:lang w:val="en-US"/>
              </w:rPr>
              <w:t>hr</w:t>
            </w:r>
            <w:proofErr w:type="spellEnd"/>
            <w:r w:rsidRPr="00A666E4">
              <w:rPr>
                <w:rFonts w:eastAsia="Times New Roman" w:cs="Times New Roman"/>
                <w:color w:val="000000"/>
                <w:lang w:val="en-US"/>
              </w:rPr>
              <w:t xml:space="preserve"> types or more</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Agorastos</w:t>
            </w:r>
            <w:proofErr w:type="spellEnd"/>
            <w:r w:rsidRPr="00A666E4">
              <w:rPr>
                <w:rFonts w:eastAsia="Times New Roman" w:cs="Times New Roman"/>
                <w:color w:val="000000"/>
                <w:lang w:val="en-US"/>
              </w:rPr>
              <w:t xml:space="preserve"> T 2005</w:t>
            </w:r>
          </w:p>
        </w:tc>
        <w:tc>
          <w:tcPr>
            <w:tcW w:w="15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2005</w:t>
            </w:r>
          </w:p>
        </w:tc>
        <w:tc>
          <w:tcPr>
            <w:tcW w:w="4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546"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34</w:t>
            </w:r>
          </w:p>
        </w:tc>
        <w:tc>
          <w:tcPr>
            <w:tcW w:w="76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1258</w:t>
            </w:r>
          </w:p>
        </w:tc>
        <w:tc>
          <w:tcPr>
            <w:tcW w:w="54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CC</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ASCUS+</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Hovland</w:t>
            </w:r>
            <w:proofErr w:type="spellEnd"/>
            <w:r w:rsidRPr="00A666E4">
              <w:rPr>
                <w:rFonts w:eastAsia="Times New Roman" w:cs="Times New Roman"/>
                <w:color w:val="000000"/>
                <w:lang w:val="en-US"/>
              </w:rPr>
              <w:t xml:space="preserve"> S 2010</w:t>
            </w:r>
          </w:p>
        </w:tc>
        <w:tc>
          <w:tcPr>
            <w:tcW w:w="15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2010</w:t>
            </w:r>
          </w:p>
        </w:tc>
        <w:tc>
          <w:tcPr>
            <w:tcW w:w="4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w:t>
            </w:r>
          </w:p>
        </w:tc>
        <w:tc>
          <w:tcPr>
            <w:tcW w:w="546"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w:t>
            </w:r>
          </w:p>
        </w:tc>
        <w:tc>
          <w:tcPr>
            <w:tcW w:w="76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279</w:t>
            </w:r>
          </w:p>
        </w:tc>
        <w:tc>
          <w:tcPr>
            <w:tcW w:w="54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w:t>
            </w:r>
          </w:p>
        </w:tc>
      </w:tr>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PCR</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 xml:space="preserve">13 </w:t>
            </w:r>
            <w:proofErr w:type="spellStart"/>
            <w:r w:rsidRPr="00A666E4">
              <w:rPr>
                <w:rFonts w:eastAsia="Times New Roman" w:cs="Times New Roman"/>
                <w:color w:val="000000"/>
                <w:lang w:val="en-US"/>
              </w:rPr>
              <w:t>hr</w:t>
            </w:r>
            <w:proofErr w:type="spellEnd"/>
            <w:r w:rsidRPr="00A666E4">
              <w:rPr>
                <w:rFonts w:eastAsia="Times New Roman" w:cs="Times New Roman"/>
                <w:color w:val="000000"/>
                <w:lang w:val="en-US"/>
              </w:rPr>
              <w:t xml:space="preserve"> types or more</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Hovland</w:t>
            </w:r>
            <w:proofErr w:type="spellEnd"/>
            <w:r w:rsidRPr="00A666E4">
              <w:rPr>
                <w:rFonts w:eastAsia="Times New Roman" w:cs="Times New Roman"/>
                <w:color w:val="000000"/>
                <w:lang w:val="en-US"/>
              </w:rPr>
              <w:t xml:space="preserve"> S 2010</w:t>
            </w:r>
          </w:p>
        </w:tc>
        <w:tc>
          <w:tcPr>
            <w:tcW w:w="15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2010</w:t>
            </w:r>
          </w:p>
        </w:tc>
        <w:tc>
          <w:tcPr>
            <w:tcW w:w="4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16</w:t>
            </w:r>
          </w:p>
        </w:tc>
        <w:tc>
          <w:tcPr>
            <w:tcW w:w="546"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42</w:t>
            </w:r>
          </w:p>
        </w:tc>
        <w:tc>
          <w:tcPr>
            <w:tcW w:w="76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255</w:t>
            </w:r>
          </w:p>
        </w:tc>
        <w:tc>
          <w:tcPr>
            <w:tcW w:w="54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CC</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ASCUS+</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Naucler</w:t>
            </w:r>
            <w:proofErr w:type="spellEnd"/>
            <w:r w:rsidRPr="00A666E4">
              <w:rPr>
                <w:rFonts w:eastAsia="Times New Roman" w:cs="Times New Roman"/>
                <w:color w:val="000000"/>
                <w:lang w:val="en-US"/>
              </w:rPr>
              <w:t xml:space="preserve"> P 2009</w:t>
            </w:r>
          </w:p>
        </w:tc>
        <w:tc>
          <w:tcPr>
            <w:tcW w:w="15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2009</w:t>
            </w:r>
          </w:p>
        </w:tc>
        <w:tc>
          <w:tcPr>
            <w:tcW w:w="4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62</w:t>
            </w:r>
          </w:p>
        </w:tc>
        <w:tc>
          <w:tcPr>
            <w:tcW w:w="546"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84</w:t>
            </w:r>
          </w:p>
        </w:tc>
        <w:tc>
          <w:tcPr>
            <w:tcW w:w="76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6023</w:t>
            </w:r>
          </w:p>
        </w:tc>
        <w:tc>
          <w:tcPr>
            <w:tcW w:w="54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25</w:t>
            </w:r>
          </w:p>
        </w:tc>
      </w:tr>
      <w:tr w:rsidR="00A06B16" w:rsidRPr="00A666E4" w:rsidTr="00A666E4">
        <w:trPr>
          <w:trHeight w:val="300"/>
        </w:trPr>
        <w:tc>
          <w:tcPr>
            <w:tcW w:w="639"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PCR</w:t>
            </w:r>
          </w:p>
        </w:tc>
        <w:tc>
          <w:tcPr>
            <w:tcW w:w="2043"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 xml:space="preserve">13 </w:t>
            </w:r>
            <w:proofErr w:type="spellStart"/>
            <w:r w:rsidRPr="00A666E4">
              <w:rPr>
                <w:rFonts w:eastAsia="Times New Roman" w:cs="Times New Roman"/>
                <w:color w:val="000000"/>
                <w:lang w:val="en-US"/>
              </w:rPr>
              <w:t>hr</w:t>
            </w:r>
            <w:proofErr w:type="spellEnd"/>
            <w:r w:rsidRPr="00A666E4">
              <w:rPr>
                <w:rFonts w:eastAsia="Times New Roman" w:cs="Times New Roman"/>
                <w:color w:val="000000"/>
                <w:lang w:val="en-US"/>
              </w:rPr>
              <w:t xml:space="preserve"> types or more</w:t>
            </w:r>
          </w:p>
        </w:tc>
        <w:tc>
          <w:tcPr>
            <w:tcW w:w="1211"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10" w:type="dxa"/>
            <w:shd w:val="clear" w:color="auto" w:fill="auto"/>
            <w:noWrap/>
            <w:vAlign w:val="bottom"/>
            <w:hideMark/>
          </w:tcPr>
          <w:p w:rsidR="00A06B16" w:rsidRPr="00A666E4" w:rsidRDefault="00A06B16" w:rsidP="00A06B1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Naucler</w:t>
            </w:r>
            <w:proofErr w:type="spellEnd"/>
            <w:r w:rsidRPr="00A666E4">
              <w:rPr>
                <w:rFonts w:eastAsia="Times New Roman" w:cs="Times New Roman"/>
                <w:color w:val="000000"/>
                <w:lang w:val="en-US"/>
              </w:rPr>
              <w:t xml:space="preserve"> P 2009</w:t>
            </w:r>
          </w:p>
        </w:tc>
        <w:tc>
          <w:tcPr>
            <w:tcW w:w="15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2009</w:t>
            </w:r>
          </w:p>
        </w:tc>
        <w:tc>
          <w:tcPr>
            <w:tcW w:w="498"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83</w:t>
            </w:r>
          </w:p>
        </w:tc>
        <w:tc>
          <w:tcPr>
            <w:tcW w:w="546"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350</w:t>
            </w:r>
          </w:p>
        </w:tc>
        <w:tc>
          <w:tcPr>
            <w:tcW w:w="76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5652</w:t>
            </w:r>
          </w:p>
        </w:tc>
        <w:tc>
          <w:tcPr>
            <w:tcW w:w="540" w:type="dxa"/>
            <w:shd w:val="clear" w:color="auto" w:fill="auto"/>
            <w:noWrap/>
            <w:vAlign w:val="bottom"/>
            <w:hideMark/>
          </w:tcPr>
          <w:p w:rsidR="00A06B16" w:rsidRPr="00A666E4" w:rsidRDefault="00A06B16" w:rsidP="00A06B1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w:t>
            </w:r>
          </w:p>
        </w:tc>
      </w:tr>
    </w:tbl>
    <w:p w:rsidR="002C177F" w:rsidRDefault="002C177F">
      <w:pPr>
        <w:rPr>
          <w:lang w:val="en-US"/>
        </w:rPr>
      </w:pPr>
      <w:r>
        <w:rPr>
          <w:lang w:val="en-US"/>
        </w:rPr>
        <w:t>Table 1: Data5 containing studies assessing the accuracy of conventional cytology (CC) in ASCUS+ against PCR detecting 13 high risk HPV types to detect CIN2+.</w:t>
      </w:r>
    </w:p>
    <w:p w:rsidR="002D602A" w:rsidRDefault="002D602A" w:rsidP="008A224A">
      <w:pPr>
        <w:pStyle w:val="Heading2"/>
        <w:rPr>
          <w:lang w:val="en-US"/>
        </w:rPr>
      </w:pPr>
      <w:r>
        <w:rPr>
          <w:lang w:val="en-US"/>
        </w:rPr>
        <w:t>Analysis</w:t>
      </w:r>
      <w:r w:rsidR="002C177F">
        <w:rPr>
          <w:lang w:val="en-US"/>
        </w:rPr>
        <w:t xml:space="preserve"> procedure</w:t>
      </w:r>
      <w:r>
        <w:rPr>
          <w:lang w:val="en-US"/>
        </w:rPr>
        <w:t>:</w:t>
      </w:r>
    </w:p>
    <w:p w:rsidR="002D602A" w:rsidRDefault="002D602A" w:rsidP="002D602A">
      <w:pPr>
        <w:pStyle w:val="ListParagraph"/>
        <w:numPr>
          <w:ilvl w:val="0"/>
          <w:numId w:val="1"/>
        </w:numPr>
        <w:rPr>
          <w:lang w:val="en-US"/>
        </w:rPr>
      </w:pPr>
      <w:r>
        <w:rPr>
          <w:lang w:val="en-US"/>
        </w:rPr>
        <w:t xml:space="preserve">Load the macro </w:t>
      </w:r>
    </w:p>
    <w:p w:rsidR="002D602A" w:rsidRDefault="002D602A" w:rsidP="002D602A">
      <w:pPr>
        <w:pStyle w:val="ListParagraph"/>
        <w:rPr>
          <w:lang w:val="en-US"/>
        </w:rPr>
      </w:pPr>
      <w:r>
        <w:rPr>
          <w:rFonts w:ascii="Courier New" w:hAnsi="Courier New" w:cs="Courier New"/>
          <w:color w:val="0000FF"/>
          <w:sz w:val="20"/>
          <w:szCs w:val="20"/>
          <w:shd w:val="clear" w:color="auto" w:fill="FFFFFF"/>
          <w:lang w:val="en-US"/>
        </w:rPr>
        <w:t>%</w:t>
      </w:r>
      <w:proofErr w:type="gramStart"/>
      <w:r>
        <w:rPr>
          <w:rFonts w:ascii="Courier New" w:hAnsi="Courier New" w:cs="Courier New"/>
          <w:color w:val="0000FF"/>
          <w:sz w:val="20"/>
          <w:szCs w:val="20"/>
          <w:shd w:val="clear" w:color="auto" w:fill="FFFFFF"/>
          <w:lang w:val="en-US"/>
        </w:rPr>
        <w:t>include</w:t>
      </w:r>
      <w:proofErr w:type="gramEnd"/>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"F:\PHD\Projects\madareg\Scripts\Madareg.sas"</w:t>
      </w:r>
      <w:r>
        <w:rPr>
          <w:rFonts w:ascii="Courier New" w:hAnsi="Courier New" w:cs="Courier New"/>
          <w:color w:val="000000"/>
          <w:sz w:val="20"/>
          <w:szCs w:val="20"/>
          <w:shd w:val="clear" w:color="auto" w:fill="FFFFFF"/>
          <w:lang w:val="en-US"/>
        </w:rPr>
        <w:t>;</w:t>
      </w:r>
    </w:p>
    <w:p w:rsidR="002D602A" w:rsidRDefault="002D602A" w:rsidP="002D602A">
      <w:pPr>
        <w:pStyle w:val="ListParagraph"/>
        <w:numPr>
          <w:ilvl w:val="0"/>
          <w:numId w:val="1"/>
        </w:numPr>
        <w:rPr>
          <w:lang w:val="en-US"/>
        </w:rPr>
      </w:pPr>
      <w:r>
        <w:rPr>
          <w:lang w:val="en-US"/>
        </w:rPr>
        <w:t>Read in the data</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proofErr w:type="gramStart"/>
      <w:r w:rsidRPr="002D602A">
        <w:rPr>
          <w:rFonts w:ascii="Courier New" w:hAnsi="Courier New" w:cs="Courier New"/>
          <w:b/>
          <w:bCs/>
          <w:color w:val="000080"/>
          <w:sz w:val="20"/>
          <w:szCs w:val="20"/>
          <w:shd w:val="clear" w:color="auto" w:fill="FFFFFF"/>
          <w:lang w:val="en-US"/>
        </w:rPr>
        <w:t>data</w:t>
      </w:r>
      <w:proofErr w:type="gramEnd"/>
      <w:r w:rsidRPr="002D602A">
        <w:rPr>
          <w:rFonts w:ascii="Courier New" w:hAnsi="Courier New" w:cs="Courier New"/>
          <w:color w:val="000000"/>
          <w:sz w:val="20"/>
          <w:szCs w:val="20"/>
          <w:shd w:val="clear" w:color="auto" w:fill="FFFFFF"/>
          <w:lang w:val="en-US"/>
        </w:rPr>
        <w:t xml:space="preserve"> data5;</w:t>
      </w:r>
    </w:p>
    <w:p w:rsid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proofErr w:type="spellStart"/>
      <w:r w:rsidRPr="002D602A">
        <w:rPr>
          <w:rFonts w:ascii="Courier New" w:hAnsi="Courier New" w:cs="Courier New"/>
          <w:color w:val="0000FF"/>
          <w:sz w:val="20"/>
          <w:szCs w:val="20"/>
          <w:shd w:val="clear" w:color="auto" w:fill="FFFFFF"/>
          <w:lang w:val="en-US"/>
        </w:rPr>
        <w:t>infile</w:t>
      </w:r>
      <w:proofErr w:type="spellEnd"/>
      <w:r w:rsidRPr="002D602A">
        <w:rPr>
          <w:rFonts w:ascii="Courier New" w:hAnsi="Courier New" w:cs="Courier New"/>
          <w:color w:val="000000"/>
          <w:sz w:val="20"/>
          <w:szCs w:val="20"/>
          <w:shd w:val="clear" w:color="auto" w:fill="FFFFFF"/>
          <w:lang w:val="en-US"/>
        </w:rPr>
        <w:t xml:space="preserve"> </w:t>
      </w:r>
      <w:r w:rsidRPr="002D602A">
        <w:rPr>
          <w:rFonts w:ascii="Courier New" w:hAnsi="Courier New" w:cs="Courier New"/>
          <w:color w:val="800080"/>
          <w:sz w:val="20"/>
          <w:szCs w:val="20"/>
          <w:shd w:val="clear" w:color="auto" w:fill="FFFFFF"/>
          <w:lang w:val="en-US"/>
        </w:rPr>
        <w:t>'F</w:t>
      </w:r>
      <w:proofErr w:type="gramStart"/>
      <w:r w:rsidRPr="002D602A">
        <w:rPr>
          <w:rFonts w:ascii="Courier New" w:hAnsi="Courier New" w:cs="Courier New"/>
          <w:color w:val="800080"/>
          <w:sz w:val="20"/>
          <w:szCs w:val="20"/>
          <w:shd w:val="clear" w:color="auto" w:fill="FFFFFF"/>
          <w:lang w:val="en-US"/>
        </w:rPr>
        <w:t>:\</w:t>
      </w:r>
      <w:proofErr w:type="gramEnd"/>
      <w:r w:rsidRPr="002D602A">
        <w:rPr>
          <w:rFonts w:ascii="Courier New" w:hAnsi="Courier New" w:cs="Courier New"/>
          <w:color w:val="800080"/>
          <w:sz w:val="20"/>
          <w:szCs w:val="20"/>
          <w:shd w:val="clear" w:color="auto" w:fill="FFFFFF"/>
          <w:lang w:val="en-US"/>
        </w:rPr>
        <w:t>PHD\Projects\E003\Data\analysis5.csv'</w:t>
      </w:r>
      <w:r w:rsidRPr="002D602A">
        <w:rPr>
          <w:rFonts w:ascii="Courier New" w:hAnsi="Courier New" w:cs="Courier New"/>
          <w:color w:val="000000"/>
          <w:sz w:val="20"/>
          <w:szCs w:val="20"/>
          <w:shd w:val="clear" w:color="auto" w:fill="FFFFFF"/>
          <w:lang w:val="en-US"/>
        </w:rPr>
        <w:t xml:space="preserve"> </w:t>
      </w:r>
      <w:r w:rsidRPr="002D602A">
        <w:rPr>
          <w:rFonts w:ascii="Courier New" w:hAnsi="Courier New" w:cs="Courier New"/>
          <w:color w:val="0000FF"/>
          <w:sz w:val="20"/>
          <w:szCs w:val="20"/>
          <w:shd w:val="clear" w:color="auto" w:fill="FFFFFF"/>
          <w:lang w:val="en-US"/>
        </w:rPr>
        <w:t>delimiter</w:t>
      </w:r>
      <w:r w:rsidRPr="002D602A">
        <w:rPr>
          <w:rFonts w:ascii="Courier New" w:hAnsi="Courier New" w:cs="Courier New"/>
          <w:color w:val="000000"/>
          <w:sz w:val="20"/>
          <w:szCs w:val="20"/>
          <w:shd w:val="clear" w:color="auto" w:fill="FFFFFF"/>
          <w:lang w:val="en-US"/>
        </w:rPr>
        <w:t xml:space="preserve"> = </w:t>
      </w:r>
      <w:r w:rsidRPr="002D602A">
        <w:rPr>
          <w:rFonts w:ascii="Courier New" w:hAnsi="Courier New" w:cs="Courier New"/>
          <w:color w:val="800080"/>
          <w:sz w:val="20"/>
          <w:szCs w:val="20"/>
          <w:shd w:val="clear" w:color="auto" w:fill="FFFFFF"/>
          <w:lang w:val="en-US"/>
        </w:rPr>
        <w:t>','</w:t>
      </w:r>
      <w:r w:rsidRPr="002D602A">
        <w:rPr>
          <w:rFonts w:ascii="Courier New" w:hAnsi="Courier New" w:cs="Courier New"/>
          <w:color w:val="000000"/>
          <w:sz w:val="20"/>
          <w:szCs w:val="20"/>
          <w:shd w:val="clear" w:color="auto" w:fill="FFFFFF"/>
          <w:lang w:val="en-US"/>
        </w:rPr>
        <w:t xml:space="preserve"> </w:t>
      </w:r>
    </w:p>
    <w:p w:rsidR="00BD3471" w:rsidRDefault="00BD3471" w:rsidP="00BD3471">
      <w:pPr>
        <w:autoSpaceDE w:val="0"/>
        <w:autoSpaceDN w:val="0"/>
        <w:adjustRightInd w:val="0"/>
        <w:spacing w:before="0"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ab/>
      </w:r>
      <w:r>
        <w:rPr>
          <w:rFonts w:ascii="Courier New" w:hAnsi="Courier New" w:cs="Courier New"/>
          <w:color w:val="0000FF"/>
          <w:sz w:val="20"/>
          <w:szCs w:val="20"/>
          <w:shd w:val="clear" w:color="auto" w:fill="FFFFFF"/>
          <w:lang w:val="en-US"/>
        </w:rPr>
        <w:tab/>
        <w:t>MISSOVER</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DSD</w:t>
      </w:r>
      <w:r>
        <w:rPr>
          <w:rFonts w:ascii="Courier New" w:hAnsi="Courier New" w:cs="Courier New"/>
          <w:color w:val="000000"/>
          <w:sz w:val="20"/>
          <w:szCs w:val="20"/>
          <w:shd w:val="clear" w:color="auto" w:fill="FFFFFF"/>
          <w:lang w:val="en-US"/>
        </w:rPr>
        <w:t xml:space="preserve"> </w:t>
      </w:r>
    </w:p>
    <w:p w:rsidR="00BD3471" w:rsidRPr="002D602A"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proofErr w:type="gramStart"/>
      <w:r>
        <w:rPr>
          <w:rFonts w:ascii="Courier New" w:hAnsi="Courier New" w:cs="Courier New"/>
          <w:color w:val="0000FF"/>
          <w:sz w:val="20"/>
          <w:szCs w:val="20"/>
          <w:shd w:val="clear" w:color="auto" w:fill="FFFFFF"/>
          <w:lang w:val="en-US"/>
        </w:rPr>
        <w:t>lrecl</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b/>
          <w:bCs/>
          <w:color w:val="008080"/>
          <w:sz w:val="20"/>
          <w:szCs w:val="20"/>
          <w:shd w:val="clear" w:color="auto" w:fill="FFFFFF"/>
          <w:lang w:val="en-US"/>
        </w:rPr>
        <w:t>32767</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proofErr w:type="spellStart"/>
      <w:proofErr w:type="gramStart"/>
      <w:r w:rsidRPr="002D602A">
        <w:rPr>
          <w:rFonts w:ascii="Courier New" w:hAnsi="Courier New" w:cs="Courier New"/>
          <w:color w:val="0000FF"/>
          <w:sz w:val="20"/>
          <w:szCs w:val="20"/>
          <w:shd w:val="clear" w:color="auto" w:fill="FFFFFF"/>
          <w:lang w:val="en-US"/>
        </w:rPr>
        <w:t>firstobs</w:t>
      </w:r>
      <w:proofErr w:type="spellEnd"/>
      <w:r w:rsidRPr="002D602A">
        <w:rPr>
          <w:rFonts w:ascii="Courier New" w:hAnsi="Courier New" w:cs="Courier New"/>
          <w:color w:val="000000"/>
          <w:sz w:val="20"/>
          <w:szCs w:val="20"/>
          <w:shd w:val="clear" w:color="auto" w:fill="FFFFFF"/>
          <w:lang w:val="en-US"/>
        </w:rPr>
        <w:t>=</w:t>
      </w:r>
      <w:proofErr w:type="gramEnd"/>
      <w:r w:rsidRPr="002D602A">
        <w:rPr>
          <w:rFonts w:ascii="Courier New" w:hAnsi="Courier New" w:cs="Courier New"/>
          <w:b/>
          <w:bCs/>
          <w:color w:val="008080"/>
          <w:sz w:val="20"/>
          <w:szCs w:val="20"/>
          <w:shd w:val="clear" w:color="auto" w:fill="FFFFFF"/>
          <w:lang w:val="en-US"/>
        </w:rPr>
        <w:t>2</w:t>
      </w:r>
      <w:r w:rsidRPr="002D602A">
        <w:rPr>
          <w:rFonts w:ascii="Courier New" w:hAnsi="Courier New" w:cs="Courier New"/>
          <w:color w:val="000000"/>
          <w:sz w:val="20"/>
          <w:szCs w:val="20"/>
          <w:shd w:val="clear" w:color="auto" w:fill="FFFFFF"/>
          <w:lang w:val="en-US"/>
        </w:rPr>
        <w:t xml:space="preserve"> ;</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proofErr w:type="gramStart"/>
      <w:r w:rsidRPr="002D602A">
        <w:rPr>
          <w:rFonts w:ascii="Courier New" w:hAnsi="Courier New" w:cs="Courier New"/>
          <w:color w:val="0000FF"/>
          <w:sz w:val="20"/>
          <w:szCs w:val="20"/>
          <w:shd w:val="clear" w:color="auto" w:fill="FFFFFF"/>
          <w:lang w:val="en-US"/>
        </w:rPr>
        <w:t>input</w:t>
      </w:r>
      <w:proofErr w:type="gramEnd"/>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Test $</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Threshold $</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Outcome $</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r>
      <w:proofErr w:type="spellStart"/>
      <w:r w:rsidRPr="002D602A">
        <w:rPr>
          <w:rFonts w:ascii="Courier New" w:hAnsi="Courier New" w:cs="Courier New"/>
          <w:color w:val="000000"/>
          <w:sz w:val="20"/>
          <w:szCs w:val="20"/>
          <w:shd w:val="clear" w:color="auto" w:fill="FFFFFF"/>
          <w:lang w:val="en-US"/>
        </w:rPr>
        <w:t>Study_ID</w:t>
      </w:r>
      <w:proofErr w:type="spellEnd"/>
      <w:r w:rsidRPr="002D602A">
        <w:rPr>
          <w:rFonts w:ascii="Courier New" w:hAnsi="Courier New" w:cs="Courier New"/>
          <w:color w:val="000000"/>
          <w:sz w:val="20"/>
          <w:szCs w:val="20"/>
          <w:shd w:val="clear" w:color="auto" w:fill="FFFFFF"/>
          <w:lang w:val="en-US"/>
        </w:rPr>
        <w:t xml:space="preserve"> $</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r>
      <w:proofErr w:type="spellStart"/>
      <w:r w:rsidRPr="002D602A">
        <w:rPr>
          <w:rFonts w:ascii="Courier New" w:hAnsi="Courier New" w:cs="Courier New"/>
          <w:color w:val="000000"/>
          <w:sz w:val="20"/>
          <w:szCs w:val="20"/>
          <w:shd w:val="clear" w:color="auto" w:fill="FFFFFF"/>
          <w:lang w:val="en-US"/>
        </w:rPr>
        <w:t>Year_of_study</w:t>
      </w:r>
      <w:proofErr w:type="spellEnd"/>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TP</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FP</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TN</w:t>
      </w:r>
    </w:p>
    <w:p w:rsidR="002D602A" w:rsidRPr="002D602A" w:rsidRDefault="00CC25C6" w:rsidP="00CC25C6">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t>FN</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 xml:space="preserve">      ;</w:t>
      </w:r>
    </w:p>
    <w:p w:rsidR="002D602A" w:rsidRPr="002D602A" w:rsidRDefault="002D602A" w:rsidP="002D602A">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 xml:space="preserve">  </w:t>
      </w:r>
      <w:proofErr w:type="gramStart"/>
      <w:r w:rsidRPr="002D602A">
        <w:rPr>
          <w:rFonts w:ascii="Courier New" w:hAnsi="Courier New" w:cs="Courier New"/>
          <w:color w:val="0000FF"/>
          <w:sz w:val="20"/>
          <w:szCs w:val="20"/>
          <w:shd w:val="clear" w:color="auto" w:fill="FFFFFF"/>
          <w:lang w:val="en-US"/>
        </w:rPr>
        <w:t>run</w:t>
      </w:r>
      <w:proofErr w:type="gramEnd"/>
      <w:r w:rsidRPr="002D602A">
        <w:rPr>
          <w:rFonts w:ascii="Courier New" w:hAnsi="Courier New" w:cs="Courier New"/>
          <w:color w:val="000000"/>
          <w:sz w:val="20"/>
          <w:szCs w:val="20"/>
          <w:shd w:val="clear" w:color="auto" w:fill="FFFFFF"/>
          <w:lang w:val="en-US"/>
        </w:rPr>
        <w:t>;</w:t>
      </w:r>
    </w:p>
    <w:p w:rsidR="002D602A" w:rsidRPr="002D602A" w:rsidRDefault="002D602A" w:rsidP="002D602A">
      <w:pPr>
        <w:ind w:left="720"/>
        <w:rPr>
          <w:lang w:val="en-US"/>
        </w:rPr>
      </w:pPr>
      <w:r w:rsidRPr="002D602A">
        <w:rPr>
          <w:rFonts w:ascii="Courier New" w:hAnsi="Courier New" w:cs="Courier New"/>
          <w:color w:val="000000"/>
          <w:sz w:val="20"/>
          <w:szCs w:val="20"/>
          <w:shd w:val="clear" w:color="auto" w:fill="FFFFFF"/>
          <w:lang w:val="en-US"/>
        </w:rPr>
        <w:t xml:space="preserve">  </w:t>
      </w:r>
      <w:proofErr w:type="gramStart"/>
      <w:r w:rsidRPr="002D602A">
        <w:rPr>
          <w:rFonts w:ascii="Courier New" w:hAnsi="Courier New" w:cs="Courier New"/>
          <w:b/>
          <w:bCs/>
          <w:color w:val="000080"/>
          <w:sz w:val="20"/>
          <w:szCs w:val="20"/>
          <w:shd w:val="clear" w:color="auto" w:fill="FFFFFF"/>
          <w:lang w:val="en-US"/>
        </w:rPr>
        <w:t>quit</w:t>
      </w:r>
      <w:proofErr w:type="gramEnd"/>
      <w:r w:rsidRPr="002D602A">
        <w:rPr>
          <w:rFonts w:ascii="Courier New" w:hAnsi="Courier New" w:cs="Courier New"/>
          <w:color w:val="000000"/>
          <w:sz w:val="20"/>
          <w:szCs w:val="20"/>
          <w:shd w:val="clear" w:color="auto" w:fill="FFFFFF"/>
          <w:lang w:val="en-US"/>
        </w:rPr>
        <w:t>;</w:t>
      </w:r>
    </w:p>
    <w:p w:rsidR="002D602A" w:rsidRDefault="002D602A" w:rsidP="002D602A">
      <w:pPr>
        <w:pStyle w:val="ListParagraph"/>
        <w:numPr>
          <w:ilvl w:val="0"/>
          <w:numId w:val="1"/>
        </w:numPr>
        <w:rPr>
          <w:lang w:val="en-US"/>
        </w:rPr>
      </w:pPr>
      <w:r>
        <w:rPr>
          <w:lang w:val="en-US"/>
        </w:rPr>
        <w:t>Fit the model with test as a covariate (assuming that correlation is zero).</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lastRenderedPageBreak/>
        <w:t>%</w:t>
      </w:r>
      <w:proofErr w:type="spellStart"/>
      <w:proofErr w:type="gramStart"/>
      <w:r w:rsidRPr="00BD3471">
        <w:rPr>
          <w:rFonts w:ascii="Courier New" w:hAnsi="Courier New" w:cs="Courier New"/>
          <w:b/>
          <w:bCs/>
          <w:i/>
          <w:iCs/>
          <w:color w:val="000000"/>
          <w:sz w:val="20"/>
          <w:szCs w:val="20"/>
          <w:shd w:val="clear" w:color="auto" w:fill="FFFFFF"/>
          <w:lang w:val="en-US"/>
        </w:rPr>
        <w:t>madareg</w:t>
      </w:r>
      <w:proofErr w:type="spellEnd"/>
      <w:r w:rsidRPr="00BD3471">
        <w:rPr>
          <w:rFonts w:ascii="Courier New" w:hAnsi="Courier New" w:cs="Courier New"/>
          <w:color w:val="000000"/>
          <w:sz w:val="20"/>
          <w:szCs w:val="20"/>
          <w:shd w:val="clear" w:color="auto" w:fill="FFFFFF"/>
          <w:lang w:val="en-US"/>
        </w:rPr>
        <w:t>(</w:t>
      </w:r>
      <w:proofErr w:type="gramEnd"/>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gramStart"/>
      <w:r w:rsidRPr="00BD3471">
        <w:rPr>
          <w:rFonts w:ascii="Courier New" w:hAnsi="Courier New" w:cs="Courier New"/>
          <w:color w:val="000000"/>
          <w:sz w:val="20"/>
          <w:szCs w:val="20"/>
          <w:shd w:val="clear" w:color="auto" w:fill="FFFFFF"/>
          <w:lang w:val="en-US"/>
        </w:rPr>
        <w:t>import</w:t>
      </w:r>
      <w:proofErr w:type="gramEnd"/>
      <w:r w:rsidRPr="00BD3471">
        <w:rPr>
          <w:rFonts w:ascii="Courier New" w:hAnsi="Courier New" w:cs="Courier New"/>
          <w:color w:val="000000"/>
          <w:sz w:val="20"/>
          <w:szCs w:val="20"/>
          <w:shd w:val="clear" w:color="auto" w:fill="FFFFFF"/>
          <w:lang w:val="en-US"/>
        </w:rPr>
        <w:t xml:space="preserve"> = N,</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dsname</w:t>
      </w:r>
      <w:proofErr w:type="spellEnd"/>
      <w:proofErr w:type="gramEnd"/>
      <w:r w:rsidRPr="00BD3471">
        <w:rPr>
          <w:rFonts w:ascii="Courier New" w:hAnsi="Courier New" w:cs="Courier New"/>
          <w:color w:val="000000"/>
          <w:sz w:val="20"/>
          <w:szCs w:val="20"/>
          <w:shd w:val="clear" w:color="auto" w:fill="FFFFFF"/>
          <w:lang w:val="en-US"/>
        </w:rPr>
        <w:t xml:space="preserve"> = data5,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tp</w:t>
      </w:r>
      <w:proofErr w:type="spellEnd"/>
      <w:proofErr w:type="gramEnd"/>
      <w:r w:rsidRPr="00BD3471">
        <w:rPr>
          <w:rFonts w:ascii="Courier New" w:hAnsi="Courier New" w:cs="Courier New"/>
          <w:color w:val="000000"/>
          <w:sz w:val="20"/>
          <w:szCs w:val="20"/>
          <w:shd w:val="clear" w:color="auto" w:fill="FFFFFF"/>
          <w:lang w:val="en-US"/>
        </w:rPr>
        <w:t xml:space="preserve"> = TP,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fp</w:t>
      </w:r>
      <w:proofErr w:type="spellEnd"/>
      <w:proofErr w:type="gramEnd"/>
      <w:r w:rsidRPr="00BD3471">
        <w:rPr>
          <w:rFonts w:ascii="Courier New" w:hAnsi="Courier New" w:cs="Courier New"/>
          <w:color w:val="000000"/>
          <w:sz w:val="20"/>
          <w:szCs w:val="20"/>
          <w:shd w:val="clear" w:color="auto" w:fill="FFFFFF"/>
          <w:lang w:val="en-US"/>
        </w:rPr>
        <w:t xml:space="preserve"> = FP,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fn</w:t>
      </w:r>
      <w:proofErr w:type="spellEnd"/>
      <w:proofErr w:type="gramEnd"/>
      <w:r w:rsidRPr="00BD3471">
        <w:rPr>
          <w:rFonts w:ascii="Courier New" w:hAnsi="Courier New" w:cs="Courier New"/>
          <w:color w:val="000000"/>
          <w:sz w:val="20"/>
          <w:szCs w:val="20"/>
          <w:shd w:val="clear" w:color="auto" w:fill="FFFFFF"/>
          <w:lang w:val="en-US"/>
        </w:rPr>
        <w:t xml:space="preserve"> = FN,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tn</w:t>
      </w:r>
      <w:proofErr w:type="spellEnd"/>
      <w:proofErr w:type="gramEnd"/>
      <w:r w:rsidRPr="00BD3471">
        <w:rPr>
          <w:rFonts w:ascii="Courier New" w:hAnsi="Courier New" w:cs="Courier New"/>
          <w:color w:val="000000"/>
          <w:sz w:val="20"/>
          <w:szCs w:val="20"/>
          <w:shd w:val="clear" w:color="auto" w:fill="FFFFFF"/>
          <w:lang w:val="en-US"/>
        </w:rPr>
        <w:t xml:space="preserve"> = TN,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gramStart"/>
      <w:r w:rsidRPr="00BD3471">
        <w:rPr>
          <w:rFonts w:ascii="Courier New" w:hAnsi="Courier New" w:cs="Courier New"/>
          <w:color w:val="000000"/>
          <w:sz w:val="20"/>
          <w:szCs w:val="20"/>
          <w:shd w:val="clear" w:color="auto" w:fill="FFFFFF"/>
          <w:lang w:val="en-US"/>
        </w:rPr>
        <w:t>subject</w:t>
      </w:r>
      <w:proofErr w:type="gramEnd"/>
      <w:r w:rsidRPr="00BD3471">
        <w:rPr>
          <w:rFonts w:ascii="Courier New" w:hAnsi="Courier New" w:cs="Courier New"/>
          <w:color w:val="000000"/>
          <w:sz w:val="20"/>
          <w:szCs w:val="20"/>
          <w:shd w:val="clear" w:color="auto" w:fill="FFFFFF"/>
          <w:lang w:val="en-US"/>
        </w:rPr>
        <w:t xml:space="preserve"> = </w:t>
      </w:r>
      <w:proofErr w:type="spellStart"/>
      <w:r w:rsidRPr="00BD3471">
        <w:rPr>
          <w:rFonts w:ascii="Courier New" w:hAnsi="Courier New" w:cs="Courier New"/>
          <w:color w:val="000000"/>
          <w:sz w:val="20"/>
          <w:szCs w:val="20"/>
          <w:shd w:val="clear" w:color="auto" w:fill="FFFFFF"/>
          <w:lang w:val="en-US"/>
        </w:rPr>
        <w:t>study_id</w:t>
      </w:r>
      <w:proofErr w:type="spellEnd"/>
      <w:r w:rsidRPr="00BD3471">
        <w:rPr>
          <w:rFonts w:ascii="Courier New" w:hAnsi="Courier New" w:cs="Courier New"/>
          <w:color w:val="000000"/>
          <w:sz w:val="20"/>
          <w:szCs w:val="20"/>
          <w:shd w:val="clear" w:color="auto" w:fill="FFFFFF"/>
          <w:lang w:val="en-US"/>
        </w:rPr>
        <w:t xml:space="preserve">,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gramStart"/>
      <w:r w:rsidRPr="00BD3471">
        <w:rPr>
          <w:rFonts w:ascii="Courier New" w:hAnsi="Courier New" w:cs="Courier New"/>
          <w:color w:val="000000"/>
          <w:sz w:val="20"/>
          <w:szCs w:val="20"/>
          <w:shd w:val="clear" w:color="auto" w:fill="FFFFFF"/>
          <w:lang w:val="en-US"/>
        </w:rPr>
        <w:t>covariate</w:t>
      </w:r>
      <w:proofErr w:type="gramEnd"/>
      <w:r w:rsidRPr="00BD3471">
        <w:rPr>
          <w:rFonts w:ascii="Courier New" w:hAnsi="Courier New" w:cs="Courier New"/>
          <w:color w:val="000000"/>
          <w:sz w:val="20"/>
          <w:szCs w:val="20"/>
          <w:shd w:val="clear" w:color="auto" w:fill="FFFFFF"/>
          <w:lang w:val="en-US"/>
        </w:rPr>
        <w:t xml:space="preserve"> = Test,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cvref</w:t>
      </w:r>
      <w:proofErr w:type="spellEnd"/>
      <w:proofErr w:type="gramEnd"/>
      <w:r w:rsidRPr="00BD3471">
        <w:rPr>
          <w:rFonts w:ascii="Courier New" w:hAnsi="Courier New" w:cs="Courier New"/>
          <w:color w:val="000000"/>
          <w:sz w:val="20"/>
          <w:szCs w:val="20"/>
          <w:shd w:val="clear" w:color="auto" w:fill="FFFFFF"/>
          <w:lang w:val="en-US"/>
        </w:rPr>
        <w:t xml:space="preserve"> = CC,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sortcv</w:t>
      </w:r>
      <w:proofErr w:type="spellEnd"/>
      <w:proofErr w:type="gramEnd"/>
      <w:r w:rsidRPr="00BD3471">
        <w:rPr>
          <w:rFonts w:ascii="Courier New" w:hAnsi="Courier New" w:cs="Courier New"/>
          <w:color w:val="000000"/>
          <w:sz w:val="20"/>
          <w:szCs w:val="20"/>
          <w:shd w:val="clear" w:color="auto" w:fill="FFFFFF"/>
          <w:lang w:val="en-US"/>
        </w:rPr>
        <w:t xml:space="preserve"> = D,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cvtype</w:t>
      </w:r>
      <w:proofErr w:type="spellEnd"/>
      <w:proofErr w:type="gramEnd"/>
      <w:r w:rsidRPr="00BD3471">
        <w:rPr>
          <w:rFonts w:ascii="Courier New" w:hAnsi="Courier New" w:cs="Courier New"/>
          <w:color w:val="000000"/>
          <w:sz w:val="20"/>
          <w:szCs w:val="20"/>
          <w:shd w:val="clear" w:color="auto" w:fill="FFFFFF"/>
          <w:lang w:val="en-US"/>
        </w:rPr>
        <w:t xml:space="preserve"> = CAT,  </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gramStart"/>
      <w:r w:rsidRPr="00BD3471">
        <w:rPr>
          <w:rFonts w:ascii="Courier New" w:hAnsi="Courier New" w:cs="Courier New"/>
          <w:color w:val="000000"/>
          <w:sz w:val="20"/>
          <w:szCs w:val="20"/>
          <w:shd w:val="clear" w:color="auto" w:fill="FFFFFF"/>
          <w:lang w:val="en-US"/>
        </w:rPr>
        <w:t>relax</w:t>
      </w:r>
      <w:proofErr w:type="gramEnd"/>
      <w:r w:rsidRPr="00BD3471">
        <w:rPr>
          <w:rFonts w:ascii="Courier New" w:hAnsi="Courier New" w:cs="Courier New"/>
          <w:color w:val="000000"/>
          <w:sz w:val="20"/>
          <w:szCs w:val="20"/>
          <w:shd w:val="clear" w:color="auto" w:fill="FFFFFF"/>
          <w:lang w:val="en-US"/>
        </w:rPr>
        <w:t xml:space="preserve"> = Y,</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keepds</w:t>
      </w:r>
      <w:proofErr w:type="spellEnd"/>
      <w:r w:rsidRPr="00BD3471">
        <w:rPr>
          <w:rFonts w:ascii="Courier New" w:hAnsi="Courier New" w:cs="Courier New"/>
          <w:color w:val="000000"/>
          <w:sz w:val="20"/>
          <w:szCs w:val="20"/>
          <w:shd w:val="clear" w:color="auto" w:fill="FFFFFF"/>
          <w:lang w:val="en-US"/>
        </w:rPr>
        <w:t>=</w:t>
      </w:r>
      <w:proofErr w:type="gramEnd"/>
      <w:r w:rsidRPr="00BD3471">
        <w:rPr>
          <w:rFonts w:ascii="Courier New" w:hAnsi="Courier New" w:cs="Courier New"/>
          <w:color w:val="000000"/>
          <w:sz w:val="20"/>
          <w:szCs w:val="20"/>
          <w:shd w:val="clear" w:color="auto" w:fill="FFFFFF"/>
          <w:lang w:val="en-US"/>
        </w:rPr>
        <w:t>all,</w:t>
      </w:r>
    </w:p>
    <w:p w:rsidR="00BD3471" w:rsidRPr="00BD3471" w:rsidRDefault="00BD3471" w:rsidP="00BD3471">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BD3471">
        <w:rPr>
          <w:rFonts w:ascii="Courier New" w:hAnsi="Courier New" w:cs="Courier New"/>
          <w:color w:val="000000"/>
          <w:sz w:val="20"/>
          <w:szCs w:val="20"/>
          <w:shd w:val="clear" w:color="auto" w:fill="FFFFFF"/>
          <w:lang w:val="en-US"/>
        </w:rPr>
        <w:tab/>
      </w:r>
      <w:proofErr w:type="spellStart"/>
      <w:proofErr w:type="gramStart"/>
      <w:r w:rsidRPr="00BD3471">
        <w:rPr>
          <w:rFonts w:ascii="Courier New" w:hAnsi="Courier New" w:cs="Courier New"/>
          <w:color w:val="000000"/>
          <w:sz w:val="20"/>
          <w:szCs w:val="20"/>
          <w:shd w:val="clear" w:color="auto" w:fill="FFFFFF"/>
          <w:lang w:val="en-US"/>
        </w:rPr>
        <w:t>incbasic</w:t>
      </w:r>
      <w:proofErr w:type="spellEnd"/>
      <w:r w:rsidRPr="00BD3471">
        <w:rPr>
          <w:rFonts w:ascii="Courier New" w:hAnsi="Courier New" w:cs="Courier New"/>
          <w:color w:val="000000"/>
          <w:sz w:val="20"/>
          <w:szCs w:val="20"/>
          <w:shd w:val="clear" w:color="auto" w:fill="FFFFFF"/>
          <w:lang w:val="en-US"/>
        </w:rPr>
        <w:t>=</w:t>
      </w:r>
      <w:proofErr w:type="gramEnd"/>
      <w:r w:rsidRPr="00BD3471">
        <w:rPr>
          <w:rFonts w:ascii="Courier New" w:hAnsi="Courier New" w:cs="Courier New"/>
          <w:color w:val="000000"/>
          <w:sz w:val="20"/>
          <w:szCs w:val="20"/>
          <w:shd w:val="clear" w:color="auto" w:fill="FFFFFF"/>
          <w:lang w:val="en-US"/>
        </w:rPr>
        <w:t>n,</w:t>
      </w:r>
    </w:p>
    <w:p w:rsidR="00BD3471" w:rsidRPr="00BD3471" w:rsidRDefault="00BD3471" w:rsidP="00BD3471">
      <w:pPr>
        <w:ind w:left="720"/>
        <w:rPr>
          <w:lang w:val="en-US"/>
        </w:rPr>
      </w:pPr>
      <w:proofErr w:type="spellStart"/>
      <w:r w:rsidRPr="00BD3471">
        <w:rPr>
          <w:rFonts w:ascii="Courier New" w:hAnsi="Courier New" w:cs="Courier New"/>
          <w:color w:val="000000"/>
          <w:sz w:val="20"/>
          <w:szCs w:val="20"/>
          <w:shd w:val="clear" w:color="auto" w:fill="FFFFFF"/>
          <w:lang w:val="en-US"/>
        </w:rPr>
        <w:t>rfile</w:t>
      </w:r>
      <w:proofErr w:type="spellEnd"/>
      <w:r w:rsidRPr="00BD3471">
        <w:rPr>
          <w:rFonts w:ascii="Courier New" w:hAnsi="Courier New" w:cs="Courier New"/>
          <w:color w:val="000000"/>
          <w:sz w:val="20"/>
          <w:szCs w:val="20"/>
          <w:shd w:val="clear" w:color="auto" w:fill="FFFFFF"/>
          <w:lang w:val="en-US"/>
        </w:rPr>
        <w:t>=</w:t>
      </w:r>
      <w:r w:rsidRPr="00BD3471">
        <w:rPr>
          <w:rFonts w:ascii="Courier New" w:hAnsi="Courier New" w:cs="Courier New"/>
          <w:color w:val="800080"/>
          <w:sz w:val="20"/>
          <w:szCs w:val="20"/>
          <w:shd w:val="clear" w:color="auto" w:fill="FFFFFF"/>
          <w:lang w:val="en-US"/>
        </w:rPr>
        <w:t>"F:\PHD\Projects\</w:t>
      </w:r>
      <w:proofErr w:type="spellStart"/>
      <w:r w:rsidRPr="00BD3471">
        <w:rPr>
          <w:rFonts w:ascii="Courier New" w:hAnsi="Courier New" w:cs="Courier New"/>
          <w:color w:val="800080"/>
          <w:sz w:val="20"/>
          <w:szCs w:val="20"/>
          <w:shd w:val="clear" w:color="auto" w:fill="FFFFFF"/>
          <w:lang w:val="en-US"/>
        </w:rPr>
        <w:t>Madareg</w:t>
      </w:r>
      <w:proofErr w:type="spellEnd"/>
      <w:r w:rsidRPr="00BD3471">
        <w:rPr>
          <w:rFonts w:ascii="Courier New" w:hAnsi="Courier New" w:cs="Courier New"/>
          <w:color w:val="800080"/>
          <w:sz w:val="20"/>
          <w:szCs w:val="20"/>
          <w:shd w:val="clear" w:color="auto" w:fill="FFFFFF"/>
          <w:lang w:val="en-US"/>
        </w:rPr>
        <w:t>\Logs\Example5.rtf"</w:t>
      </w:r>
      <w:r w:rsidRPr="00BD3471">
        <w:rPr>
          <w:rFonts w:ascii="Courier New" w:hAnsi="Courier New" w:cs="Courier New"/>
          <w:color w:val="000000"/>
          <w:sz w:val="20"/>
          <w:szCs w:val="20"/>
          <w:shd w:val="clear" w:color="auto" w:fill="FFFFFF"/>
          <w:lang w:val="en-US"/>
        </w:rPr>
        <w:t>);</w:t>
      </w:r>
    </w:p>
    <w:p w:rsidR="00BD3471" w:rsidRDefault="00BD3471" w:rsidP="00BD3471">
      <w:pPr>
        <w:pStyle w:val="ListParagraph"/>
        <w:numPr>
          <w:ilvl w:val="0"/>
          <w:numId w:val="1"/>
        </w:numPr>
        <w:rPr>
          <w:lang w:val="en-US"/>
        </w:rPr>
      </w:pPr>
      <w:r>
        <w:rPr>
          <w:lang w:val="en-US"/>
        </w:rPr>
        <w:t xml:space="preserve">The SAS output is a word document found in </w:t>
      </w:r>
      <w:r w:rsidRPr="00BD3471">
        <w:rPr>
          <w:rFonts w:ascii="Courier New" w:hAnsi="Courier New" w:cs="Courier New"/>
          <w:color w:val="800080"/>
          <w:sz w:val="20"/>
          <w:szCs w:val="20"/>
          <w:shd w:val="clear" w:color="auto" w:fill="FFFFFF"/>
          <w:lang w:val="en-US"/>
        </w:rPr>
        <w:t>F:\PHD\Projects\Madareg\Logs\Example5.rtf</w:t>
      </w:r>
      <w:r>
        <w:rPr>
          <w:lang w:val="en-US"/>
        </w:rPr>
        <w:t xml:space="preserve">.  </w:t>
      </w:r>
    </w:p>
    <w:p w:rsidR="00BD3471" w:rsidRDefault="00CC25C6" w:rsidP="00BD3471">
      <w:pPr>
        <w:pStyle w:val="ListParagraph"/>
        <w:numPr>
          <w:ilvl w:val="0"/>
          <w:numId w:val="1"/>
        </w:numPr>
        <w:rPr>
          <w:lang w:val="en-US"/>
        </w:rPr>
      </w:pPr>
      <w:r>
        <w:rPr>
          <w:lang w:val="en-US"/>
        </w:rPr>
        <w:t xml:space="preserve">Results based on excerpts from the output </w:t>
      </w:r>
      <w:proofErr w:type="gramStart"/>
      <w:r>
        <w:rPr>
          <w:lang w:val="en-US"/>
        </w:rPr>
        <w:t xml:space="preserve">in </w:t>
      </w:r>
      <w:r w:rsidR="00BD3471">
        <w:rPr>
          <w:lang w:val="en-US"/>
        </w:rPr>
        <w:t xml:space="preserve"> </w:t>
      </w:r>
      <w:r w:rsidRPr="00BD3471">
        <w:rPr>
          <w:rFonts w:ascii="Courier New" w:hAnsi="Courier New" w:cs="Courier New"/>
          <w:color w:val="800080"/>
          <w:sz w:val="20"/>
          <w:szCs w:val="20"/>
          <w:shd w:val="clear" w:color="auto" w:fill="FFFFFF"/>
          <w:lang w:val="en-US"/>
        </w:rPr>
        <w:t>F</w:t>
      </w:r>
      <w:proofErr w:type="gramEnd"/>
      <w:r w:rsidRPr="00BD3471">
        <w:rPr>
          <w:rFonts w:ascii="Courier New" w:hAnsi="Courier New" w:cs="Courier New"/>
          <w:color w:val="800080"/>
          <w:sz w:val="20"/>
          <w:szCs w:val="20"/>
          <w:shd w:val="clear" w:color="auto" w:fill="FFFFFF"/>
          <w:lang w:val="en-US"/>
        </w:rPr>
        <w:t>:\PHD\Projects\Madareg\Logs\Example5.rtf</w:t>
      </w:r>
      <w:r>
        <w:rPr>
          <w:lang w:val="en-US"/>
        </w:rPr>
        <w:t>.</w:t>
      </w:r>
    </w:p>
    <w:p w:rsidR="00246B4C" w:rsidRDefault="00BD3471" w:rsidP="00BD3471">
      <w:pPr>
        <w:ind w:left="720"/>
        <w:rPr>
          <w:lang w:val="en-US"/>
        </w:rPr>
      </w:pPr>
      <w:r>
        <w:rPr>
          <w:lang w:val="en-US"/>
        </w:rPr>
        <w:t xml:space="preserve">This analysis compared the diagnostic accuracy of PCR </w:t>
      </w:r>
      <w:r w:rsidR="00263AA9">
        <w:rPr>
          <w:lang w:val="en-US"/>
        </w:rPr>
        <w:t>and conventional cytology (CC) on detection of CIN2+</w:t>
      </w:r>
      <w:r w:rsidR="004D43A5">
        <w:rPr>
          <w:lang w:val="en-US"/>
        </w:rPr>
        <w:t xml:space="preserve"> in the AS</w:t>
      </w:r>
      <w:r w:rsidR="00340C2A">
        <w:rPr>
          <w:lang w:val="en-US"/>
        </w:rPr>
        <w:t>CUS</w:t>
      </w:r>
      <w:r w:rsidR="004D43A5">
        <w:rPr>
          <w:lang w:val="en-US"/>
        </w:rPr>
        <w:t>+</w:t>
      </w:r>
      <w:r w:rsidR="00340C2A">
        <w:rPr>
          <w:lang w:val="en-US"/>
        </w:rPr>
        <w:t xml:space="preserve"> triage</w:t>
      </w:r>
      <w:r w:rsidR="00263AA9">
        <w:rPr>
          <w:lang w:val="en-US"/>
        </w:rPr>
        <w:t xml:space="preserve">. The reference test was CC. The forest plot in Figure 1 shows large within-study </w:t>
      </w:r>
      <w:r w:rsidR="00246B4C">
        <w:rPr>
          <w:lang w:val="en-US"/>
        </w:rPr>
        <w:t>variability</w:t>
      </w:r>
      <w:r w:rsidR="00263AA9">
        <w:rPr>
          <w:lang w:val="en-US"/>
        </w:rPr>
        <w:t xml:space="preserve"> in sensitivity.</w:t>
      </w:r>
      <w:r w:rsidR="00246B4C">
        <w:rPr>
          <w:lang w:val="en-US"/>
        </w:rPr>
        <w:t xml:space="preserve"> It suggests that the two tests might be</w:t>
      </w:r>
      <w:r w:rsidR="00263AA9">
        <w:rPr>
          <w:lang w:val="en-US"/>
        </w:rPr>
        <w:t xml:space="preserve"> equally as specific </w:t>
      </w:r>
      <w:r w:rsidR="00246B4C">
        <w:rPr>
          <w:lang w:val="en-US"/>
        </w:rPr>
        <w:t>with</w:t>
      </w:r>
      <w:r w:rsidR="00263AA9">
        <w:rPr>
          <w:lang w:val="en-US"/>
        </w:rPr>
        <w:t xml:space="preserve"> PC</w:t>
      </w:r>
      <w:r w:rsidR="00246B4C">
        <w:rPr>
          <w:lang w:val="en-US"/>
        </w:rPr>
        <w:t>R being more sensitive. A formal test (see table 2) on the significance of the relative sensitivity confirms that PCR is indeed more sensitive RSE: 1.3655 [1.1964, 1.5585], p value &lt;0.0001.</w:t>
      </w:r>
      <w:r w:rsidR="00263AA9">
        <w:rPr>
          <w:lang w:val="en-US"/>
        </w:rPr>
        <w:t xml:space="preserve"> </w:t>
      </w:r>
      <w:r w:rsidR="00246B4C">
        <w:rPr>
          <w:lang w:val="en-US"/>
        </w:rPr>
        <w:t>However, PCR is less specific than CC RSP: 0.9520 [0.9198, 0.9852], p value = 0.005.</w:t>
      </w:r>
    </w:p>
    <w:tbl>
      <w:tblPr>
        <w:tblW w:w="0" w:type="auto"/>
        <w:jc w:val="center"/>
        <w:tblInd w:w="-599" w:type="dxa"/>
        <w:tblLayout w:type="fixed"/>
        <w:tblCellMar>
          <w:left w:w="0" w:type="dxa"/>
          <w:right w:w="0" w:type="dxa"/>
        </w:tblCellMar>
        <w:tblLook w:val="0000" w:firstRow="0" w:lastRow="0" w:firstColumn="0" w:lastColumn="0" w:noHBand="0" w:noVBand="0"/>
      </w:tblPr>
      <w:tblGrid>
        <w:gridCol w:w="3060"/>
        <w:gridCol w:w="1064"/>
        <w:gridCol w:w="826"/>
        <w:gridCol w:w="900"/>
        <w:gridCol w:w="798"/>
      </w:tblGrid>
      <w:tr w:rsidR="00246B4C" w:rsidRPr="00A666E4" w:rsidTr="00A666E4">
        <w:trPr>
          <w:cantSplit/>
          <w:tblHeader/>
          <w:jc w:val="center"/>
        </w:trPr>
        <w:tc>
          <w:tcPr>
            <w:tcW w:w="3060" w:type="dxa"/>
            <w:tcBorders>
              <w:top w:val="single" w:sz="4" w:space="0" w:color="4F493B"/>
              <w:left w:val="single" w:sz="4" w:space="0" w:color="4F493B"/>
              <w:bottom w:val="single" w:sz="2" w:space="0" w:color="4F493B"/>
              <w:right w:val="single" w:sz="2" w:space="0" w:color="4F493B"/>
            </w:tcBorders>
            <w:shd w:val="clear" w:color="auto" w:fill="E8E6DA"/>
            <w:tcMar>
              <w:left w:w="29" w:type="dxa"/>
              <w:right w:w="29" w:type="dxa"/>
            </w:tcMar>
            <w:vAlign w:val="bottom"/>
          </w:tcPr>
          <w:p w:rsidR="00246B4C" w:rsidRPr="00A666E4" w:rsidRDefault="00246B4C" w:rsidP="00CC7786">
            <w:pPr>
              <w:keepNext/>
              <w:adjustRightInd w:val="0"/>
              <w:spacing w:before="29" w:after="29"/>
              <w:rPr>
                <w:rFonts w:cs="Times New Roman"/>
                <w:b/>
                <w:bCs/>
                <w:color w:val="000000"/>
              </w:rPr>
            </w:pPr>
            <w:r w:rsidRPr="00A666E4">
              <w:rPr>
                <w:rFonts w:cs="Times New Roman"/>
                <w:b/>
                <w:bCs/>
                <w:color w:val="000000"/>
              </w:rPr>
              <w:t>Parameter</w:t>
            </w:r>
          </w:p>
        </w:tc>
        <w:tc>
          <w:tcPr>
            <w:tcW w:w="1064"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246B4C" w:rsidRPr="00A666E4" w:rsidRDefault="00246B4C" w:rsidP="00CC7786">
            <w:pPr>
              <w:keepNext/>
              <w:adjustRightInd w:val="0"/>
              <w:spacing w:before="29" w:after="29"/>
              <w:jc w:val="right"/>
              <w:rPr>
                <w:rFonts w:cs="Times New Roman"/>
                <w:b/>
                <w:bCs/>
                <w:color w:val="000000"/>
              </w:rPr>
            </w:pPr>
            <w:r w:rsidRPr="00A666E4">
              <w:rPr>
                <w:rFonts w:cs="Times New Roman"/>
                <w:b/>
                <w:bCs/>
                <w:color w:val="000000"/>
              </w:rPr>
              <w:t>Estimate</w:t>
            </w:r>
          </w:p>
        </w:tc>
        <w:tc>
          <w:tcPr>
            <w:tcW w:w="826"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246B4C" w:rsidRPr="00A666E4" w:rsidRDefault="00246B4C" w:rsidP="00CC7786">
            <w:pPr>
              <w:keepNext/>
              <w:adjustRightInd w:val="0"/>
              <w:spacing w:before="29" w:after="29"/>
              <w:jc w:val="right"/>
              <w:rPr>
                <w:rFonts w:cs="Times New Roman"/>
                <w:b/>
                <w:bCs/>
                <w:color w:val="000000"/>
              </w:rPr>
            </w:pPr>
            <w:r w:rsidRPr="00A666E4">
              <w:rPr>
                <w:rFonts w:cs="Times New Roman"/>
                <w:b/>
                <w:bCs/>
                <w:color w:val="000000"/>
              </w:rPr>
              <w:t>Pr &gt; |z|</w:t>
            </w:r>
          </w:p>
        </w:tc>
        <w:tc>
          <w:tcPr>
            <w:tcW w:w="900"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246B4C" w:rsidRPr="00A666E4" w:rsidRDefault="00246B4C" w:rsidP="00CC7786">
            <w:pPr>
              <w:keepNext/>
              <w:adjustRightInd w:val="0"/>
              <w:spacing w:before="29" w:after="29"/>
              <w:jc w:val="right"/>
              <w:rPr>
                <w:rFonts w:cs="Times New Roman"/>
                <w:b/>
                <w:bCs/>
                <w:color w:val="000000"/>
              </w:rPr>
            </w:pPr>
            <w:r w:rsidRPr="00A666E4">
              <w:rPr>
                <w:rFonts w:cs="Times New Roman"/>
                <w:b/>
                <w:bCs/>
                <w:color w:val="000000"/>
              </w:rPr>
              <w:t>Lower</w:t>
            </w:r>
          </w:p>
        </w:tc>
        <w:tc>
          <w:tcPr>
            <w:tcW w:w="798"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246B4C" w:rsidRPr="00A666E4" w:rsidRDefault="00246B4C" w:rsidP="00CC7786">
            <w:pPr>
              <w:keepNext/>
              <w:adjustRightInd w:val="0"/>
              <w:spacing w:before="29" w:after="29"/>
              <w:jc w:val="right"/>
              <w:rPr>
                <w:rFonts w:cs="Times New Roman"/>
                <w:b/>
                <w:bCs/>
                <w:color w:val="000000"/>
              </w:rPr>
            </w:pPr>
            <w:r w:rsidRPr="00A666E4">
              <w:rPr>
                <w:rFonts w:cs="Times New Roman"/>
                <w:b/>
                <w:bCs/>
                <w:color w:val="000000"/>
              </w:rPr>
              <w:t>Upper</w:t>
            </w:r>
          </w:p>
        </w:tc>
      </w:tr>
      <w:tr w:rsidR="00246B4C" w:rsidRPr="00A666E4" w:rsidTr="00A666E4">
        <w:trPr>
          <w:cantSplit/>
          <w:jc w:val="center"/>
        </w:trPr>
        <w:tc>
          <w:tcPr>
            <w:tcW w:w="306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rPr>
                <w:rFonts w:cs="Times New Roman"/>
                <w:color w:val="000000"/>
                <w:lang w:val="en-US"/>
              </w:rPr>
            </w:pPr>
            <w:r w:rsidRPr="00A666E4">
              <w:rPr>
                <w:rFonts w:cs="Times New Roman"/>
                <w:color w:val="000000"/>
                <w:lang w:val="en-US"/>
              </w:rPr>
              <w:t xml:space="preserve">True positive OR Test: 1 </w:t>
            </w:r>
            <w:proofErr w:type="spellStart"/>
            <w:r w:rsidRPr="00A666E4">
              <w:rPr>
                <w:rFonts w:cs="Times New Roman"/>
                <w:color w:val="000000"/>
                <w:lang w:val="en-US"/>
              </w:rPr>
              <w:t>vs</w:t>
            </w:r>
            <w:proofErr w:type="spellEnd"/>
            <w:r w:rsidRPr="00A666E4">
              <w:rPr>
                <w:rFonts w:cs="Times New Roman"/>
                <w:color w:val="000000"/>
                <w:lang w:val="en-US"/>
              </w:rPr>
              <w:t xml:space="preserve"> 0</w:t>
            </w:r>
          </w:p>
        </w:tc>
        <w:tc>
          <w:tcPr>
            <w:tcW w:w="1064"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8.8216</w:t>
            </w:r>
          </w:p>
        </w:tc>
        <w:tc>
          <w:tcPr>
            <w:tcW w:w="826"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&lt;.0001</w:t>
            </w:r>
          </w:p>
        </w:tc>
        <w:tc>
          <w:tcPr>
            <w:tcW w:w="9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3.2776</w:t>
            </w:r>
          </w:p>
        </w:tc>
        <w:tc>
          <w:tcPr>
            <w:tcW w:w="798"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23.7432</w:t>
            </w:r>
          </w:p>
        </w:tc>
      </w:tr>
      <w:tr w:rsidR="00246B4C" w:rsidRPr="00A666E4" w:rsidTr="00A666E4">
        <w:trPr>
          <w:cantSplit/>
          <w:jc w:val="center"/>
        </w:trPr>
        <w:tc>
          <w:tcPr>
            <w:tcW w:w="306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rPr>
                <w:rFonts w:cs="Times New Roman"/>
                <w:color w:val="000000"/>
                <w:lang w:val="en-US"/>
              </w:rPr>
            </w:pPr>
            <w:r w:rsidRPr="00A666E4">
              <w:rPr>
                <w:rFonts w:cs="Times New Roman"/>
                <w:color w:val="000000"/>
                <w:lang w:val="en-US"/>
              </w:rPr>
              <w:t xml:space="preserve">True negative OR Test: 1 </w:t>
            </w:r>
            <w:proofErr w:type="spellStart"/>
            <w:r w:rsidRPr="00A666E4">
              <w:rPr>
                <w:rFonts w:cs="Times New Roman"/>
                <w:color w:val="000000"/>
                <w:lang w:val="en-US"/>
              </w:rPr>
              <w:t>vs</w:t>
            </w:r>
            <w:proofErr w:type="spellEnd"/>
            <w:r w:rsidRPr="00A666E4">
              <w:rPr>
                <w:rFonts w:cs="Times New Roman"/>
                <w:color w:val="000000"/>
                <w:lang w:val="en-US"/>
              </w:rPr>
              <w:t xml:space="preserve"> 0</w:t>
            </w:r>
          </w:p>
        </w:tc>
        <w:tc>
          <w:tcPr>
            <w:tcW w:w="1064"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0.2544</w:t>
            </w:r>
          </w:p>
        </w:tc>
        <w:tc>
          <w:tcPr>
            <w:tcW w:w="826"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&lt;.0001</w:t>
            </w:r>
          </w:p>
        </w:tc>
        <w:tc>
          <w:tcPr>
            <w:tcW w:w="9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0.2064</w:t>
            </w:r>
          </w:p>
        </w:tc>
        <w:tc>
          <w:tcPr>
            <w:tcW w:w="798"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0.3135</w:t>
            </w:r>
          </w:p>
        </w:tc>
      </w:tr>
      <w:tr w:rsidR="00246B4C" w:rsidRPr="00A666E4" w:rsidTr="00A666E4">
        <w:trPr>
          <w:cantSplit/>
          <w:jc w:val="center"/>
        </w:trPr>
        <w:tc>
          <w:tcPr>
            <w:tcW w:w="306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rPr>
                <w:rFonts w:cs="Times New Roman"/>
                <w:color w:val="000000"/>
              </w:rPr>
            </w:pPr>
            <w:r w:rsidRPr="00A666E4">
              <w:rPr>
                <w:rFonts w:cs="Times New Roman"/>
                <w:color w:val="000000"/>
              </w:rPr>
              <w:t>RSE Test: 1 vs 0</w:t>
            </w:r>
          </w:p>
        </w:tc>
        <w:tc>
          <w:tcPr>
            <w:tcW w:w="1064"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1.3655</w:t>
            </w:r>
          </w:p>
        </w:tc>
        <w:tc>
          <w:tcPr>
            <w:tcW w:w="826"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&lt;.0001</w:t>
            </w:r>
          </w:p>
        </w:tc>
        <w:tc>
          <w:tcPr>
            <w:tcW w:w="9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1.1964</w:t>
            </w:r>
          </w:p>
        </w:tc>
        <w:tc>
          <w:tcPr>
            <w:tcW w:w="798"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1.5585</w:t>
            </w:r>
          </w:p>
        </w:tc>
      </w:tr>
      <w:tr w:rsidR="00246B4C" w:rsidRPr="00A666E4" w:rsidTr="00A666E4">
        <w:trPr>
          <w:cantSplit/>
          <w:jc w:val="center"/>
        </w:trPr>
        <w:tc>
          <w:tcPr>
            <w:tcW w:w="306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keepNext/>
              <w:adjustRightInd w:val="0"/>
              <w:spacing w:before="29" w:after="29"/>
              <w:rPr>
                <w:rFonts w:cs="Times New Roman"/>
                <w:color w:val="000000"/>
              </w:rPr>
            </w:pPr>
            <w:r w:rsidRPr="00A666E4">
              <w:rPr>
                <w:rFonts w:cs="Times New Roman"/>
                <w:color w:val="000000"/>
              </w:rPr>
              <w:t>RSP Test: 1 vs 0</w:t>
            </w:r>
          </w:p>
        </w:tc>
        <w:tc>
          <w:tcPr>
            <w:tcW w:w="1064"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keepNext/>
              <w:adjustRightInd w:val="0"/>
              <w:spacing w:before="29" w:after="29"/>
              <w:jc w:val="right"/>
              <w:rPr>
                <w:rFonts w:cs="Times New Roman"/>
                <w:color w:val="000000"/>
              </w:rPr>
            </w:pPr>
            <w:r w:rsidRPr="00A666E4">
              <w:rPr>
                <w:rFonts w:cs="Times New Roman"/>
                <w:color w:val="000000"/>
              </w:rPr>
              <w:t>0.9520</w:t>
            </w:r>
          </w:p>
        </w:tc>
        <w:tc>
          <w:tcPr>
            <w:tcW w:w="826"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keepNext/>
              <w:adjustRightInd w:val="0"/>
              <w:spacing w:before="29" w:after="29"/>
              <w:jc w:val="right"/>
              <w:rPr>
                <w:rFonts w:cs="Times New Roman"/>
                <w:color w:val="000000"/>
              </w:rPr>
            </w:pPr>
            <w:r w:rsidRPr="00A666E4">
              <w:rPr>
                <w:rFonts w:cs="Times New Roman"/>
                <w:color w:val="000000"/>
              </w:rPr>
              <w:t>0.0050</w:t>
            </w:r>
          </w:p>
        </w:tc>
        <w:tc>
          <w:tcPr>
            <w:tcW w:w="9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keepNext/>
              <w:adjustRightInd w:val="0"/>
              <w:spacing w:before="29" w:after="29"/>
              <w:jc w:val="right"/>
              <w:rPr>
                <w:rFonts w:cs="Times New Roman"/>
                <w:color w:val="000000"/>
              </w:rPr>
            </w:pPr>
            <w:r w:rsidRPr="00A666E4">
              <w:rPr>
                <w:rFonts w:cs="Times New Roman"/>
                <w:color w:val="000000"/>
              </w:rPr>
              <w:t>0.9198</w:t>
            </w:r>
          </w:p>
        </w:tc>
        <w:tc>
          <w:tcPr>
            <w:tcW w:w="798"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keepNext/>
              <w:adjustRightInd w:val="0"/>
              <w:spacing w:before="29" w:after="29"/>
              <w:jc w:val="right"/>
              <w:rPr>
                <w:rFonts w:cs="Times New Roman"/>
                <w:color w:val="000000"/>
              </w:rPr>
            </w:pPr>
            <w:r w:rsidRPr="00A666E4">
              <w:rPr>
                <w:rFonts w:cs="Times New Roman"/>
                <w:color w:val="000000"/>
              </w:rPr>
              <w:t>0.9852</w:t>
            </w:r>
          </w:p>
        </w:tc>
      </w:tr>
      <w:tr w:rsidR="00246B4C" w:rsidRPr="00A666E4" w:rsidTr="00A666E4">
        <w:trPr>
          <w:cantSplit/>
          <w:jc w:val="center"/>
        </w:trPr>
        <w:tc>
          <w:tcPr>
            <w:tcW w:w="306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rPr>
                <w:rFonts w:cs="Times New Roman"/>
                <w:color w:val="000000"/>
              </w:rPr>
            </w:pPr>
            <w:r w:rsidRPr="00A666E4">
              <w:rPr>
                <w:rFonts w:cs="Times New Roman"/>
                <w:color w:val="000000"/>
              </w:rPr>
              <w:t>RDOR Test: 1 vs 0</w:t>
            </w:r>
          </w:p>
        </w:tc>
        <w:tc>
          <w:tcPr>
            <w:tcW w:w="1064"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2.2439</w:t>
            </w:r>
          </w:p>
        </w:tc>
        <w:tc>
          <w:tcPr>
            <w:tcW w:w="826"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0.1174</w:t>
            </w:r>
          </w:p>
        </w:tc>
        <w:tc>
          <w:tcPr>
            <w:tcW w:w="9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0.8157</w:t>
            </w:r>
          </w:p>
        </w:tc>
        <w:tc>
          <w:tcPr>
            <w:tcW w:w="798"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246B4C" w:rsidRPr="00A666E4" w:rsidRDefault="00246B4C" w:rsidP="00CC7786">
            <w:pPr>
              <w:adjustRightInd w:val="0"/>
              <w:spacing w:before="29" w:after="29"/>
              <w:jc w:val="right"/>
              <w:rPr>
                <w:rFonts w:cs="Times New Roman"/>
                <w:color w:val="000000"/>
              </w:rPr>
            </w:pPr>
            <w:r w:rsidRPr="00A666E4">
              <w:rPr>
                <w:rFonts w:cs="Times New Roman"/>
                <w:color w:val="000000"/>
              </w:rPr>
              <w:t>6.1727</w:t>
            </w:r>
          </w:p>
        </w:tc>
      </w:tr>
    </w:tbl>
    <w:p w:rsidR="00BD3471" w:rsidRDefault="00246B4C" w:rsidP="00BD3471">
      <w:pPr>
        <w:ind w:left="720"/>
        <w:rPr>
          <w:lang w:val="en-US"/>
        </w:rPr>
      </w:pPr>
      <w:r>
        <w:rPr>
          <w:lang w:val="en-US"/>
        </w:rPr>
        <w:t xml:space="preserve"> Table 2: Estimates of relative measures of test accuracy </w:t>
      </w:r>
      <w:r w:rsidR="002C177F">
        <w:rPr>
          <w:lang w:val="en-US"/>
        </w:rPr>
        <w:t xml:space="preserve">of CC </w:t>
      </w:r>
      <w:proofErr w:type="spellStart"/>
      <w:r w:rsidR="002C177F">
        <w:rPr>
          <w:lang w:val="en-US"/>
        </w:rPr>
        <w:t>vs</w:t>
      </w:r>
      <w:proofErr w:type="spellEnd"/>
      <w:r w:rsidR="002C177F">
        <w:rPr>
          <w:lang w:val="en-US"/>
        </w:rPr>
        <w:t xml:space="preserve"> PCR.</w:t>
      </w:r>
    </w:p>
    <w:p w:rsidR="00246B4C" w:rsidRDefault="00246B4C" w:rsidP="00BD3471">
      <w:pPr>
        <w:ind w:left="720"/>
        <w:rPr>
          <w:lang w:val="en-US"/>
        </w:rPr>
      </w:pPr>
      <w:r>
        <w:rPr>
          <w:noProof/>
          <w:sz w:val="24"/>
          <w:szCs w:val="24"/>
          <w:lang w:val="en-US"/>
        </w:rPr>
        <w:lastRenderedPageBreak/>
        <w:drawing>
          <wp:inline distT="0" distB="0" distL="0" distR="0" wp14:anchorId="306B250D" wp14:editId="19792C7B">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246B4C" w:rsidRDefault="00246B4C" w:rsidP="00BD3471">
      <w:pPr>
        <w:ind w:left="720"/>
        <w:rPr>
          <w:lang w:val="en-US"/>
        </w:rPr>
      </w:pPr>
      <w:r>
        <w:rPr>
          <w:lang w:val="en-US"/>
        </w:rPr>
        <w:t>Figure 1: Forest plot of sensitivity and specificity and 95% confidence intervals</w:t>
      </w:r>
      <w:r w:rsidR="00340C2A">
        <w:rPr>
          <w:lang w:val="en-US"/>
        </w:rPr>
        <w:t xml:space="preserve"> comparing CC against P</w:t>
      </w:r>
      <w:r w:rsidR="004D43A5">
        <w:rPr>
          <w:lang w:val="en-US"/>
        </w:rPr>
        <w:t>CR for detection of CIN2+ in AS</w:t>
      </w:r>
      <w:r w:rsidR="00340C2A">
        <w:rPr>
          <w:lang w:val="en-US"/>
        </w:rPr>
        <w:t>CUS</w:t>
      </w:r>
      <w:r w:rsidR="004D43A5">
        <w:rPr>
          <w:lang w:val="en-US"/>
        </w:rPr>
        <w:t>+</w:t>
      </w:r>
      <w:r w:rsidR="00340C2A">
        <w:rPr>
          <w:lang w:val="en-US"/>
        </w:rPr>
        <w:t xml:space="preserve"> triage.</w:t>
      </w:r>
    </w:p>
    <w:p w:rsidR="00263AA9" w:rsidRPr="00BD3471" w:rsidRDefault="00263AA9" w:rsidP="00BD3471">
      <w:pPr>
        <w:ind w:left="720"/>
        <w:rPr>
          <w:lang w:val="en-US"/>
        </w:rPr>
      </w:pPr>
    </w:p>
    <w:p w:rsidR="00CC25C6" w:rsidRDefault="00CC25C6" w:rsidP="00CC25C6">
      <w:pPr>
        <w:rPr>
          <w:lang w:val="en-US"/>
        </w:rPr>
      </w:pPr>
    </w:p>
    <w:p w:rsidR="00CC25C6" w:rsidRDefault="00CC25C6">
      <w:pPr>
        <w:spacing w:before="0" w:after="200" w:line="276" w:lineRule="auto"/>
        <w:rPr>
          <w:lang w:val="en-US"/>
        </w:rPr>
      </w:pPr>
      <w:r>
        <w:rPr>
          <w:lang w:val="en-US"/>
        </w:rPr>
        <w:br w:type="page"/>
      </w:r>
    </w:p>
    <w:p w:rsidR="00CC25C6" w:rsidRDefault="00CC25C6" w:rsidP="004D43A5">
      <w:pPr>
        <w:pStyle w:val="Heading2"/>
        <w:rPr>
          <w:lang w:val="en-US"/>
        </w:rPr>
      </w:pPr>
      <w:r>
        <w:rPr>
          <w:lang w:val="en-US"/>
        </w:rPr>
        <w:lastRenderedPageBreak/>
        <w:t xml:space="preserve">Example 2 </w:t>
      </w:r>
    </w:p>
    <w:p w:rsidR="00CC25C6" w:rsidRPr="00A06B16" w:rsidRDefault="00CC25C6" w:rsidP="00CC25C6">
      <w:pPr>
        <w:rPr>
          <w:sz w:val="24"/>
          <w:szCs w:val="24"/>
          <w:lang w:val="en-US"/>
        </w:rPr>
      </w:pPr>
      <w:r>
        <w:rPr>
          <w:lang w:val="en-US"/>
        </w:rPr>
        <w:t xml:space="preserve">Goal: </w:t>
      </w:r>
      <w:r w:rsidRPr="00A06B16">
        <w:rPr>
          <w:lang w:val="en-US"/>
        </w:rPr>
        <w:t xml:space="preserve">Fitting </w:t>
      </w:r>
      <w:r w:rsidR="00FB356E">
        <w:rPr>
          <w:lang w:val="en-US"/>
        </w:rPr>
        <w:t>fixed</w:t>
      </w:r>
      <w:r w:rsidRPr="00A06B16">
        <w:rPr>
          <w:lang w:val="en-US"/>
        </w:rPr>
        <w:t xml:space="preserve">-effects model with test as covariate. </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2061"/>
        <w:gridCol w:w="1076"/>
        <w:gridCol w:w="1879"/>
        <w:gridCol w:w="1659"/>
        <w:gridCol w:w="549"/>
        <w:gridCol w:w="549"/>
        <w:gridCol w:w="661"/>
        <w:gridCol w:w="659"/>
      </w:tblGrid>
      <w:tr w:rsidR="00CC25C6" w:rsidRPr="00A666E4" w:rsidTr="00A666E4">
        <w:trPr>
          <w:trHeight w:val="300"/>
        </w:trPr>
        <w:tc>
          <w:tcPr>
            <w:tcW w:w="717"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Test</w:t>
            </w:r>
          </w:p>
        </w:tc>
        <w:tc>
          <w:tcPr>
            <w:tcW w:w="2061"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Threshold</w:t>
            </w:r>
          </w:p>
        </w:tc>
        <w:tc>
          <w:tcPr>
            <w:tcW w:w="1076"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Outcome</w:t>
            </w:r>
          </w:p>
        </w:tc>
        <w:tc>
          <w:tcPr>
            <w:tcW w:w="187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Study_ID</w:t>
            </w:r>
            <w:proofErr w:type="spellEnd"/>
          </w:p>
        </w:tc>
        <w:tc>
          <w:tcPr>
            <w:tcW w:w="165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Year_of_study</w:t>
            </w:r>
            <w:proofErr w:type="spellEnd"/>
          </w:p>
        </w:tc>
        <w:tc>
          <w:tcPr>
            <w:tcW w:w="54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TP</w:t>
            </w:r>
          </w:p>
        </w:tc>
        <w:tc>
          <w:tcPr>
            <w:tcW w:w="54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FP</w:t>
            </w:r>
          </w:p>
        </w:tc>
        <w:tc>
          <w:tcPr>
            <w:tcW w:w="661"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TN</w:t>
            </w:r>
          </w:p>
        </w:tc>
        <w:tc>
          <w:tcPr>
            <w:tcW w:w="65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FN</w:t>
            </w:r>
          </w:p>
        </w:tc>
      </w:tr>
      <w:tr w:rsidR="00CC25C6" w:rsidRPr="00A666E4" w:rsidTr="00A666E4">
        <w:trPr>
          <w:trHeight w:val="300"/>
        </w:trPr>
        <w:tc>
          <w:tcPr>
            <w:tcW w:w="717"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CC</w:t>
            </w:r>
          </w:p>
        </w:tc>
        <w:tc>
          <w:tcPr>
            <w:tcW w:w="2061"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LSIL+</w:t>
            </w:r>
          </w:p>
        </w:tc>
        <w:tc>
          <w:tcPr>
            <w:tcW w:w="1076"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7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Hovland</w:t>
            </w:r>
            <w:proofErr w:type="spellEnd"/>
            <w:r w:rsidRPr="00A666E4">
              <w:rPr>
                <w:rFonts w:eastAsia="Times New Roman" w:cs="Times New Roman"/>
                <w:color w:val="000000"/>
                <w:lang w:val="en-US"/>
              </w:rPr>
              <w:t xml:space="preserve"> S 2010</w:t>
            </w:r>
          </w:p>
        </w:tc>
        <w:tc>
          <w:tcPr>
            <w:tcW w:w="1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2010</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w:t>
            </w:r>
          </w:p>
        </w:tc>
        <w:tc>
          <w:tcPr>
            <w:tcW w:w="661"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283</w:t>
            </w:r>
          </w:p>
        </w:tc>
        <w:tc>
          <w:tcPr>
            <w:tcW w:w="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w:t>
            </w:r>
          </w:p>
        </w:tc>
      </w:tr>
      <w:tr w:rsidR="00CC25C6" w:rsidRPr="00A666E4" w:rsidTr="00A666E4">
        <w:trPr>
          <w:trHeight w:val="300"/>
        </w:trPr>
        <w:tc>
          <w:tcPr>
            <w:tcW w:w="717"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PCR</w:t>
            </w:r>
          </w:p>
        </w:tc>
        <w:tc>
          <w:tcPr>
            <w:tcW w:w="2061"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 xml:space="preserve">13 </w:t>
            </w:r>
            <w:proofErr w:type="spellStart"/>
            <w:r w:rsidRPr="00A666E4">
              <w:rPr>
                <w:rFonts w:eastAsia="Times New Roman" w:cs="Times New Roman"/>
                <w:color w:val="000000"/>
                <w:lang w:val="en-US"/>
              </w:rPr>
              <w:t>hr</w:t>
            </w:r>
            <w:proofErr w:type="spellEnd"/>
            <w:r w:rsidRPr="00A666E4">
              <w:rPr>
                <w:rFonts w:eastAsia="Times New Roman" w:cs="Times New Roman"/>
                <w:color w:val="000000"/>
                <w:lang w:val="en-US"/>
              </w:rPr>
              <w:t xml:space="preserve"> types or more</w:t>
            </w:r>
          </w:p>
        </w:tc>
        <w:tc>
          <w:tcPr>
            <w:tcW w:w="1076"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7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Hovland</w:t>
            </w:r>
            <w:proofErr w:type="spellEnd"/>
            <w:r w:rsidRPr="00A666E4">
              <w:rPr>
                <w:rFonts w:eastAsia="Times New Roman" w:cs="Times New Roman"/>
                <w:color w:val="000000"/>
                <w:lang w:val="en-US"/>
              </w:rPr>
              <w:t xml:space="preserve"> S 2010</w:t>
            </w:r>
          </w:p>
        </w:tc>
        <w:tc>
          <w:tcPr>
            <w:tcW w:w="1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2010</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16</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42</w:t>
            </w:r>
          </w:p>
        </w:tc>
        <w:tc>
          <w:tcPr>
            <w:tcW w:w="661"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255</w:t>
            </w:r>
          </w:p>
        </w:tc>
        <w:tc>
          <w:tcPr>
            <w:tcW w:w="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CC25C6" w:rsidRPr="00A666E4" w:rsidTr="00A666E4">
        <w:trPr>
          <w:trHeight w:val="300"/>
        </w:trPr>
        <w:tc>
          <w:tcPr>
            <w:tcW w:w="717"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CC</w:t>
            </w:r>
          </w:p>
        </w:tc>
        <w:tc>
          <w:tcPr>
            <w:tcW w:w="2061"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LSIL+</w:t>
            </w:r>
          </w:p>
        </w:tc>
        <w:tc>
          <w:tcPr>
            <w:tcW w:w="1076"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7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Schneider A 2000</w:t>
            </w:r>
          </w:p>
        </w:tc>
        <w:tc>
          <w:tcPr>
            <w:tcW w:w="1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2000</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21</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21</w:t>
            </w:r>
          </w:p>
        </w:tc>
        <w:tc>
          <w:tcPr>
            <w:tcW w:w="661"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4626</w:t>
            </w:r>
          </w:p>
        </w:tc>
        <w:tc>
          <w:tcPr>
            <w:tcW w:w="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93</w:t>
            </w:r>
          </w:p>
        </w:tc>
      </w:tr>
      <w:tr w:rsidR="00CC25C6" w:rsidRPr="00A666E4" w:rsidTr="00A666E4">
        <w:trPr>
          <w:trHeight w:val="300"/>
        </w:trPr>
        <w:tc>
          <w:tcPr>
            <w:tcW w:w="717"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PCR</w:t>
            </w:r>
          </w:p>
        </w:tc>
        <w:tc>
          <w:tcPr>
            <w:tcW w:w="2061"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 xml:space="preserve">13 </w:t>
            </w:r>
            <w:proofErr w:type="spellStart"/>
            <w:r w:rsidRPr="00A666E4">
              <w:rPr>
                <w:rFonts w:eastAsia="Times New Roman" w:cs="Times New Roman"/>
                <w:color w:val="000000"/>
                <w:lang w:val="en-US"/>
              </w:rPr>
              <w:t>hr</w:t>
            </w:r>
            <w:proofErr w:type="spellEnd"/>
            <w:r w:rsidRPr="00A666E4">
              <w:rPr>
                <w:rFonts w:eastAsia="Times New Roman" w:cs="Times New Roman"/>
                <w:color w:val="000000"/>
                <w:lang w:val="en-US"/>
              </w:rPr>
              <w:t xml:space="preserve"> types or more</w:t>
            </w:r>
          </w:p>
        </w:tc>
        <w:tc>
          <w:tcPr>
            <w:tcW w:w="1076"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CIN2+</w:t>
            </w:r>
          </w:p>
        </w:tc>
        <w:tc>
          <w:tcPr>
            <w:tcW w:w="1879" w:type="dxa"/>
            <w:shd w:val="clear" w:color="auto" w:fill="auto"/>
            <w:noWrap/>
            <w:vAlign w:val="bottom"/>
            <w:hideMark/>
          </w:tcPr>
          <w:p w:rsidR="00CC25C6" w:rsidRPr="00A666E4" w:rsidRDefault="00CC25C6" w:rsidP="00CC25C6">
            <w:pPr>
              <w:spacing w:before="0" w:after="0" w:line="240" w:lineRule="auto"/>
              <w:rPr>
                <w:rFonts w:eastAsia="Times New Roman" w:cs="Times New Roman"/>
                <w:color w:val="000000"/>
                <w:lang w:val="en-US"/>
              </w:rPr>
            </w:pPr>
            <w:r w:rsidRPr="00A666E4">
              <w:rPr>
                <w:rFonts w:eastAsia="Times New Roman" w:cs="Times New Roman"/>
                <w:color w:val="000000"/>
                <w:lang w:val="en-US"/>
              </w:rPr>
              <w:t>Schneider A 2000</w:t>
            </w:r>
          </w:p>
        </w:tc>
        <w:tc>
          <w:tcPr>
            <w:tcW w:w="1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2000</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108</w:t>
            </w:r>
          </w:p>
        </w:tc>
        <w:tc>
          <w:tcPr>
            <w:tcW w:w="54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263</w:t>
            </w:r>
          </w:p>
        </w:tc>
        <w:tc>
          <w:tcPr>
            <w:tcW w:w="661"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4384</w:t>
            </w:r>
          </w:p>
        </w:tc>
        <w:tc>
          <w:tcPr>
            <w:tcW w:w="659" w:type="dxa"/>
            <w:shd w:val="clear" w:color="auto" w:fill="auto"/>
            <w:noWrap/>
            <w:vAlign w:val="bottom"/>
            <w:hideMark/>
          </w:tcPr>
          <w:p w:rsidR="00CC25C6" w:rsidRPr="00A666E4" w:rsidRDefault="00CC25C6" w:rsidP="00CC25C6">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w:t>
            </w:r>
          </w:p>
        </w:tc>
      </w:tr>
    </w:tbl>
    <w:p w:rsidR="004D43A5" w:rsidRDefault="004D43A5">
      <w:pPr>
        <w:rPr>
          <w:lang w:val="en-US"/>
        </w:rPr>
      </w:pPr>
      <w:r>
        <w:rPr>
          <w:lang w:val="en-US"/>
        </w:rPr>
        <w:t>Table 3: Data10 with studies assessing the accuracy of conventional cytology (CC) in LSIL+ against PCR detecting 13 high risk HPV types to detect CIN2+.</w:t>
      </w:r>
    </w:p>
    <w:p w:rsidR="00CC25C6" w:rsidRDefault="00FB356E" w:rsidP="008A224A">
      <w:pPr>
        <w:pStyle w:val="Heading2"/>
        <w:rPr>
          <w:lang w:val="en-US"/>
        </w:rPr>
      </w:pPr>
      <w:r>
        <w:rPr>
          <w:lang w:val="en-US"/>
        </w:rPr>
        <w:t>Analysis</w:t>
      </w:r>
      <w:r w:rsidR="004D43A5">
        <w:rPr>
          <w:lang w:val="en-US"/>
        </w:rPr>
        <w:t xml:space="preserve"> procedure</w:t>
      </w:r>
    </w:p>
    <w:p w:rsidR="00FB356E" w:rsidRDefault="00FB356E" w:rsidP="00FB356E">
      <w:pPr>
        <w:pStyle w:val="ListParagraph"/>
        <w:numPr>
          <w:ilvl w:val="0"/>
          <w:numId w:val="2"/>
        </w:numPr>
        <w:rPr>
          <w:lang w:val="en-US"/>
        </w:rPr>
      </w:pPr>
      <w:r>
        <w:rPr>
          <w:lang w:val="en-US"/>
        </w:rPr>
        <w:t xml:space="preserve">Load the macro </w:t>
      </w:r>
    </w:p>
    <w:p w:rsidR="00FB356E" w:rsidRDefault="00FB356E" w:rsidP="00FB356E">
      <w:pPr>
        <w:pStyle w:val="ListParagraph"/>
        <w:rPr>
          <w:lang w:val="en-US"/>
        </w:rPr>
      </w:pPr>
      <w:r>
        <w:rPr>
          <w:rFonts w:ascii="Courier New" w:hAnsi="Courier New" w:cs="Courier New"/>
          <w:color w:val="0000FF"/>
          <w:sz w:val="20"/>
          <w:szCs w:val="20"/>
          <w:shd w:val="clear" w:color="auto" w:fill="FFFFFF"/>
          <w:lang w:val="en-US"/>
        </w:rPr>
        <w:t>%</w:t>
      </w:r>
      <w:proofErr w:type="gramStart"/>
      <w:r>
        <w:rPr>
          <w:rFonts w:ascii="Courier New" w:hAnsi="Courier New" w:cs="Courier New"/>
          <w:color w:val="0000FF"/>
          <w:sz w:val="20"/>
          <w:szCs w:val="20"/>
          <w:shd w:val="clear" w:color="auto" w:fill="FFFFFF"/>
          <w:lang w:val="en-US"/>
        </w:rPr>
        <w:t>include</w:t>
      </w:r>
      <w:proofErr w:type="gramEnd"/>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"F:\PHD\Projects\madareg\Scripts\Madareg.sas"</w:t>
      </w:r>
      <w:r>
        <w:rPr>
          <w:rFonts w:ascii="Courier New" w:hAnsi="Courier New" w:cs="Courier New"/>
          <w:color w:val="000000"/>
          <w:sz w:val="20"/>
          <w:szCs w:val="20"/>
          <w:shd w:val="clear" w:color="auto" w:fill="FFFFFF"/>
          <w:lang w:val="en-US"/>
        </w:rPr>
        <w:t>;</w:t>
      </w:r>
    </w:p>
    <w:p w:rsidR="00FB356E" w:rsidRDefault="00FB356E" w:rsidP="00FB356E">
      <w:pPr>
        <w:pStyle w:val="ListParagraph"/>
        <w:numPr>
          <w:ilvl w:val="0"/>
          <w:numId w:val="2"/>
        </w:numPr>
        <w:rPr>
          <w:lang w:val="en-US"/>
        </w:rPr>
      </w:pPr>
      <w:r>
        <w:rPr>
          <w:lang w:val="en-US"/>
        </w:rPr>
        <w:t>Read in the data</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proofErr w:type="gramStart"/>
      <w:r w:rsidRPr="002D602A">
        <w:rPr>
          <w:rFonts w:ascii="Courier New" w:hAnsi="Courier New" w:cs="Courier New"/>
          <w:b/>
          <w:bCs/>
          <w:color w:val="000080"/>
          <w:sz w:val="20"/>
          <w:szCs w:val="20"/>
          <w:shd w:val="clear" w:color="auto" w:fill="FFFFFF"/>
          <w:lang w:val="en-US"/>
        </w:rPr>
        <w:t>data</w:t>
      </w:r>
      <w:proofErr w:type="gramEnd"/>
      <w:r w:rsidRPr="002D602A">
        <w:rPr>
          <w:rFonts w:ascii="Courier New" w:hAnsi="Courier New" w:cs="Courier New"/>
          <w:color w:val="000000"/>
          <w:sz w:val="20"/>
          <w:szCs w:val="20"/>
          <w:shd w:val="clear" w:color="auto" w:fill="FFFFFF"/>
          <w:lang w:val="en-US"/>
        </w:rPr>
        <w:t xml:space="preserve"> data5;</w:t>
      </w:r>
    </w:p>
    <w:p w:rsid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proofErr w:type="spellStart"/>
      <w:r w:rsidRPr="002D602A">
        <w:rPr>
          <w:rFonts w:ascii="Courier New" w:hAnsi="Courier New" w:cs="Courier New"/>
          <w:color w:val="0000FF"/>
          <w:sz w:val="20"/>
          <w:szCs w:val="20"/>
          <w:shd w:val="clear" w:color="auto" w:fill="FFFFFF"/>
          <w:lang w:val="en-US"/>
        </w:rPr>
        <w:t>infile</w:t>
      </w:r>
      <w:proofErr w:type="spellEnd"/>
      <w:r w:rsidRPr="002D602A">
        <w:rPr>
          <w:rFonts w:ascii="Courier New" w:hAnsi="Courier New" w:cs="Courier New"/>
          <w:color w:val="000000"/>
          <w:sz w:val="20"/>
          <w:szCs w:val="20"/>
          <w:shd w:val="clear" w:color="auto" w:fill="FFFFFF"/>
          <w:lang w:val="en-US"/>
        </w:rPr>
        <w:t xml:space="preserve"> </w:t>
      </w:r>
      <w:r w:rsidRPr="002D602A">
        <w:rPr>
          <w:rFonts w:ascii="Courier New" w:hAnsi="Courier New" w:cs="Courier New"/>
          <w:color w:val="800080"/>
          <w:sz w:val="20"/>
          <w:szCs w:val="20"/>
          <w:shd w:val="clear" w:color="auto" w:fill="FFFFFF"/>
          <w:lang w:val="en-US"/>
        </w:rPr>
        <w:t>'F</w:t>
      </w:r>
      <w:proofErr w:type="gramStart"/>
      <w:r w:rsidRPr="002D602A">
        <w:rPr>
          <w:rFonts w:ascii="Courier New" w:hAnsi="Courier New" w:cs="Courier New"/>
          <w:color w:val="800080"/>
          <w:sz w:val="20"/>
          <w:szCs w:val="20"/>
          <w:shd w:val="clear" w:color="auto" w:fill="FFFFFF"/>
          <w:lang w:val="en-US"/>
        </w:rPr>
        <w:t>:\</w:t>
      </w:r>
      <w:proofErr w:type="gramEnd"/>
      <w:r>
        <w:rPr>
          <w:rFonts w:ascii="Courier New" w:hAnsi="Courier New" w:cs="Courier New"/>
          <w:color w:val="800080"/>
          <w:sz w:val="20"/>
          <w:szCs w:val="20"/>
          <w:shd w:val="clear" w:color="auto" w:fill="FFFFFF"/>
          <w:lang w:val="en-US"/>
        </w:rPr>
        <w:t>PHD\Projects\E003\Data\analysis10</w:t>
      </w:r>
      <w:r w:rsidRPr="002D602A">
        <w:rPr>
          <w:rFonts w:ascii="Courier New" w:hAnsi="Courier New" w:cs="Courier New"/>
          <w:color w:val="800080"/>
          <w:sz w:val="20"/>
          <w:szCs w:val="20"/>
          <w:shd w:val="clear" w:color="auto" w:fill="FFFFFF"/>
          <w:lang w:val="en-US"/>
        </w:rPr>
        <w:t>.csv'</w:t>
      </w:r>
      <w:r w:rsidRPr="002D602A">
        <w:rPr>
          <w:rFonts w:ascii="Courier New" w:hAnsi="Courier New" w:cs="Courier New"/>
          <w:color w:val="000000"/>
          <w:sz w:val="20"/>
          <w:szCs w:val="20"/>
          <w:shd w:val="clear" w:color="auto" w:fill="FFFFFF"/>
          <w:lang w:val="en-US"/>
        </w:rPr>
        <w:t xml:space="preserve"> </w:t>
      </w:r>
      <w:r w:rsidRPr="002D602A">
        <w:rPr>
          <w:rFonts w:ascii="Courier New" w:hAnsi="Courier New" w:cs="Courier New"/>
          <w:color w:val="0000FF"/>
          <w:sz w:val="20"/>
          <w:szCs w:val="20"/>
          <w:shd w:val="clear" w:color="auto" w:fill="FFFFFF"/>
          <w:lang w:val="en-US"/>
        </w:rPr>
        <w:t>delimiter</w:t>
      </w:r>
      <w:r w:rsidRPr="002D602A">
        <w:rPr>
          <w:rFonts w:ascii="Courier New" w:hAnsi="Courier New" w:cs="Courier New"/>
          <w:color w:val="000000"/>
          <w:sz w:val="20"/>
          <w:szCs w:val="20"/>
          <w:shd w:val="clear" w:color="auto" w:fill="FFFFFF"/>
          <w:lang w:val="en-US"/>
        </w:rPr>
        <w:t xml:space="preserve"> = </w:t>
      </w:r>
      <w:r w:rsidRPr="002D602A">
        <w:rPr>
          <w:rFonts w:ascii="Courier New" w:hAnsi="Courier New" w:cs="Courier New"/>
          <w:color w:val="800080"/>
          <w:sz w:val="20"/>
          <w:szCs w:val="20"/>
          <w:shd w:val="clear" w:color="auto" w:fill="FFFFFF"/>
          <w:lang w:val="en-US"/>
        </w:rPr>
        <w:t>','</w:t>
      </w:r>
      <w:r w:rsidRPr="002D602A">
        <w:rPr>
          <w:rFonts w:ascii="Courier New" w:hAnsi="Courier New" w:cs="Courier New"/>
          <w:color w:val="000000"/>
          <w:sz w:val="20"/>
          <w:szCs w:val="20"/>
          <w:shd w:val="clear" w:color="auto" w:fill="FFFFFF"/>
          <w:lang w:val="en-US"/>
        </w:rPr>
        <w:t xml:space="preserve"> </w:t>
      </w:r>
    </w:p>
    <w:p w:rsidR="00FB356E" w:rsidRDefault="00FB356E" w:rsidP="00FB356E">
      <w:pPr>
        <w:autoSpaceDE w:val="0"/>
        <w:autoSpaceDN w:val="0"/>
        <w:adjustRightInd w:val="0"/>
        <w:spacing w:before="0" w:after="0" w:line="240" w:lineRule="auto"/>
        <w:rPr>
          <w:rFonts w:ascii="Courier New" w:hAnsi="Courier New" w:cs="Courier New"/>
          <w:color w:val="000000"/>
          <w:sz w:val="20"/>
          <w:szCs w:val="20"/>
          <w:shd w:val="clear" w:color="auto" w:fill="FFFFFF"/>
          <w:lang w:val="en-US"/>
        </w:rPr>
      </w:pPr>
      <w:r>
        <w:rPr>
          <w:rFonts w:ascii="Courier New" w:hAnsi="Courier New" w:cs="Courier New"/>
          <w:color w:val="0000FF"/>
          <w:sz w:val="20"/>
          <w:szCs w:val="20"/>
          <w:shd w:val="clear" w:color="auto" w:fill="FFFFFF"/>
          <w:lang w:val="en-US"/>
        </w:rPr>
        <w:tab/>
      </w:r>
      <w:r>
        <w:rPr>
          <w:rFonts w:ascii="Courier New" w:hAnsi="Courier New" w:cs="Courier New"/>
          <w:color w:val="0000FF"/>
          <w:sz w:val="20"/>
          <w:szCs w:val="20"/>
          <w:shd w:val="clear" w:color="auto" w:fill="FFFFFF"/>
          <w:lang w:val="en-US"/>
        </w:rPr>
        <w:tab/>
        <w:t>MISSOVER</w:t>
      </w:r>
      <w:r>
        <w:rPr>
          <w:rFonts w:ascii="Courier New" w:hAnsi="Courier New" w:cs="Courier New"/>
          <w:color w:val="000000"/>
          <w:sz w:val="20"/>
          <w:szCs w:val="20"/>
          <w:shd w:val="clear" w:color="auto" w:fill="FFFFFF"/>
          <w:lang w:val="en-US"/>
        </w:rPr>
        <w:t xml:space="preserve"> </w:t>
      </w:r>
      <w:r>
        <w:rPr>
          <w:rFonts w:ascii="Courier New" w:hAnsi="Courier New" w:cs="Courier New"/>
          <w:color w:val="0000FF"/>
          <w:sz w:val="20"/>
          <w:szCs w:val="20"/>
          <w:shd w:val="clear" w:color="auto" w:fill="FFFFFF"/>
          <w:lang w:val="en-US"/>
        </w:rPr>
        <w:t>DSD</w:t>
      </w:r>
      <w:r>
        <w:rPr>
          <w:rFonts w:ascii="Courier New" w:hAnsi="Courier New" w:cs="Courier New"/>
          <w:color w:val="000000"/>
          <w:sz w:val="20"/>
          <w:szCs w:val="20"/>
          <w:shd w:val="clear" w:color="auto" w:fill="FFFFFF"/>
          <w:lang w:val="en-US"/>
        </w:rPr>
        <w:t xml:space="preserve">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proofErr w:type="spellStart"/>
      <w:proofErr w:type="gramStart"/>
      <w:r>
        <w:rPr>
          <w:rFonts w:ascii="Courier New" w:hAnsi="Courier New" w:cs="Courier New"/>
          <w:color w:val="0000FF"/>
          <w:sz w:val="20"/>
          <w:szCs w:val="20"/>
          <w:shd w:val="clear" w:color="auto" w:fill="FFFFFF"/>
          <w:lang w:val="en-US"/>
        </w:rPr>
        <w:t>lrecl</w:t>
      </w:r>
      <w:proofErr w:type="spellEnd"/>
      <w:r>
        <w:rPr>
          <w:rFonts w:ascii="Courier New" w:hAnsi="Courier New" w:cs="Courier New"/>
          <w:color w:val="000000"/>
          <w:sz w:val="20"/>
          <w:szCs w:val="20"/>
          <w:shd w:val="clear" w:color="auto" w:fill="FFFFFF"/>
          <w:lang w:val="en-US"/>
        </w:rPr>
        <w:t>=</w:t>
      </w:r>
      <w:proofErr w:type="gramEnd"/>
      <w:r>
        <w:rPr>
          <w:rFonts w:ascii="Courier New" w:hAnsi="Courier New" w:cs="Courier New"/>
          <w:b/>
          <w:bCs/>
          <w:color w:val="008080"/>
          <w:sz w:val="20"/>
          <w:szCs w:val="20"/>
          <w:shd w:val="clear" w:color="auto" w:fill="FFFFFF"/>
          <w:lang w:val="en-US"/>
        </w:rPr>
        <w:t>32767</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proofErr w:type="spellStart"/>
      <w:proofErr w:type="gramStart"/>
      <w:r w:rsidRPr="002D602A">
        <w:rPr>
          <w:rFonts w:ascii="Courier New" w:hAnsi="Courier New" w:cs="Courier New"/>
          <w:color w:val="0000FF"/>
          <w:sz w:val="20"/>
          <w:szCs w:val="20"/>
          <w:shd w:val="clear" w:color="auto" w:fill="FFFFFF"/>
          <w:lang w:val="en-US"/>
        </w:rPr>
        <w:t>firstobs</w:t>
      </w:r>
      <w:proofErr w:type="spellEnd"/>
      <w:r w:rsidRPr="002D602A">
        <w:rPr>
          <w:rFonts w:ascii="Courier New" w:hAnsi="Courier New" w:cs="Courier New"/>
          <w:color w:val="000000"/>
          <w:sz w:val="20"/>
          <w:szCs w:val="20"/>
          <w:shd w:val="clear" w:color="auto" w:fill="FFFFFF"/>
          <w:lang w:val="en-US"/>
        </w:rPr>
        <w:t>=</w:t>
      </w:r>
      <w:proofErr w:type="gramEnd"/>
      <w:r w:rsidRPr="002D602A">
        <w:rPr>
          <w:rFonts w:ascii="Courier New" w:hAnsi="Courier New" w:cs="Courier New"/>
          <w:b/>
          <w:bCs/>
          <w:color w:val="008080"/>
          <w:sz w:val="20"/>
          <w:szCs w:val="20"/>
          <w:shd w:val="clear" w:color="auto" w:fill="FFFFFF"/>
          <w:lang w:val="en-US"/>
        </w:rPr>
        <w:t>2</w:t>
      </w:r>
      <w:r w:rsidRPr="002D602A">
        <w:rPr>
          <w:rFonts w:ascii="Courier New" w:hAnsi="Courier New" w:cs="Courier New"/>
          <w:color w:val="000000"/>
          <w:sz w:val="20"/>
          <w:szCs w:val="20"/>
          <w:shd w:val="clear" w:color="auto" w:fill="FFFFFF"/>
          <w:lang w:val="en-US"/>
        </w:rPr>
        <w:t xml:space="preserve">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proofErr w:type="gramStart"/>
      <w:r w:rsidRPr="002D602A">
        <w:rPr>
          <w:rFonts w:ascii="Courier New" w:hAnsi="Courier New" w:cs="Courier New"/>
          <w:color w:val="0000FF"/>
          <w:sz w:val="20"/>
          <w:szCs w:val="20"/>
          <w:shd w:val="clear" w:color="auto" w:fill="FFFFFF"/>
          <w:lang w:val="en-US"/>
        </w:rPr>
        <w:t>input</w:t>
      </w:r>
      <w:proofErr w:type="gramEnd"/>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Test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Threshold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Outcome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r>
      <w:proofErr w:type="spellStart"/>
      <w:r w:rsidRPr="002D602A">
        <w:rPr>
          <w:rFonts w:ascii="Courier New" w:hAnsi="Courier New" w:cs="Courier New"/>
          <w:color w:val="000000"/>
          <w:sz w:val="20"/>
          <w:szCs w:val="20"/>
          <w:shd w:val="clear" w:color="auto" w:fill="FFFFFF"/>
          <w:lang w:val="en-US"/>
        </w:rPr>
        <w:t>Study_ID</w:t>
      </w:r>
      <w:proofErr w:type="spellEnd"/>
      <w:r w:rsidRPr="002D602A">
        <w:rPr>
          <w:rFonts w:ascii="Courier New" w:hAnsi="Courier New" w:cs="Courier New"/>
          <w:color w:val="000000"/>
          <w:sz w:val="20"/>
          <w:szCs w:val="20"/>
          <w:shd w:val="clear" w:color="auto" w:fill="FFFFFF"/>
          <w:lang w:val="en-US"/>
        </w:rPr>
        <w:t xml:space="preserve">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r>
      <w:proofErr w:type="spellStart"/>
      <w:r w:rsidRPr="002D602A">
        <w:rPr>
          <w:rFonts w:ascii="Courier New" w:hAnsi="Courier New" w:cs="Courier New"/>
          <w:color w:val="000000"/>
          <w:sz w:val="20"/>
          <w:szCs w:val="20"/>
          <w:shd w:val="clear" w:color="auto" w:fill="FFFFFF"/>
          <w:lang w:val="en-US"/>
        </w:rPr>
        <w:t>Year_of_study</w:t>
      </w:r>
      <w:proofErr w:type="spellEnd"/>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TP</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FP</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ab/>
      </w:r>
      <w:r w:rsidRPr="002D602A">
        <w:rPr>
          <w:rFonts w:ascii="Courier New" w:hAnsi="Courier New" w:cs="Courier New"/>
          <w:color w:val="000000"/>
          <w:sz w:val="20"/>
          <w:szCs w:val="20"/>
          <w:shd w:val="clear" w:color="auto" w:fill="FFFFFF"/>
          <w:lang w:val="en-US"/>
        </w:rPr>
        <w:tab/>
        <w:t>TN</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ab/>
      </w:r>
      <w:r>
        <w:rPr>
          <w:rFonts w:ascii="Courier New" w:hAnsi="Courier New" w:cs="Courier New"/>
          <w:color w:val="000000"/>
          <w:sz w:val="20"/>
          <w:szCs w:val="20"/>
          <w:shd w:val="clear" w:color="auto" w:fill="FFFFFF"/>
          <w:lang w:val="en-US"/>
        </w:rPr>
        <w:tab/>
        <w:t>FN</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 xml:space="preserve">      ;</w:t>
      </w:r>
    </w:p>
    <w:p w:rsidR="00FB356E" w:rsidRPr="002D602A"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2D602A">
        <w:rPr>
          <w:rFonts w:ascii="Courier New" w:hAnsi="Courier New" w:cs="Courier New"/>
          <w:color w:val="000000"/>
          <w:sz w:val="20"/>
          <w:szCs w:val="20"/>
          <w:shd w:val="clear" w:color="auto" w:fill="FFFFFF"/>
          <w:lang w:val="en-US"/>
        </w:rPr>
        <w:t xml:space="preserve">  </w:t>
      </w:r>
      <w:proofErr w:type="gramStart"/>
      <w:r w:rsidRPr="002D602A">
        <w:rPr>
          <w:rFonts w:ascii="Courier New" w:hAnsi="Courier New" w:cs="Courier New"/>
          <w:color w:val="0000FF"/>
          <w:sz w:val="20"/>
          <w:szCs w:val="20"/>
          <w:shd w:val="clear" w:color="auto" w:fill="FFFFFF"/>
          <w:lang w:val="en-US"/>
        </w:rPr>
        <w:t>run</w:t>
      </w:r>
      <w:proofErr w:type="gramEnd"/>
      <w:r w:rsidRPr="002D602A">
        <w:rPr>
          <w:rFonts w:ascii="Courier New" w:hAnsi="Courier New" w:cs="Courier New"/>
          <w:color w:val="000000"/>
          <w:sz w:val="20"/>
          <w:szCs w:val="20"/>
          <w:shd w:val="clear" w:color="auto" w:fill="FFFFFF"/>
          <w:lang w:val="en-US"/>
        </w:rPr>
        <w:t>;</w:t>
      </w:r>
    </w:p>
    <w:p w:rsidR="00FB356E" w:rsidRPr="002D602A" w:rsidRDefault="00FB356E" w:rsidP="00FB356E">
      <w:pPr>
        <w:ind w:left="720"/>
        <w:rPr>
          <w:lang w:val="en-US"/>
        </w:rPr>
      </w:pPr>
      <w:r w:rsidRPr="002D602A">
        <w:rPr>
          <w:rFonts w:ascii="Courier New" w:hAnsi="Courier New" w:cs="Courier New"/>
          <w:color w:val="000000"/>
          <w:sz w:val="20"/>
          <w:szCs w:val="20"/>
          <w:shd w:val="clear" w:color="auto" w:fill="FFFFFF"/>
          <w:lang w:val="en-US"/>
        </w:rPr>
        <w:t xml:space="preserve">  </w:t>
      </w:r>
      <w:proofErr w:type="gramStart"/>
      <w:r w:rsidRPr="002D602A">
        <w:rPr>
          <w:rFonts w:ascii="Courier New" w:hAnsi="Courier New" w:cs="Courier New"/>
          <w:b/>
          <w:bCs/>
          <w:color w:val="000080"/>
          <w:sz w:val="20"/>
          <w:szCs w:val="20"/>
          <w:shd w:val="clear" w:color="auto" w:fill="FFFFFF"/>
          <w:lang w:val="en-US"/>
        </w:rPr>
        <w:t>quit</w:t>
      </w:r>
      <w:proofErr w:type="gramEnd"/>
      <w:r w:rsidRPr="002D602A">
        <w:rPr>
          <w:rFonts w:ascii="Courier New" w:hAnsi="Courier New" w:cs="Courier New"/>
          <w:color w:val="000000"/>
          <w:sz w:val="20"/>
          <w:szCs w:val="20"/>
          <w:shd w:val="clear" w:color="auto" w:fill="FFFFFF"/>
          <w:lang w:val="en-US"/>
        </w:rPr>
        <w:t>;</w:t>
      </w:r>
    </w:p>
    <w:p w:rsidR="00FB356E" w:rsidRDefault="00FB356E" w:rsidP="00FB356E">
      <w:pPr>
        <w:pStyle w:val="ListParagraph"/>
        <w:numPr>
          <w:ilvl w:val="0"/>
          <w:numId w:val="2"/>
        </w:numPr>
        <w:rPr>
          <w:lang w:val="en-US"/>
        </w:rPr>
      </w:pPr>
      <w:r>
        <w:rPr>
          <w:lang w:val="en-US"/>
        </w:rPr>
        <w:t>Fit a model with test as a covariate.</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w:t>
      </w:r>
      <w:proofErr w:type="spellStart"/>
      <w:proofErr w:type="gramStart"/>
      <w:r w:rsidRPr="00FB356E">
        <w:rPr>
          <w:rFonts w:ascii="Courier New" w:hAnsi="Courier New" w:cs="Courier New"/>
          <w:b/>
          <w:bCs/>
          <w:i/>
          <w:iCs/>
          <w:color w:val="000000"/>
          <w:sz w:val="20"/>
          <w:szCs w:val="20"/>
          <w:shd w:val="clear" w:color="auto" w:fill="FFFFFF"/>
          <w:lang w:val="en-US"/>
        </w:rPr>
        <w:t>madareg</w:t>
      </w:r>
      <w:proofErr w:type="spellEnd"/>
      <w:r w:rsidRPr="00FB356E">
        <w:rPr>
          <w:rFonts w:ascii="Courier New" w:hAnsi="Courier New" w:cs="Courier New"/>
          <w:color w:val="000000"/>
          <w:sz w:val="20"/>
          <w:szCs w:val="20"/>
          <w:shd w:val="clear" w:color="auto" w:fill="FFFFFF"/>
          <w:lang w:val="en-US"/>
        </w:rPr>
        <w:t>(</w:t>
      </w:r>
      <w:proofErr w:type="gramEnd"/>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gramStart"/>
      <w:r w:rsidRPr="00FB356E">
        <w:rPr>
          <w:rFonts w:ascii="Courier New" w:hAnsi="Courier New" w:cs="Courier New"/>
          <w:color w:val="000000"/>
          <w:sz w:val="20"/>
          <w:szCs w:val="20"/>
          <w:shd w:val="clear" w:color="auto" w:fill="FFFFFF"/>
          <w:lang w:val="en-US"/>
        </w:rPr>
        <w:t>import</w:t>
      </w:r>
      <w:proofErr w:type="gramEnd"/>
      <w:r w:rsidRPr="00FB356E">
        <w:rPr>
          <w:rFonts w:ascii="Courier New" w:hAnsi="Courier New" w:cs="Courier New"/>
          <w:color w:val="000000"/>
          <w:sz w:val="20"/>
          <w:szCs w:val="20"/>
          <w:shd w:val="clear" w:color="auto" w:fill="FFFFFF"/>
          <w:lang w:val="en-US"/>
        </w:rPr>
        <w:t xml:space="preserve"> = N,</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dsname</w:t>
      </w:r>
      <w:proofErr w:type="spellEnd"/>
      <w:proofErr w:type="gramEnd"/>
      <w:r w:rsidRPr="00FB356E">
        <w:rPr>
          <w:rFonts w:ascii="Courier New" w:hAnsi="Courier New" w:cs="Courier New"/>
          <w:color w:val="000000"/>
          <w:sz w:val="20"/>
          <w:szCs w:val="20"/>
          <w:shd w:val="clear" w:color="auto" w:fill="FFFFFF"/>
          <w:lang w:val="en-US"/>
        </w:rPr>
        <w:t xml:space="preserve"> = DATA10, </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tp</w:t>
      </w:r>
      <w:proofErr w:type="spellEnd"/>
      <w:proofErr w:type="gramEnd"/>
      <w:r w:rsidRPr="00FB356E">
        <w:rPr>
          <w:rFonts w:ascii="Courier New" w:hAnsi="Courier New" w:cs="Courier New"/>
          <w:color w:val="000000"/>
          <w:sz w:val="20"/>
          <w:szCs w:val="20"/>
          <w:shd w:val="clear" w:color="auto" w:fill="FFFFFF"/>
          <w:lang w:val="en-US"/>
        </w:rPr>
        <w:t xml:space="preserve"> = TP, </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fp</w:t>
      </w:r>
      <w:proofErr w:type="spellEnd"/>
      <w:proofErr w:type="gramEnd"/>
      <w:r w:rsidRPr="00FB356E">
        <w:rPr>
          <w:rFonts w:ascii="Courier New" w:hAnsi="Courier New" w:cs="Courier New"/>
          <w:color w:val="000000"/>
          <w:sz w:val="20"/>
          <w:szCs w:val="20"/>
          <w:shd w:val="clear" w:color="auto" w:fill="FFFFFF"/>
          <w:lang w:val="en-US"/>
        </w:rPr>
        <w:t xml:space="preserve"> = FP, </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fn</w:t>
      </w:r>
      <w:proofErr w:type="spellEnd"/>
      <w:proofErr w:type="gramEnd"/>
      <w:r w:rsidRPr="00FB356E">
        <w:rPr>
          <w:rFonts w:ascii="Courier New" w:hAnsi="Courier New" w:cs="Courier New"/>
          <w:color w:val="000000"/>
          <w:sz w:val="20"/>
          <w:szCs w:val="20"/>
          <w:shd w:val="clear" w:color="auto" w:fill="FFFFFF"/>
          <w:lang w:val="en-US"/>
        </w:rPr>
        <w:t xml:space="preserve"> = FN, </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tn</w:t>
      </w:r>
      <w:proofErr w:type="spellEnd"/>
      <w:proofErr w:type="gramEnd"/>
      <w:r w:rsidRPr="00FB356E">
        <w:rPr>
          <w:rFonts w:ascii="Courier New" w:hAnsi="Courier New" w:cs="Courier New"/>
          <w:color w:val="000000"/>
          <w:sz w:val="20"/>
          <w:szCs w:val="20"/>
          <w:shd w:val="clear" w:color="auto" w:fill="FFFFFF"/>
          <w:lang w:val="en-US"/>
        </w:rPr>
        <w:t xml:space="preserve"> = TN, </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gramStart"/>
      <w:r w:rsidRPr="00FB356E">
        <w:rPr>
          <w:rFonts w:ascii="Courier New" w:hAnsi="Courier New" w:cs="Courier New"/>
          <w:color w:val="000000"/>
          <w:sz w:val="20"/>
          <w:szCs w:val="20"/>
          <w:shd w:val="clear" w:color="auto" w:fill="FFFFFF"/>
          <w:lang w:val="en-US"/>
        </w:rPr>
        <w:t>subject</w:t>
      </w:r>
      <w:proofErr w:type="gramEnd"/>
      <w:r w:rsidRPr="00FB356E">
        <w:rPr>
          <w:rFonts w:ascii="Courier New" w:hAnsi="Courier New" w:cs="Courier New"/>
          <w:color w:val="000000"/>
          <w:sz w:val="20"/>
          <w:szCs w:val="20"/>
          <w:shd w:val="clear" w:color="auto" w:fill="FFFFFF"/>
          <w:lang w:val="en-US"/>
        </w:rPr>
        <w:t xml:space="preserve"> = </w:t>
      </w:r>
      <w:proofErr w:type="spellStart"/>
      <w:r w:rsidRPr="00FB356E">
        <w:rPr>
          <w:rFonts w:ascii="Courier New" w:hAnsi="Courier New" w:cs="Courier New"/>
          <w:color w:val="000000"/>
          <w:sz w:val="20"/>
          <w:szCs w:val="20"/>
          <w:shd w:val="clear" w:color="auto" w:fill="FFFFFF"/>
          <w:lang w:val="en-US"/>
        </w:rPr>
        <w:t>study_id</w:t>
      </w:r>
      <w:proofErr w:type="spellEnd"/>
      <w:r w:rsidRPr="00FB356E">
        <w:rPr>
          <w:rFonts w:ascii="Courier New" w:hAnsi="Courier New" w:cs="Courier New"/>
          <w:color w:val="000000"/>
          <w:sz w:val="20"/>
          <w:szCs w:val="20"/>
          <w:shd w:val="clear" w:color="auto" w:fill="FFFFFF"/>
          <w:lang w:val="en-US"/>
        </w:rPr>
        <w:t>,</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gramStart"/>
      <w:r w:rsidRPr="00FB356E">
        <w:rPr>
          <w:rFonts w:ascii="Courier New" w:hAnsi="Courier New" w:cs="Courier New"/>
          <w:color w:val="000000"/>
          <w:sz w:val="20"/>
          <w:szCs w:val="20"/>
          <w:shd w:val="clear" w:color="auto" w:fill="FFFFFF"/>
          <w:lang w:val="en-US"/>
        </w:rPr>
        <w:t>covariate</w:t>
      </w:r>
      <w:proofErr w:type="gramEnd"/>
      <w:r w:rsidRPr="00FB356E">
        <w:rPr>
          <w:rFonts w:ascii="Courier New" w:hAnsi="Courier New" w:cs="Courier New"/>
          <w:color w:val="000000"/>
          <w:sz w:val="20"/>
          <w:szCs w:val="20"/>
          <w:shd w:val="clear" w:color="auto" w:fill="FFFFFF"/>
          <w:lang w:val="en-US"/>
        </w:rPr>
        <w:t xml:space="preserve"> = Test,</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cvtype</w:t>
      </w:r>
      <w:proofErr w:type="spellEnd"/>
      <w:proofErr w:type="gramEnd"/>
      <w:r w:rsidRPr="00FB356E">
        <w:rPr>
          <w:rFonts w:ascii="Courier New" w:hAnsi="Courier New" w:cs="Courier New"/>
          <w:color w:val="000000"/>
          <w:sz w:val="20"/>
          <w:szCs w:val="20"/>
          <w:shd w:val="clear" w:color="auto" w:fill="FFFFFF"/>
          <w:lang w:val="en-US"/>
        </w:rPr>
        <w:t xml:space="preserve"> = CAT,  </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gramStart"/>
      <w:r w:rsidRPr="00FB356E">
        <w:rPr>
          <w:rFonts w:ascii="Courier New" w:hAnsi="Courier New" w:cs="Courier New"/>
          <w:color w:val="000000"/>
          <w:sz w:val="20"/>
          <w:szCs w:val="20"/>
          <w:shd w:val="clear" w:color="auto" w:fill="FFFFFF"/>
          <w:lang w:val="en-US"/>
        </w:rPr>
        <w:t>model</w:t>
      </w:r>
      <w:proofErr w:type="gramEnd"/>
      <w:r w:rsidRPr="00FB356E">
        <w:rPr>
          <w:rFonts w:ascii="Courier New" w:hAnsi="Courier New" w:cs="Courier New"/>
          <w:color w:val="000000"/>
          <w:sz w:val="20"/>
          <w:szCs w:val="20"/>
          <w:shd w:val="clear" w:color="auto" w:fill="FFFFFF"/>
          <w:lang w:val="en-US"/>
        </w:rPr>
        <w:t xml:space="preserve"> = FE,</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lastRenderedPageBreak/>
        <w:tab/>
      </w:r>
      <w:proofErr w:type="spellStart"/>
      <w:proofErr w:type="gramStart"/>
      <w:r w:rsidRPr="00FB356E">
        <w:rPr>
          <w:rFonts w:ascii="Courier New" w:hAnsi="Courier New" w:cs="Courier New"/>
          <w:color w:val="000000"/>
          <w:sz w:val="20"/>
          <w:szCs w:val="20"/>
          <w:shd w:val="clear" w:color="auto" w:fill="FFFFFF"/>
          <w:lang w:val="en-US"/>
        </w:rPr>
        <w:t>keepds</w:t>
      </w:r>
      <w:proofErr w:type="spellEnd"/>
      <w:r w:rsidRPr="00FB356E">
        <w:rPr>
          <w:rFonts w:ascii="Courier New" w:hAnsi="Courier New" w:cs="Courier New"/>
          <w:color w:val="000000"/>
          <w:sz w:val="20"/>
          <w:szCs w:val="20"/>
          <w:shd w:val="clear" w:color="auto" w:fill="FFFFFF"/>
          <w:lang w:val="en-US"/>
        </w:rPr>
        <w:t>=</w:t>
      </w:r>
      <w:proofErr w:type="gramEnd"/>
      <w:r w:rsidRPr="00FB356E">
        <w:rPr>
          <w:rFonts w:ascii="Courier New" w:hAnsi="Courier New" w:cs="Courier New"/>
          <w:color w:val="000000"/>
          <w:sz w:val="20"/>
          <w:szCs w:val="20"/>
          <w:shd w:val="clear" w:color="auto" w:fill="FFFFFF"/>
          <w:lang w:val="en-US"/>
        </w:rPr>
        <w:t>all,</w:t>
      </w:r>
    </w:p>
    <w:p w:rsidR="00FB356E" w:rsidRPr="00FB356E" w:rsidRDefault="00FB356E" w:rsidP="00FB356E">
      <w:pPr>
        <w:autoSpaceDE w:val="0"/>
        <w:autoSpaceDN w:val="0"/>
        <w:adjustRightInd w:val="0"/>
        <w:spacing w:before="0" w:after="0" w:line="240" w:lineRule="auto"/>
        <w:ind w:left="720"/>
        <w:rPr>
          <w:rFonts w:ascii="Courier New" w:hAnsi="Courier New" w:cs="Courier New"/>
          <w:color w:val="000000"/>
          <w:sz w:val="20"/>
          <w:szCs w:val="20"/>
          <w:shd w:val="clear" w:color="auto" w:fill="FFFFFF"/>
          <w:lang w:val="en-US"/>
        </w:rPr>
      </w:pPr>
      <w:r w:rsidRPr="00FB356E">
        <w:rPr>
          <w:rFonts w:ascii="Courier New" w:hAnsi="Courier New" w:cs="Courier New"/>
          <w:color w:val="000000"/>
          <w:sz w:val="20"/>
          <w:szCs w:val="20"/>
          <w:shd w:val="clear" w:color="auto" w:fill="FFFFFF"/>
          <w:lang w:val="en-US"/>
        </w:rPr>
        <w:tab/>
      </w:r>
      <w:proofErr w:type="spellStart"/>
      <w:proofErr w:type="gramStart"/>
      <w:r w:rsidRPr="00FB356E">
        <w:rPr>
          <w:rFonts w:ascii="Courier New" w:hAnsi="Courier New" w:cs="Courier New"/>
          <w:color w:val="000000"/>
          <w:sz w:val="20"/>
          <w:szCs w:val="20"/>
          <w:shd w:val="clear" w:color="auto" w:fill="FFFFFF"/>
          <w:lang w:val="en-US"/>
        </w:rPr>
        <w:t>incbasic</w:t>
      </w:r>
      <w:proofErr w:type="spellEnd"/>
      <w:r w:rsidRPr="00FB356E">
        <w:rPr>
          <w:rFonts w:ascii="Courier New" w:hAnsi="Courier New" w:cs="Courier New"/>
          <w:color w:val="000000"/>
          <w:sz w:val="20"/>
          <w:szCs w:val="20"/>
          <w:shd w:val="clear" w:color="auto" w:fill="FFFFFF"/>
          <w:lang w:val="en-US"/>
        </w:rPr>
        <w:t>=</w:t>
      </w:r>
      <w:proofErr w:type="gramEnd"/>
      <w:r w:rsidRPr="00FB356E">
        <w:rPr>
          <w:rFonts w:ascii="Courier New" w:hAnsi="Courier New" w:cs="Courier New"/>
          <w:color w:val="000000"/>
          <w:sz w:val="20"/>
          <w:szCs w:val="20"/>
          <w:shd w:val="clear" w:color="auto" w:fill="FFFFFF"/>
          <w:lang w:val="en-US"/>
        </w:rPr>
        <w:t>n,</w:t>
      </w:r>
    </w:p>
    <w:p w:rsidR="00FB356E" w:rsidRPr="00FB356E" w:rsidRDefault="00FB356E" w:rsidP="00FB356E">
      <w:pPr>
        <w:ind w:left="720"/>
        <w:rPr>
          <w:lang w:val="en-US"/>
        </w:rPr>
      </w:pPr>
      <w:r w:rsidRPr="00FB356E">
        <w:rPr>
          <w:rFonts w:ascii="Courier New" w:hAnsi="Courier New" w:cs="Courier New"/>
          <w:color w:val="000000"/>
          <w:sz w:val="20"/>
          <w:szCs w:val="20"/>
          <w:shd w:val="clear" w:color="auto" w:fill="FFFFFF"/>
          <w:lang w:val="en-US"/>
        </w:rPr>
        <w:tab/>
      </w:r>
      <w:proofErr w:type="spellStart"/>
      <w:r w:rsidRPr="00FB356E">
        <w:rPr>
          <w:rFonts w:ascii="Courier New" w:hAnsi="Courier New" w:cs="Courier New"/>
          <w:color w:val="000000"/>
          <w:sz w:val="20"/>
          <w:szCs w:val="20"/>
          <w:shd w:val="clear" w:color="auto" w:fill="FFFFFF"/>
          <w:lang w:val="en-US"/>
        </w:rPr>
        <w:t>rfile</w:t>
      </w:r>
      <w:proofErr w:type="spellEnd"/>
      <w:r w:rsidRPr="00FB356E">
        <w:rPr>
          <w:rFonts w:ascii="Courier New" w:hAnsi="Courier New" w:cs="Courier New"/>
          <w:color w:val="000000"/>
          <w:sz w:val="20"/>
          <w:szCs w:val="20"/>
          <w:shd w:val="clear" w:color="auto" w:fill="FFFFFF"/>
          <w:lang w:val="en-US"/>
        </w:rPr>
        <w:t>=</w:t>
      </w:r>
      <w:r w:rsidRPr="00FB356E">
        <w:rPr>
          <w:rFonts w:ascii="Courier New" w:hAnsi="Courier New" w:cs="Courier New"/>
          <w:color w:val="800080"/>
          <w:sz w:val="20"/>
          <w:szCs w:val="20"/>
          <w:shd w:val="clear" w:color="auto" w:fill="FFFFFF"/>
          <w:lang w:val="en-US"/>
        </w:rPr>
        <w:t>"F:\PHD\Projects\</w:t>
      </w:r>
      <w:proofErr w:type="spellStart"/>
      <w:r w:rsidRPr="00FB356E">
        <w:rPr>
          <w:rFonts w:ascii="Courier New" w:hAnsi="Courier New" w:cs="Courier New"/>
          <w:color w:val="800080"/>
          <w:sz w:val="20"/>
          <w:szCs w:val="20"/>
          <w:shd w:val="clear" w:color="auto" w:fill="FFFFFF"/>
          <w:lang w:val="en-US"/>
        </w:rPr>
        <w:t>Madareg</w:t>
      </w:r>
      <w:proofErr w:type="spellEnd"/>
      <w:r w:rsidRPr="00FB356E">
        <w:rPr>
          <w:rFonts w:ascii="Courier New" w:hAnsi="Courier New" w:cs="Courier New"/>
          <w:color w:val="800080"/>
          <w:sz w:val="20"/>
          <w:szCs w:val="20"/>
          <w:shd w:val="clear" w:color="auto" w:fill="FFFFFF"/>
          <w:lang w:val="en-US"/>
        </w:rPr>
        <w:t>\Logs\Example10.rtf"</w:t>
      </w:r>
      <w:r w:rsidRPr="00FB356E">
        <w:rPr>
          <w:rFonts w:ascii="Courier New" w:hAnsi="Courier New" w:cs="Courier New"/>
          <w:color w:val="000000"/>
          <w:sz w:val="20"/>
          <w:szCs w:val="20"/>
          <w:shd w:val="clear" w:color="auto" w:fill="FFFFFF"/>
          <w:lang w:val="en-US"/>
        </w:rPr>
        <w:t>);</w:t>
      </w:r>
    </w:p>
    <w:p w:rsidR="00FB356E" w:rsidRDefault="00FB356E" w:rsidP="00FB356E">
      <w:pPr>
        <w:pStyle w:val="ListParagraph"/>
        <w:numPr>
          <w:ilvl w:val="0"/>
          <w:numId w:val="2"/>
        </w:numPr>
        <w:rPr>
          <w:lang w:val="en-US"/>
        </w:rPr>
      </w:pPr>
      <w:r>
        <w:rPr>
          <w:lang w:val="en-US"/>
        </w:rPr>
        <w:t xml:space="preserve">The SAS output is a word document found in </w:t>
      </w:r>
      <w:r w:rsidRPr="00BD3471">
        <w:rPr>
          <w:rFonts w:ascii="Courier New" w:hAnsi="Courier New" w:cs="Courier New"/>
          <w:color w:val="800080"/>
          <w:sz w:val="20"/>
          <w:szCs w:val="20"/>
          <w:shd w:val="clear" w:color="auto" w:fill="FFFFFF"/>
          <w:lang w:val="en-US"/>
        </w:rPr>
        <w:t>F:\PHD\Projects\Madareg\Logs\Example</w:t>
      </w:r>
      <w:r>
        <w:rPr>
          <w:rFonts w:ascii="Courier New" w:hAnsi="Courier New" w:cs="Courier New"/>
          <w:color w:val="800080"/>
          <w:sz w:val="20"/>
          <w:szCs w:val="20"/>
          <w:shd w:val="clear" w:color="auto" w:fill="FFFFFF"/>
          <w:lang w:val="en-US"/>
        </w:rPr>
        <w:t>10</w:t>
      </w:r>
      <w:r w:rsidRPr="00BD3471">
        <w:rPr>
          <w:rFonts w:ascii="Courier New" w:hAnsi="Courier New" w:cs="Courier New"/>
          <w:color w:val="800080"/>
          <w:sz w:val="20"/>
          <w:szCs w:val="20"/>
          <w:shd w:val="clear" w:color="auto" w:fill="FFFFFF"/>
          <w:lang w:val="en-US"/>
        </w:rPr>
        <w:t>.rtf</w:t>
      </w:r>
      <w:r>
        <w:rPr>
          <w:lang w:val="en-US"/>
        </w:rPr>
        <w:t xml:space="preserve">.  </w:t>
      </w:r>
    </w:p>
    <w:p w:rsidR="00FB356E" w:rsidRDefault="00FB356E" w:rsidP="00FB356E">
      <w:pPr>
        <w:pStyle w:val="ListParagraph"/>
        <w:numPr>
          <w:ilvl w:val="0"/>
          <w:numId w:val="2"/>
        </w:numPr>
        <w:rPr>
          <w:lang w:val="en-US"/>
        </w:rPr>
      </w:pPr>
      <w:r>
        <w:rPr>
          <w:lang w:val="en-US"/>
        </w:rPr>
        <w:t xml:space="preserve">Results based on excerpts from the output </w:t>
      </w:r>
      <w:proofErr w:type="gramStart"/>
      <w:r>
        <w:rPr>
          <w:lang w:val="en-US"/>
        </w:rPr>
        <w:t xml:space="preserve">in  </w:t>
      </w:r>
      <w:r w:rsidRPr="00BD3471">
        <w:rPr>
          <w:rFonts w:ascii="Courier New" w:hAnsi="Courier New" w:cs="Courier New"/>
          <w:color w:val="800080"/>
          <w:sz w:val="20"/>
          <w:szCs w:val="20"/>
          <w:shd w:val="clear" w:color="auto" w:fill="FFFFFF"/>
          <w:lang w:val="en-US"/>
        </w:rPr>
        <w:t>F</w:t>
      </w:r>
      <w:proofErr w:type="gramEnd"/>
      <w:r w:rsidRPr="00BD3471">
        <w:rPr>
          <w:rFonts w:ascii="Courier New" w:hAnsi="Courier New" w:cs="Courier New"/>
          <w:color w:val="800080"/>
          <w:sz w:val="20"/>
          <w:szCs w:val="20"/>
          <w:shd w:val="clear" w:color="auto" w:fill="FFFFFF"/>
          <w:lang w:val="en-US"/>
        </w:rPr>
        <w:t>:\PHD\Projects\Madareg\Logs\Example</w:t>
      </w:r>
      <w:r>
        <w:rPr>
          <w:rFonts w:ascii="Courier New" w:hAnsi="Courier New" w:cs="Courier New"/>
          <w:color w:val="800080"/>
          <w:sz w:val="20"/>
          <w:szCs w:val="20"/>
          <w:shd w:val="clear" w:color="auto" w:fill="FFFFFF"/>
          <w:lang w:val="en-US"/>
        </w:rPr>
        <w:t>10</w:t>
      </w:r>
      <w:r w:rsidRPr="00BD3471">
        <w:rPr>
          <w:rFonts w:ascii="Courier New" w:hAnsi="Courier New" w:cs="Courier New"/>
          <w:color w:val="800080"/>
          <w:sz w:val="20"/>
          <w:szCs w:val="20"/>
          <w:shd w:val="clear" w:color="auto" w:fill="FFFFFF"/>
          <w:lang w:val="en-US"/>
        </w:rPr>
        <w:t>.rtf</w:t>
      </w:r>
      <w:r>
        <w:rPr>
          <w:lang w:val="en-US"/>
        </w:rPr>
        <w:t>.</w:t>
      </w:r>
    </w:p>
    <w:p w:rsidR="00FB356E" w:rsidRDefault="00340C2A" w:rsidP="00FB356E">
      <w:pPr>
        <w:pStyle w:val="ListParagraph"/>
        <w:rPr>
          <w:lang w:val="en-US"/>
        </w:rPr>
      </w:pPr>
      <w:r>
        <w:rPr>
          <w:lang w:val="en-US"/>
        </w:rPr>
        <w:t xml:space="preserve">In the analysis, CC is taken as the reference test. As seen in Figure 2 and Table 4, PCR is again more sensitive RSE: 4.1015 [2.9899, 5.627], p-value &lt; 0.0001 but less sensitive RSP” 0.9437 </w:t>
      </w:r>
      <w:proofErr w:type="gramStart"/>
      <w:r>
        <w:rPr>
          <w:lang w:val="en-US"/>
        </w:rPr>
        <w:t>[ 0.9366</w:t>
      </w:r>
      <w:proofErr w:type="gramEnd"/>
      <w:r>
        <w:rPr>
          <w:lang w:val="en-US"/>
        </w:rPr>
        <w:t>, 0.951], p-value &lt;0.0001 than CC in detection of CIN2+ in the LSIL triage.</w:t>
      </w:r>
    </w:p>
    <w:tbl>
      <w:tblPr>
        <w:tblW w:w="0" w:type="auto"/>
        <w:jc w:val="center"/>
        <w:tblInd w:w="-581" w:type="dxa"/>
        <w:tblLayout w:type="fixed"/>
        <w:tblCellMar>
          <w:left w:w="0" w:type="dxa"/>
          <w:right w:w="0" w:type="dxa"/>
        </w:tblCellMar>
        <w:tblLook w:val="0000" w:firstRow="0" w:lastRow="0" w:firstColumn="0" w:lastColumn="0" w:noHBand="0" w:noVBand="0"/>
      </w:tblPr>
      <w:tblGrid>
        <w:gridCol w:w="2949"/>
        <w:gridCol w:w="720"/>
        <w:gridCol w:w="1135"/>
        <w:gridCol w:w="935"/>
        <w:gridCol w:w="1059"/>
      </w:tblGrid>
      <w:tr w:rsidR="00340C2A" w:rsidRPr="00A666E4" w:rsidTr="00A666E4">
        <w:trPr>
          <w:cantSplit/>
          <w:tblHeader/>
          <w:jc w:val="center"/>
        </w:trPr>
        <w:tc>
          <w:tcPr>
            <w:tcW w:w="2949" w:type="dxa"/>
            <w:tcBorders>
              <w:top w:val="single" w:sz="4" w:space="0" w:color="4F493B"/>
              <w:left w:val="single" w:sz="4" w:space="0" w:color="4F493B"/>
              <w:bottom w:val="single" w:sz="2" w:space="0" w:color="4F493B"/>
              <w:right w:val="single" w:sz="2" w:space="0" w:color="4F493B"/>
            </w:tcBorders>
            <w:shd w:val="clear" w:color="auto" w:fill="E8E6DA"/>
            <w:tcMar>
              <w:left w:w="29" w:type="dxa"/>
              <w:right w:w="29" w:type="dxa"/>
            </w:tcMar>
            <w:vAlign w:val="bottom"/>
          </w:tcPr>
          <w:p w:rsidR="00340C2A" w:rsidRPr="00A666E4" w:rsidRDefault="00340C2A" w:rsidP="00CC7786">
            <w:pPr>
              <w:keepNext/>
              <w:adjustRightInd w:val="0"/>
              <w:spacing w:before="29" w:after="29"/>
              <w:rPr>
                <w:rFonts w:cs="Times New Roman"/>
                <w:b/>
                <w:bCs/>
                <w:color w:val="000000"/>
              </w:rPr>
            </w:pPr>
            <w:r w:rsidRPr="00A666E4">
              <w:rPr>
                <w:rFonts w:cs="Times New Roman"/>
                <w:b/>
                <w:bCs/>
                <w:color w:val="000000"/>
              </w:rPr>
              <w:t>Parameter</w:t>
            </w:r>
          </w:p>
        </w:tc>
        <w:tc>
          <w:tcPr>
            <w:tcW w:w="720"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340C2A" w:rsidRPr="00A666E4" w:rsidRDefault="00340C2A" w:rsidP="00CC7786">
            <w:pPr>
              <w:keepNext/>
              <w:adjustRightInd w:val="0"/>
              <w:spacing w:before="29" w:after="29"/>
              <w:jc w:val="right"/>
              <w:rPr>
                <w:rFonts w:cs="Times New Roman"/>
                <w:b/>
                <w:bCs/>
                <w:color w:val="000000"/>
              </w:rPr>
            </w:pPr>
            <w:r w:rsidRPr="00A666E4">
              <w:rPr>
                <w:rFonts w:cs="Times New Roman"/>
                <w:b/>
                <w:bCs/>
                <w:color w:val="000000"/>
              </w:rPr>
              <w:t>Pr &gt; |z|</w:t>
            </w:r>
          </w:p>
        </w:tc>
        <w:tc>
          <w:tcPr>
            <w:tcW w:w="1135"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340C2A" w:rsidRPr="00A666E4" w:rsidRDefault="00340C2A" w:rsidP="00CC7786">
            <w:pPr>
              <w:keepNext/>
              <w:adjustRightInd w:val="0"/>
              <w:spacing w:before="29" w:after="29"/>
              <w:jc w:val="right"/>
              <w:rPr>
                <w:rFonts w:cs="Times New Roman"/>
                <w:b/>
                <w:bCs/>
                <w:color w:val="000000"/>
              </w:rPr>
            </w:pPr>
            <w:r w:rsidRPr="00A666E4">
              <w:rPr>
                <w:rFonts w:cs="Times New Roman"/>
                <w:b/>
                <w:bCs/>
                <w:color w:val="000000"/>
              </w:rPr>
              <w:t>Estimate</w:t>
            </w:r>
          </w:p>
        </w:tc>
        <w:tc>
          <w:tcPr>
            <w:tcW w:w="935"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340C2A" w:rsidRPr="00A666E4" w:rsidRDefault="00340C2A" w:rsidP="00CC7786">
            <w:pPr>
              <w:keepNext/>
              <w:adjustRightInd w:val="0"/>
              <w:spacing w:before="29" w:after="29"/>
              <w:jc w:val="right"/>
              <w:rPr>
                <w:rFonts w:cs="Times New Roman"/>
                <w:b/>
                <w:bCs/>
                <w:color w:val="000000"/>
              </w:rPr>
            </w:pPr>
            <w:r w:rsidRPr="00A666E4">
              <w:rPr>
                <w:rFonts w:cs="Times New Roman"/>
                <w:b/>
                <w:bCs/>
                <w:color w:val="000000"/>
              </w:rPr>
              <w:t>Lower</w:t>
            </w:r>
          </w:p>
        </w:tc>
        <w:tc>
          <w:tcPr>
            <w:tcW w:w="1059"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340C2A" w:rsidRPr="00A666E4" w:rsidRDefault="00340C2A" w:rsidP="00CC7786">
            <w:pPr>
              <w:keepNext/>
              <w:adjustRightInd w:val="0"/>
              <w:spacing w:before="29" w:after="29"/>
              <w:jc w:val="right"/>
              <w:rPr>
                <w:rFonts w:cs="Times New Roman"/>
                <w:b/>
                <w:bCs/>
                <w:color w:val="000000"/>
              </w:rPr>
            </w:pPr>
            <w:r w:rsidRPr="00A666E4">
              <w:rPr>
                <w:rFonts w:cs="Times New Roman"/>
                <w:b/>
                <w:bCs/>
                <w:color w:val="000000"/>
              </w:rPr>
              <w:t>Upper</w:t>
            </w:r>
          </w:p>
        </w:tc>
      </w:tr>
      <w:tr w:rsidR="00340C2A" w:rsidRPr="00A666E4" w:rsidTr="00A666E4">
        <w:trPr>
          <w:cantSplit/>
          <w:jc w:val="center"/>
        </w:trPr>
        <w:tc>
          <w:tcPr>
            <w:tcW w:w="2949"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rPr>
                <w:rFonts w:cs="Times New Roman"/>
                <w:color w:val="000000"/>
                <w:lang w:val="en-US"/>
              </w:rPr>
            </w:pPr>
            <w:r w:rsidRPr="00A666E4">
              <w:rPr>
                <w:rFonts w:cs="Times New Roman"/>
                <w:color w:val="000000"/>
                <w:lang w:val="en-US"/>
              </w:rPr>
              <w:t xml:space="preserve">True positive OR Test: 1 </w:t>
            </w:r>
            <w:proofErr w:type="spellStart"/>
            <w:r w:rsidRPr="00A666E4">
              <w:rPr>
                <w:rFonts w:cs="Times New Roman"/>
                <w:color w:val="000000"/>
                <w:lang w:val="en-US"/>
              </w:rPr>
              <w:t>vs</w:t>
            </w:r>
            <w:proofErr w:type="spellEnd"/>
            <w:r w:rsidRPr="00A666E4">
              <w:rPr>
                <w:rFonts w:cs="Times New Roman"/>
                <w:color w:val="000000"/>
                <w:lang w:val="en-US"/>
              </w:rPr>
              <w:t xml:space="preserve"> 0</w:t>
            </w:r>
          </w:p>
        </w:tc>
        <w:tc>
          <w:tcPr>
            <w:tcW w:w="7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&lt;.0001</w:t>
            </w:r>
          </w:p>
        </w:tc>
        <w:tc>
          <w:tcPr>
            <w:tcW w:w="11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68.2000</w:t>
            </w:r>
          </w:p>
        </w:tc>
        <w:tc>
          <w:tcPr>
            <w:tcW w:w="9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27.2723</w:t>
            </w:r>
          </w:p>
        </w:tc>
        <w:tc>
          <w:tcPr>
            <w:tcW w:w="105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170.548</w:t>
            </w:r>
          </w:p>
        </w:tc>
      </w:tr>
      <w:tr w:rsidR="00340C2A" w:rsidRPr="00A666E4" w:rsidTr="00A666E4">
        <w:trPr>
          <w:cantSplit/>
          <w:jc w:val="center"/>
        </w:trPr>
        <w:tc>
          <w:tcPr>
            <w:tcW w:w="2949"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rPr>
                <w:rFonts w:cs="Times New Roman"/>
                <w:color w:val="000000"/>
                <w:lang w:val="en-US"/>
              </w:rPr>
            </w:pPr>
            <w:r w:rsidRPr="00A666E4">
              <w:rPr>
                <w:rFonts w:cs="Times New Roman"/>
                <w:color w:val="000000"/>
                <w:lang w:val="en-US"/>
              </w:rPr>
              <w:t xml:space="preserve">True negative OR Test: 1 </w:t>
            </w:r>
            <w:proofErr w:type="spellStart"/>
            <w:r w:rsidRPr="00A666E4">
              <w:rPr>
                <w:rFonts w:cs="Times New Roman"/>
                <w:color w:val="000000"/>
                <w:lang w:val="en-US"/>
              </w:rPr>
              <w:t>vs</w:t>
            </w:r>
            <w:proofErr w:type="spellEnd"/>
            <w:r w:rsidRPr="00A666E4">
              <w:rPr>
                <w:rFonts w:cs="Times New Roman"/>
                <w:color w:val="000000"/>
                <w:lang w:val="en-US"/>
              </w:rPr>
              <w:t xml:space="preserve"> 0</w:t>
            </w:r>
          </w:p>
        </w:tc>
        <w:tc>
          <w:tcPr>
            <w:tcW w:w="7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&lt;.0001</w:t>
            </w:r>
          </w:p>
        </w:tc>
        <w:tc>
          <w:tcPr>
            <w:tcW w:w="11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0.0868</w:t>
            </w:r>
          </w:p>
        </w:tc>
        <w:tc>
          <w:tcPr>
            <w:tcW w:w="9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0.0588</w:t>
            </w:r>
          </w:p>
        </w:tc>
        <w:tc>
          <w:tcPr>
            <w:tcW w:w="105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0.128</w:t>
            </w:r>
          </w:p>
        </w:tc>
      </w:tr>
      <w:tr w:rsidR="00340C2A" w:rsidRPr="00A666E4" w:rsidTr="00A666E4">
        <w:trPr>
          <w:cantSplit/>
          <w:jc w:val="center"/>
        </w:trPr>
        <w:tc>
          <w:tcPr>
            <w:tcW w:w="2949"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rPr>
                <w:rFonts w:cs="Times New Roman"/>
                <w:color w:val="000000"/>
              </w:rPr>
            </w:pPr>
            <w:r w:rsidRPr="00A666E4">
              <w:rPr>
                <w:rFonts w:cs="Times New Roman"/>
                <w:color w:val="000000"/>
              </w:rPr>
              <w:t>RSE Test: 1 vs 0</w:t>
            </w:r>
          </w:p>
        </w:tc>
        <w:tc>
          <w:tcPr>
            <w:tcW w:w="7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&lt;.0001</w:t>
            </w:r>
          </w:p>
        </w:tc>
        <w:tc>
          <w:tcPr>
            <w:tcW w:w="11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4.1015</w:t>
            </w:r>
          </w:p>
        </w:tc>
        <w:tc>
          <w:tcPr>
            <w:tcW w:w="9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2.9899</w:t>
            </w:r>
          </w:p>
        </w:tc>
        <w:tc>
          <w:tcPr>
            <w:tcW w:w="105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5.627</w:t>
            </w:r>
          </w:p>
        </w:tc>
      </w:tr>
      <w:tr w:rsidR="00340C2A" w:rsidRPr="00A666E4" w:rsidTr="00A666E4">
        <w:trPr>
          <w:cantSplit/>
          <w:jc w:val="center"/>
        </w:trPr>
        <w:tc>
          <w:tcPr>
            <w:tcW w:w="2949"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keepNext/>
              <w:adjustRightInd w:val="0"/>
              <w:spacing w:before="29" w:after="29"/>
              <w:rPr>
                <w:rFonts w:cs="Times New Roman"/>
                <w:color w:val="000000"/>
              </w:rPr>
            </w:pPr>
            <w:r w:rsidRPr="00A666E4">
              <w:rPr>
                <w:rFonts w:cs="Times New Roman"/>
                <w:color w:val="000000"/>
              </w:rPr>
              <w:t>RSP Test: 1 vs 0</w:t>
            </w:r>
          </w:p>
        </w:tc>
        <w:tc>
          <w:tcPr>
            <w:tcW w:w="7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keepNext/>
              <w:adjustRightInd w:val="0"/>
              <w:spacing w:before="29" w:after="29"/>
              <w:jc w:val="right"/>
              <w:rPr>
                <w:rFonts w:cs="Times New Roman"/>
                <w:color w:val="000000"/>
              </w:rPr>
            </w:pPr>
            <w:r w:rsidRPr="00A666E4">
              <w:rPr>
                <w:rFonts w:cs="Times New Roman"/>
                <w:color w:val="000000"/>
              </w:rPr>
              <w:t>&lt;.0001</w:t>
            </w:r>
          </w:p>
        </w:tc>
        <w:tc>
          <w:tcPr>
            <w:tcW w:w="11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keepNext/>
              <w:adjustRightInd w:val="0"/>
              <w:spacing w:before="29" w:after="29"/>
              <w:jc w:val="right"/>
              <w:rPr>
                <w:rFonts w:cs="Times New Roman"/>
                <w:color w:val="000000"/>
              </w:rPr>
            </w:pPr>
            <w:r w:rsidRPr="00A666E4">
              <w:rPr>
                <w:rFonts w:cs="Times New Roman"/>
                <w:color w:val="000000"/>
              </w:rPr>
              <w:t>0.9437</w:t>
            </w:r>
          </w:p>
        </w:tc>
        <w:tc>
          <w:tcPr>
            <w:tcW w:w="9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keepNext/>
              <w:adjustRightInd w:val="0"/>
              <w:spacing w:before="29" w:after="29"/>
              <w:jc w:val="right"/>
              <w:rPr>
                <w:rFonts w:cs="Times New Roman"/>
                <w:color w:val="000000"/>
              </w:rPr>
            </w:pPr>
            <w:r w:rsidRPr="00A666E4">
              <w:rPr>
                <w:rFonts w:cs="Times New Roman"/>
                <w:color w:val="000000"/>
              </w:rPr>
              <w:t>0.9366</w:t>
            </w:r>
          </w:p>
        </w:tc>
        <w:tc>
          <w:tcPr>
            <w:tcW w:w="105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keepNext/>
              <w:adjustRightInd w:val="0"/>
              <w:spacing w:before="29" w:after="29"/>
              <w:jc w:val="right"/>
              <w:rPr>
                <w:rFonts w:cs="Times New Roman"/>
                <w:color w:val="000000"/>
              </w:rPr>
            </w:pPr>
            <w:r w:rsidRPr="00A666E4">
              <w:rPr>
                <w:rFonts w:cs="Times New Roman"/>
                <w:color w:val="000000"/>
              </w:rPr>
              <w:t>0.951</w:t>
            </w:r>
          </w:p>
        </w:tc>
      </w:tr>
      <w:tr w:rsidR="00340C2A" w:rsidRPr="00A666E4" w:rsidTr="00A666E4">
        <w:trPr>
          <w:cantSplit/>
          <w:jc w:val="center"/>
        </w:trPr>
        <w:tc>
          <w:tcPr>
            <w:tcW w:w="2949"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rPr>
                <w:rFonts w:cs="Times New Roman"/>
                <w:color w:val="000000"/>
              </w:rPr>
            </w:pPr>
            <w:r w:rsidRPr="00A666E4">
              <w:rPr>
                <w:rFonts w:cs="Times New Roman"/>
                <w:color w:val="000000"/>
              </w:rPr>
              <w:t>RDOR Test: 1 vs 0</w:t>
            </w:r>
          </w:p>
        </w:tc>
        <w:tc>
          <w:tcPr>
            <w:tcW w:w="7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0.0005</w:t>
            </w:r>
          </w:p>
        </w:tc>
        <w:tc>
          <w:tcPr>
            <w:tcW w:w="11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5.9166</w:t>
            </w:r>
          </w:p>
        </w:tc>
        <w:tc>
          <w:tcPr>
            <w:tcW w:w="935"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2.1855</w:t>
            </w:r>
          </w:p>
        </w:tc>
        <w:tc>
          <w:tcPr>
            <w:tcW w:w="105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340C2A" w:rsidRPr="00A666E4" w:rsidRDefault="00340C2A" w:rsidP="00CC7786">
            <w:pPr>
              <w:adjustRightInd w:val="0"/>
              <w:spacing w:before="29" w:after="29"/>
              <w:jc w:val="right"/>
              <w:rPr>
                <w:rFonts w:cs="Times New Roman"/>
                <w:color w:val="000000"/>
              </w:rPr>
            </w:pPr>
            <w:r w:rsidRPr="00A666E4">
              <w:rPr>
                <w:rFonts w:cs="Times New Roman"/>
                <w:color w:val="000000"/>
              </w:rPr>
              <w:t>16.018</w:t>
            </w:r>
          </w:p>
        </w:tc>
      </w:tr>
    </w:tbl>
    <w:p w:rsidR="00340C2A" w:rsidRDefault="00340C2A" w:rsidP="00FB356E">
      <w:pPr>
        <w:pStyle w:val="ListParagraph"/>
        <w:rPr>
          <w:lang w:val="en-US"/>
        </w:rPr>
      </w:pPr>
      <w:r>
        <w:rPr>
          <w:lang w:val="en-US"/>
        </w:rPr>
        <w:t>Table 4</w:t>
      </w:r>
      <w:r w:rsidR="00CC7786">
        <w:rPr>
          <w:lang w:val="en-US"/>
        </w:rPr>
        <w:t>: Estimates of relative measures of test accuracy of PCR vs. CC in detection of CIN2+</w:t>
      </w:r>
      <w:r w:rsidR="004D43A5">
        <w:rPr>
          <w:lang w:val="en-US"/>
        </w:rPr>
        <w:t>.</w:t>
      </w:r>
    </w:p>
    <w:p w:rsidR="00340C2A" w:rsidRDefault="00340C2A" w:rsidP="00FB356E">
      <w:pPr>
        <w:pStyle w:val="ListParagraph"/>
        <w:rPr>
          <w:lang w:val="en-US"/>
        </w:rPr>
      </w:pPr>
    </w:p>
    <w:p w:rsidR="00340C2A" w:rsidRDefault="00340C2A" w:rsidP="00FB356E">
      <w:pPr>
        <w:pStyle w:val="ListParagraph"/>
        <w:rPr>
          <w:lang w:val="en-US"/>
        </w:rPr>
      </w:pPr>
      <w:r>
        <w:rPr>
          <w:noProof/>
          <w:sz w:val="24"/>
          <w:szCs w:val="24"/>
          <w:lang w:val="en-US"/>
        </w:rPr>
        <w:lastRenderedPageBreak/>
        <w:drawing>
          <wp:inline distT="0" distB="0" distL="0" distR="0" wp14:anchorId="58AC2C78" wp14:editId="6032E3DD">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340C2A" w:rsidRDefault="00340C2A" w:rsidP="004D43A5">
      <w:pPr>
        <w:rPr>
          <w:lang w:val="en-US"/>
        </w:rPr>
      </w:pPr>
      <w:r>
        <w:rPr>
          <w:lang w:val="en-US"/>
        </w:rPr>
        <w:t>Figure 2: Forest plot of sensitivity and specificity and 95% confidence intervals comparing CC and PCR in detection of CIN2+ in the LSIL triage.</w:t>
      </w:r>
    </w:p>
    <w:p w:rsidR="00CC7786" w:rsidRDefault="00CC7786" w:rsidP="004D43A5">
      <w:pPr>
        <w:pStyle w:val="Heading2"/>
        <w:rPr>
          <w:lang w:val="en-US"/>
        </w:rPr>
      </w:pPr>
      <w:r>
        <w:rPr>
          <w:lang w:val="en-US"/>
        </w:rPr>
        <w:t>Example 3</w:t>
      </w:r>
    </w:p>
    <w:p w:rsidR="00CC7786" w:rsidRDefault="003F5E72" w:rsidP="004D43A5">
      <w:pPr>
        <w:rPr>
          <w:lang w:val="en-US"/>
        </w:rPr>
      </w:pPr>
      <w:r>
        <w:rPr>
          <w:lang w:val="en-US"/>
        </w:rPr>
        <w:t>Fit a random-effects model</w:t>
      </w:r>
      <w:r w:rsidR="005058AD">
        <w:rPr>
          <w:lang w:val="en-US"/>
        </w:rPr>
        <w:t xml:space="preserve"> to 1. </w:t>
      </w:r>
      <w:proofErr w:type="gramStart"/>
      <w:r w:rsidR="005058AD">
        <w:rPr>
          <w:lang w:val="en-US"/>
        </w:rPr>
        <w:t>estimate</w:t>
      </w:r>
      <w:proofErr w:type="gramEnd"/>
      <w:r w:rsidR="005058AD">
        <w:rPr>
          <w:lang w:val="en-US"/>
        </w:rPr>
        <w:t xml:space="preserve"> sensitivity and speci</w:t>
      </w:r>
      <w:r w:rsidR="008A224A">
        <w:rPr>
          <w:lang w:val="en-US"/>
        </w:rPr>
        <w:t>ficity of HC2 in detecting CIN2+  a</w:t>
      </w:r>
      <w:r>
        <w:rPr>
          <w:lang w:val="en-US"/>
        </w:rPr>
        <w:t>nd</w:t>
      </w:r>
      <w:r w:rsidR="005058AD">
        <w:rPr>
          <w:lang w:val="en-US"/>
        </w:rPr>
        <w:t xml:space="preserve"> 2. </w:t>
      </w:r>
      <w:proofErr w:type="gramStart"/>
      <w:r>
        <w:rPr>
          <w:lang w:val="en-US"/>
        </w:rPr>
        <w:t>assess</w:t>
      </w:r>
      <w:proofErr w:type="gramEnd"/>
      <w:r>
        <w:rPr>
          <w:lang w:val="en-US"/>
        </w:rPr>
        <w:t xml:space="preserve"> whet</w:t>
      </w:r>
      <w:r w:rsidR="005058AD">
        <w:rPr>
          <w:lang w:val="en-US"/>
        </w:rPr>
        <w:t xml:space="preserve">her there are differences in diagnostic accuracy of HC2 by location (developing </w:t>
      </w:r>
      <w:proofErr w:type="spellStart"/>
      <w:r w:rsidR="005058AD">
        <w:rPr>
          <w:lang w:val="en-US"/>
        </w:rPr>
        <w:t>vs</w:t>
      </w:r>
      <w:proofErr w:type="spellEnd"/>
      <w:r w:rsidR="005058AD">
        <w:rPr>
          <w:lang w:val="en-US"/>
        </w:rPr>
        <w:t xml:space="preserve"> developed countries) and age-group (any age group vs</w:t>
      </w:r>
      <w:r w:rsidR="008A224A">
        <w:rPr>
          <w:lang w:val="en-US"/>
        </w:rPr>
        <w:t>.</w:t>
      </w:r>
      <w:r w:rsidR="005058AD">
        <w:rPr>
          <w:lang w:val="en-US"/>
        </w:rPr>
        <w:t xml:space="preserve"> women older than 30 years).  </w:t>
      </w:r>
    </w:p>
    <w:p w:rsidR="00AD32BB" w:rsidRDefault="00AD32BB" w:rsidP="00FB356E">
      <w:pPr>
        <w:pStyle w:val="ListParagraph"/>
        <w:rPr>
          <w:lang w:val="en-US"/>
        </w:rPr>
      </w:pPr>
    </w:p>
    <w:p w:rsidR="00340C2A" w:rsidRDefault="00340C2A" w:rsidP="00FB356E">
      <w:pPr>
        <w:pStyle w:val="ListParagraph"/>
        <w:rPr>
          <w:lang w:val="en-US"/>
        </w:rPr>
      </w:pPr>
    </w:p>
    <w:tbl>
      <w:tblPr>
        <w:tblW w:w="102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630"/>
        <w:gridCol w:w="663"/>
        <w:gridCol w:w="774"/>
        <w:gridCol w:w="543"/>
        <w:gridCol w:w="1260"/>
        <w:gridCol w:w="2160"/>
        <w:gridCol w:w="1158"/>
        <w:gridCol w:w="889"/>
      </w:tblGrid>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proofErr w:type="spellStart"/>
            <w:r w:rsidRPr="00A666E4">
              <w:rPr>
                <w:rFonts w:eastAsia="Times New Roman" w:cs="Times New Roman"/>
                <w:b/>
                <w:color w:val="000000"/>
                <w:lang w:val="en-US"/>
              </w:rPr>
              <w:lastRenderedPageBreak/>
              <w:t>Study_ID</w:t>
            </w:r>
            <w:proofErr w:type="spellEnd"/>
          </w:p>
        </w:tc>
        <w:tc>
          <w:tcPr>
            <w:tcW w:w="630"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TP</w:t>
            </w:r>
          </w:p>
        </w:tc>
        <w:tc>
          <w:tcPr>
            <w:tcW w:w="663"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FP</w:t>
            </w:r>
          </w:p>
        </w:tc>
        <w:tc>
          <w:tcPr>
            <w:tcW w:w="774"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TN</w:t>
            </w:r>
          </w:p>
        </w:tc>
        <w:tc>
          <w:tcPr>
            <w:tcW w:w="543"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FN</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Location</w:t>
            </w:r>
          </w:p>
        </w:tc>
        <w:tc>
          <w:tcPr>
            <w:tcW w:w="1091"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Location1</w:t>
            </w:r>
          </w:p>
        </w:tc>
        <w:tc>
          <w:tcPr>
            <w:tcW w:w="889" w:type="dxa"/>
            <w:shd w:val="clear" w:color="auto" w:fill="auto"/>
            <w:noWrap/>
            <w:vAlign w:val="bottom"/>
            <w:hideMark/>
          </w:tcPr>
          <w:p w:rsidR="00AD32BB" w:rsidRPr="00A666E4" w:rsidRDefault="00AD32BB" w:rsidP="00AD32BB">
            <w:pPr>
              <w:spacing w:before="0" w:after="0" w:line="240" w:lineRule="auto"/>
              <w:rPr>
                <w:rFonts w:eastAsia="Times New Roman" w:cs="Times New Roman"/>
                <w:b/>
                <w:color w:val="000000"/>
                <w:lang w:val="en-US"/>
              </w:rPr>
            </w:pPr>
            <w:r w:rsidRPr="00A666E4">
              <w:rPr>
                <w:rFonts w:eastAsia="Times New Roman" w:cs="Times New Roman"/>
                <w:b/>
                <w:color w:val="000000"/>
                <w:lang w:val="en-US"/>
              </w:rPr>
              <w:t>Age1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Belinson</w:t>
            </w:r>
            <w:proofErr w:type="spellEnd"/>
            <w:r w:rsidRPr="00A666E4">
              <w:rPr>
                <w:rFonts w:eastAsia="Times New Roman" w:cs="Times New Roman"/>
                <w:color w:val="000000"/>
                <w:lang w:val="en-US"/>
              </w:rPr>
              <w:t xml:space="preserve"> JL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363</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1652</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6470</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Bigras</w:t>
            </w:r>
            <w:proofErr w:type="spellEnd"/>
            <w:r w:rsidRPr="00A666E4">
              <w:rPr>
                <w:rFonts w:eastAsia="Times New Roman" w:cs="Times New Roman"/>
                <w:color w:val="000000"/>
                <w:lang w:val="en-US"/>
              </w:rPr>
              <w:t xml:space="preserve"> G 2005</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80</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1063</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12697</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Blumenthal PD 2001</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168</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721</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1270</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40</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Africa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Cardenas-</w:t>
            </w:r>
            <w:proofErr w:type="spellStart"/>
            <w:r w:rsidRPr="00A666E4">
              <w:rPr>
                <w:rFonts w:eastAsia="Times New Roman" w:cs="Times New Roman"/>
                <w:color w:val="000000"/>
                <w:lang w:val="en-US"/>
              </w:rPr>
              <w:t>Turanzas</w:t>
            </w:r>
            <w:proofErr w:type="spellEnd"/>
            <w:r w:rsidRPr="00A666E4">
              <w:rPr>
                <w:rFonts w:eastAsia="Times New Roman" w:cs="Times New Roman"/>
                <w:color w:val="000000"/>
                <w:lang w:val="en-US"/>
              </w:rPr>
              <w:t xml:space="preserve"> M 2008</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55</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764</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North America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Clavel</w:t>
            </w:r>
            <w:proofErr w:type="spellEnd"/>
            <w:r w:rsidRPr="00A666E4">
              <w:rPr>
                <w:rFonts w:eastAsia="Times New Roman" w:cs="Times New Roman"/>
                <w:color w:val="000000"/>
                <w:lang w:val="en-US"/>
              </w:rPr>
              <w:t xml:space="preserve"> C 2001</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129</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1085</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6718</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Cuzick</w:t>
            </w:r>
            <w:proofErr w:type="spellEnd"/>
            <w:r w:rsidRPr="00A666E4">
              <w:rPr>
                <w:rFonts w:eastAsia="Times New Roman" w:cs="Times New Roman"/>
                <w:color w:val="000000"/>
                <w:lang w:val="en-US"/>
              </w:rPr>
              <w:t xml:space="preserve"> J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87</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697</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9571</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 xml:space="preserve">de </w:t>
            </w:r>
            <w:proofErr w:type="spellStart"/>
            <w:r w:rsidRPr="00A666E4">
              <w:rPr>
                <w:rFonts w:eastAsia="Times New Roman" w:cs="Times New Roman"/>
                <w:color w:val="000000"/>
                <w:lang w:val="en-US"/>
              </w:rPr>
              <w:t>Cremoux</w:t>
            </w:r>
            <w:proofErr w:type="spellEnd"/>
            <w:r w:rsidRPr="00A666E4">
              <w:rPr>
                <w:rFonts w:eastAsia="Times New Roman" w:cs="Times New Roman"/>
                <w:color w:val="000000"/>
                <w:lang w:val="en-US"/>
              </w:rPr>
              <w:t xml:space="preserve"> P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150</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331</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1273</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31</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Ferreccio</w:t>
            </w:r>
            <w:proofErr w:type="spellEnd"/>
            <w:r w:rsidRPr="00A666E4">
              <w:rPr>
                <w:rFonts w:eastAsia="Times New Roman" w:cs="Times New Roman"/>
                <w:color w:val="000000"/>
                <w:lang w:val="en-US"/>
              </w:rPr>
              <w:t xml:space="preserve"> C 2013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91</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742</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7374</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Central and South America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Gravitt</w:t>
            </w:r>
            <w:proofErr w:type="spellEnd"/>
            <w:r w:rsidRPr="00A666E4">
              <w:rPr>
                <w:rFonts w:eastAsia="Times New Roman" w:cs="Times New Roman"/>
                <w:color w:val="000000"/>
                <w:lang w:val="en-US"/>
              </w:rPr>
              <w:t xml:space="preserve"> PE 2010</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200</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1975</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Iftner</w:t>
            </w:r>
            <w:proofErr w:type="spellEnd"/>
            <w:r w:rsidRPr="00A666E4">
              <w:rPr>
                <w:rFonts w:eastAsia="Times New Roman" w:cs="Times New Roman"/>
                <w:color w:val="000000"/>
                <w:lang w:val="en-US"/>
              </w:rPr>
              <w:t xml:space="preserve"> T 2015</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86</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494</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8867</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Li N 2009</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67</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351</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2137</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Mahmud SM 2012</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21</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148</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1180</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Africa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McAdam</w:t>
            </w:r>
            <w:proofErr w:type="spellEnd"/>
            <w:r w:rsidRPr="00A666E4">
              <w:rPr>
                <w:rFonts w:eastAsia="Times New Roman" w:cs="Times New Roman"/>
                <w:color w:val="000000"/>
                <w:lang w:val="en-US"/>
              </w:rPr>
              <w:t xml:space="preserve"> M 2010 a</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34</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436</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Oceania and Pacific</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McAdam</w:t>
            </w:r>
            <w:proofErr w:type="spellEnd"/>
            <w:r w:rsidRPr="00A666E4">
              <w:rPr>
                <w:rFonts w:eastAsia="Times New Roman" w:cs="Times New Roman"/>
                <w:color w:val="000000"/>
                <w:lang w:val="en-US"/>
              </w:rPr>
              <w:t xml:space="preserve"> M 2010b</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22</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31</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454</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Oceania and Pacific</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Monsonego</w:t>
            </w:r>
            <w:proofErr w:type="spellEnd"/>
            <w:r w:rsidRPr="00A666E4">
              <w:rPr>
                <w:rFonts w:eastAsia="Times New Roman" w:cs="Times New Roman"/>
                <w:color w:val="000000"/>
                <w:lang w:val="en-US"/>
              </w:rPr>
              <w:t xml:space="preserve"> J 2011</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98</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595</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3733</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Moy LM 2010</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1037</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7268</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Pan Q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79</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248</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1505</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Petry</w:t>
            </w:r>
            <w:proofErr w:type="spellEnd"/>
            <w:r w:rsidRPr="00A666E4">
              <w:rPr>
                <w:rFonts w:eastAsia="Times New Roman" w:cs="Times New Roman"/>
                <w:color w:val="000000"/>
                <w:lang w:val="en-US"/>
              </w:rPr>
              <w:t xml:space="preserve"> KU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45</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369</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7493</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Qiao</w:t>
            </w:r>
            <w:proofErr w:type="spellEnd"/>
            <w:r w:rsidRPr="00A666E4">
              <w:rPr>
                <w:rFonts w:eastAsia="Times New Roman" w:cs="Times New Roman"/>
                <w:color w:val="000000"/>
                <w:lang w:val="en-US"/>
              </w:rPr>
              <w:t xml:space="preserve"> YL 2008</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68</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333</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1985</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Ronco</w:t>
            </w:r>
            <w:proofErr w:type="spellEnd"/>
            <w:r w:rsidRPr="00A666E4">
              <w:rPr>
                <w:rFonts w:eastAsia="Times New Roman" w:cs="Times New Roman"/>
                <w:color w:val="000000"/>
                <w:lang w:val="en-US"/>
              </w:rPr>
              <w:t xml:space="preserve"> G 2006</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73</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1112</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15223</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Salmeron</w:t>
            </w:r>
            <w:proofErr w:type="spellEnd"/>
            <w:r w:rsidRPr="00A666E4">
              <w:rPr>
                <w:rFonts w:eastAsia="Times New Roman" w:cs="Times New Roman"/>
                <w:color w:val="000000"/>
                <w:lang w:val="en-US"/>
              </w:rPr>
              <w:t xml:space="preserve"> J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626</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7205</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Central and South America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Sankaranarayanan</w:t>
            </w:r>
            <w:proofErr w:type="spellEnd"/>
            <w:r w:rsidRPr="00A666E4">
              <w:rPr>
                <w:rFonts w:eastAsia="Times New Roman" w:cs="Times New Roman"/>
                <w:color w:val="000000"/>
                <w:lang w:val="en-US"/>
              </w:rPr>
              <w:t xml:space="preserve"> R 2004</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120</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750</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10589</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59</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Sarian</w:t>
            </w:r>
            <w:proofErr w:type="spellEnd"/>
            <w:r w:rsidRPr="00A666E4">
              <w:rPr>
                <w:rFonts w:eastAsia="Times New Roman" w:cs="Times New Roman"/>
                <w:color w:val="000000"/>
                <w:lang w:val="en-US"/>
              </w:rPr>
              <w:t xml:space="preserve"> LO 2005</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52</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665</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3467</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Central and South America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Shipitsyna</w:t>
            </w:r>
            <w:proofErr w:type="spellEnd"/>
            <w:r w:rsidRPr="00A666E4">
              <w:rPr>
                <w:rFonts w:eastAsia="Times New Roman" w:cs="Times New Roman"/>
                <w:color w:val="000000"/>
                <w:lang w:val="en-US"/>
              </w:rPr>
              <w:t xml:space="preserve"> E 2011</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101</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716</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Wu R 2010</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306</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1682</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Any age</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Belinson</w:t>
            </w:r>
            <w:proofErr w:type="spellEnd"/>
            <w:r w:rsidRPr="00A666E4">
              <w:rPr>
                <w:rFonts w:eastAsia="Times New Roman" w:cs="Times New Roman"/>
                <w:color w:val="000000"/>
                <w:lang w:val="en-US"/>
              </w:rPr>
              <w:t xml:space="preserve"> JL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363</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1652</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6470</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Cardenas-</w:t>
            </w:r>
            <w:proofErr w:type="spellStart"/>
            <w:r w:rsidRPr="00A666E4">
              <w:rPr>
                <w:rFonts w:eastAsia="Times New Roman" w:cs="Times New Roman"/>
                <w:color w:val="000000"/>
                <w:lang w:val="en-US"/>
              </w:rPr>
              <w:t>Turanzas</w:t>
            </w:r>
            <w:proofErr w:type="spellEnd"/>
            <w:r w:rsidRPr="00A666E4">
              <w:rPr>
                <w:rFonts w:eastAsia="Times New Roman" w:cs="Times New Roman"/>
                <w:color w:val="000000"/>
                <w:lang w:val="en-US"/>
              </w:rPr>
              <w:t xml:space="preserve"> M 2008</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55</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764</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North America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Cuzick</w:t>
            </w:r>
            <w:proofErr w:type="spellEnd"/>
            <w:r w:rsidRPr="00A666E4">
              <w:rPr>
                <w:rFonts w:eastAsia="Times New Roman" w:cs="Times New Roman"/>
                <w:color w:val="000000"/>
                <w:lang w:val="en-US"/>
              </w:rPr>
              <w:t xml:space="preserve"> J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87</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697</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9571</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Iftner</w:t>
            </w:r>
            <w:proofErr w:type="spellEnd"/>
            <w:r w:rsidRPr="00A666E4">
              <w:rPr>
                <w:rFonts w:eastAsia="Times New Roman" w:cs="Times New Roman"/>
                <w:color w:val="000000"/>
                <w:lang w:val="en-US"/>
              </w:rPr>
              <w:t xml:space="preserve"> T 2015</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86</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494</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8867</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Mahmud SM 2012</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21</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148</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1180</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Africa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McAdam</w:t>
            </w:r>
            <w:proofErr w:type="spellEnd"/>
            <w:r w:rsidRPr="00A666E4">
              <w:rPr>
                <w:rFonts w:eastAsia="Times New Roman" w:cs="Times New Roman"/>
                <w:color w:val="000000"/>
                <w:lang w:val="en-US"/>
              </w:rPr>
              <w:t xml:space="preserve"> M 2010 a</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34</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436</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Oceania and Pacific</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McAdam</w:t>
            </w:r>
            <w:proofErr w:type="spellEnd"/>
            <w:r w:rsidRPr="00A666E4">
              <w:rPr>
                <w:rFonts w:eastAsia="Times New Roman" w:cs="Times New Roman"/>
                <w:color w:val="000000"/>
                <w:lang w:val="en-US"/>
              </w:rPr>
              <w:t xml:space="preserve"> M 2010b</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22</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31</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454</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Oceania and Pacific</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Moy LM 2010</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204</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1037</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7268</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8</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Pan Q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79</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248</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1505</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Petry</w:t>
            </w:r>
            <w:proofErr w:type="spellEnd"/>
            <w:r w:rsidRPr="00A666E4">
              <w:rPr>
                <w:rFonts w:eastAsia="Times New Roman" w:cs="Times New Roman"/>
                <w:color w:val="000000"/>
                <w:lang w:val="en-US"/>
              </w:rPr>
              <w:t xml:space="preserve"> KU 2003</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45</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369</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7493</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Qiao</w:t>
            </w:r>
            <w:proofErr w:type="spellEnd"/>
            <w:r w:rsidRPr="00A666E4">
              <w:rPr>
                <w:rFonts w:eastAsia="Times New Roman" w:cs="Times New Roman"/>
                <w:color w:val="000000"/>
                <w:lang w:val="en-US"/>
              </w:rPr>
              <w:t xml:space="preserve"> YL 2008</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68</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333</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1985</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Asia</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lastRenderedPageBreak/>
              <w:t>Ronco</w:t>
            </w:r>
            <w:proofErr w:type="spellEnd"/>
            <w:r w:rsidRPr="00A666E4">
              <w:rPr>
                <w:rFonts w:eastAsia="Times New Roman" w:cs="Times New Roman"/>
                <w:color w:val="000000"/>
                <w:lang w:val="en-US"/>
              </w:rPr>
              <w:t xml:space="preserve"> G 2006</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73</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1112</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15223</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2</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r w:rsidR="00AD32BB" w:rsidRPr="00A666E4" w:rsidTr="00AD32BB">
        <w:trPr>
          <w:trHeight w:val="300"/>
        </w:trPr>
        <w:tc>
          <w:tcPr>
            <w:tcW w:w="2265"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proofErr w:type="spellStart"/>
            <w:r w:rsidRPr="00A666E4">
              <w:rPr>
                <w:rFonts w:eastAsia="Times New Roman" w:cs="Times New Roman"/>
                <w:color w:val="000000"/>
                <w:lang w:val="en-US"/>
              </w:rPr>
              <w:t>Shipitsyna</w:t>
            </w:r>
            <w:proofErr w:type="spellEnd"/>
            <w:r w:rsidRPr="00A666E4">
              <w:rPr>
                <w:rFonts w:eastAsia="Times New Roman" w:cs="Times New Roman"/>
                <w:color w:val="000000"/>
                <w:lang w:val="en-US"/>
              </w:rPr>
              <w:t xml:space="preserve"> E 2011</w:t>
            </w:r>
          </w:p>
        </w:tc>
        <w:tc>
          <w:tcPr>
            <w:tcW w:w="630"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6</w:t>
            </w:r>
          </w:p>
        </w:tc>
        <w:tc>
          <w:tcPr>
            <w:tcW w:w="66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57</w:t>
            </w:r>
          </w:p>
        </w:tc>
        <w:tc>
          <w:tcPr>
            <w:tcW w:w="774"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716</w:t>
            </w:r>
          </w:p>
        </w:tc>
        <w:tc>
          <w:tcPr>
            <w:tcW w:w="543"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0</w:t>
            </w:r>
          </w:p>
        </w:tc>
        <w:tc>
          <w:tcPr>
            <w:tcW w:w="12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Age &gt;30</w:t>
            </w:r>
          </w:p>
        </w:tc>
        <w:tc>
          <w:tcPr>
            <w:tcW w:w="2160" w:type="dxa"/>
            <w:shd w:val="clear" w:color="auto" w:fill="auto"/>
            <w:noWrap/>
            <w:vAlign w:val="bottom"/>
            <w:hideMark/>
          </w:tcPr>
          <w:p w:rsidR="00AD32BB" w:rsidRPr="00A666E4" w:rsidRDefault="00AD32BB" w:rsidP="00AD32BB">
            <w:pPr>
              <w:spacing w:before="0" w:after="0" w:line="240" w:lineRule="auto"/>
              <w:rPr>
                <w:rFonts w:eastAsia="Times New Roman" w:cs="Times New Roman"/>
                <w:color w:val="000000"/>
                <w:lang w:val="en-US"/>
              </w:rPr>
            </w:pPr>
            <w:r w:rsidRPr="00A666E4">
              <w:rPr>
                <w:rFonts w:eastAsia="Times New Roman" w:cs="Times New Roman"/>
                <w:color w:val="000000"/>
                <w:lang w:val="en-US"/>
              </w:rPr>
              <w:t>Europe</w:t>
            </w:r>
          </w:p>
        </w:tc>
        <w:tc>
          <w:tcPr>
            <w:tcW w:w="1091"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c>
          <w:tcPr>
            <w:tcW w:w="889" w:type="dxa"/>
            <w:shd w:val="clear" w:color="auto" w:fill="auto"/>
            <w:noWrap/>
            <w:vAlign w:val="bottom"/>
            <w:hideMark/>
          </w:tcPr>
          <w:p w:rsidR="00AD32BB" w:rsidRPr="00A666E4" w:rsidRDefault="00AD32BB" w:rsidP="00AD32BB">
            <w:pPr>
              <w:spacing w:before="0" w:after="0" w:line="240" w:lineRule="auto"/>
              <w:jc w:val="right"/>
              <w:rPr>
                <w:rFonts w:eastAsia="Times New Roman" w:cs="Times New Roman"/>
                <w:color w:val="000000"/>
                <w:lang w:val="en-US"/>
              </w:rPr>
            </w:pPr>
            <w:r w:rsidRPr="00A666E4">
              <w:rPr>
                <w:rFonts w:eastAsia="Times New Roman" w:cs="Times New Roman"/>
                <w:color w:val="000000"/>
                <w:lang w:val="en-US"/>
              </w:rPr>
              <w:t>1</w:t>
            </w:r>
          </w:p>
        </w:tc>
      </w:tr>
    </w:tbl>
    <w:p w:rsidR="004D43A5" w:rsidRDefault="004D43A5" w:rsidP="00AD32BB">
      <w:pPr>
        <w:rPr>
          <w:lang w:val="en-US"/>
        </w:rPr>
      </w:pPr>
      <w:r>
        <w:rPr>
          <w:lang w:val="en-US"/>
        </w:rPr>
        <w:t xml:space="preserve">Table </w:t>
      </w:r>
      <w:r w:rsidR="008A224A">
        <w:rPr>
          <w:lang w:val="en-US"/>
        </w:rPr>
        <w:t>5</w:t>
      </w:r>
      <w:r>
        <w:rPr>
          <w:lang w:val="en-US"/>
        </w:rPr>
        <w:t>:</w:t>
      </w:r>
      <w:r w:rsidRPr="004D43A5">
        <w:rPr>
          <w:lang w:val="en-US"/>
        </w:rPr>
        <w:t xml:space="preserve"> </w:t>
      </w:r>
      <w:r>
        <w:rPr>
          <w:lang w:val="en-US"/>
        </w:rPr>
        <w:t>Data25 containing studies assessing the accuracy of HC2 at threshold of 1 against PCR detecting 13 high</w:t>
      </w:r>
      <w:r w:rsidR="008A224A">
        <w:rPr>
          <w:lang w:val="en-US"/>
        </w:rPr>
        <w:t xml:space="preserve"> risk HPV types to detect CIN2+.</w:t>
      </w:r>
    </w:p>
    <w:p w:rsidR="00AD32BB" w:rsidRDefault="00AD32BB" w:rsidP="008A224A">
      <w:pPr>
        <w:pStyle w:val="Heading2"/>
        <w:rPr>
          <w:lang w:val="en-US"/>
        </w:rPr>
      </w:pPr>
      <w:r>
        <w:rPr>
          <w:lang w:val="en-US"/>
        </w:rPr>
        <w:t>Analysis</w:t>
      </w:r>
      <w:r w:rsidR="004D43A5">
        <w:rPr>
          <w:lang w:val="en-US"/>
        </w:rPr>
        <w:t xml:space="preserve"> procedure</w:t>
      </w:r>
    </w:p>
    <w:p w:rsidR="00AD32BB" w:rsidRDefault="00AD32BB" w:rsidP="00AD32BB">
      <w:pPr>
        <w:pStyle w:val="ListParagraph"/>
        <w:numPr>
          <w:ilvl w:val="0"/>
          <w:numId w:val="3"/>
        </w:numPr>
        <w:rPr>
          <w:lang w:val="en-US"/>
        </w:rPr>
      </w:pPr>
      <w:r>
        <w:rPr>
          <w:lang w:val="en-US"/>
        </w:rPr>
        <w:t xml:space="preserve">Load the macro </w:t>
      </w:r>
    </w:p>
    <w:p w:rsidR="00AD32BB" w:rsidRDefault="00AD32BB" w:rsidP="00AD32BB">
      <w:pPr>
        <w:pStyle w:val="ListParagraph"/>
        <w:rPr>
          <w:lang w:val="en-US"/>
        </w:rPr>
      </w:pPr>
      <w:r>
        <w:rPr>
          <w:rFonts w:ascii="Courier New" w:hAnsi="Courier New" w:cs="Courier New"/>
          <w:color w:val="0000FF"/>
          <w:sz w:val="20"/>
          <w:szCs w:val="20"/>
          <w:shd w:val="clear" w:color="auto" w:fill="FFFFFF"/>
          <w:lang w:val="en-US"/>
        </w:rPr>
        <w:t>%</w:t>
      </w:r>
      <w:proofErr w:type="gramStart"/>
      <w:r>
        <w:rPr>
          <w:rFonts w:ascii="Courier New" w:hAnsi="Courier New" w:cs="Courier New"/>
          <w:color w:val="0000FF"/>
          <w:sz w:val="20"/>
          <w:szCs w:val="20"/>
          <w:shd w:val="clear" w:color="auto" w:fill="FFFFFF"/>
          <w:lang w:val="en-US"/>
        </w:rPr>
        <w:t>include</w:t>
      </w:r>
      <w:proofErr w:type="gramEnd"/>
      <w:r>
        <w:rPr>
          <w:rFonts w:ascii="Courier New" w:hAnsi="Courier New" w:cs="Courier New"/>
          <w:color w:val="000000"/>
          <w:sz w:val="20"/>
          <w:szCs w:val="20"/>
          <w:shd w:val="clear" w:color="auto" w:fill="FFFFFF"/>
          <w:lang w:val="en-US"/>
        </w:rPr>
        <w:t xml:space="preserve"> </w:t>
      </w:r>
      <w:r>
        <w:rPr>
          <w:rFonts w:ascii="Courier New" w:hAnsi="Courier New" w:cs="Courier New"/>
          <w:color w:val="800080"/>
          <w:sz w:val="20"/>
          <w:szCs w:val="20"/>
          <w:shd w:val="clear" w:color="auto" w:fill="FFFFFF"/>
          <w:lang w:val="en-US"/>
        </w:rPr>
        <w:t>"F:\PHD\Projects\madareg\Scripts\Madareg.sas"</w:t>
      </w:r>
      <w:r>
        <w:rPr>
          <w:rFonts w:ascii="Courier New" w:hAnsi="Courier New" w:cs="Courier New"/>
          <w:color w:val="000000"/>
          <w:sz w:val="20"/>
          <w:szCs w:val="20"/>
          <w:shd w:val="clear" w:color="auto" w:fill="FFFFFF"/>
          <w:lang w:val="en-US"/>
        </w:rPr>
        <w:t>;</w:t>
      </w:r>
    </w:p>
    <w:p w:rsidR="00AD32BB" w:rsidRDefault="00AD32BB" w:rsidP="00AD32BB">
      <w:pPr>
        <w:pStyle w:val="ListParagraph"/>
        <w:numPr>
          <w:ilvl w:val="0"/>
          <w:numId w:val="3"/>
        </w:numPr>
        <w:rPr>
          <w:lang w:val="en-US"/>
        </w:rPr>
      </w:pPr>
      <w:r>
        <w:rPr>
          <w:lang w:val="en-US"/>
        </w:rPr>
        <w:t>Read in the data</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 xml:space="preserve">  </w:t>
      </w:r>
      <w:proofErr w:type="gramStart"/>
      <w:r w:rsidRPr="00AD32BB">
        <w:rPr>
          <w:rFonts w:ascii="Courier New" w:hAnsi="Courier New" w:cs="Courier New"/>
          <w:b/>
          <w:bCs/>
          <w:color w:val="000080"/>
          <w:sz w:val="20"/>
          <w:szCs w:val="20"/>
          <w:shd w:val="clear" w:color="auto" w:fill="FFFFFF"/>
          <w:lang w:val="en-US"/>
        </w:rPr>
        <w:t>data</w:t>
      </w:r>
      <w:proofErr w:type="gramEnd"/>
      <w:r w:rsidRPr="00AD32BB">
        <w:rPr>
          <w:rFonts w:ascii="Courier New" w:hAnsi="Courier New" w:cs="Courier New"/>
          <w:color w:val="000000"/>
          <w:sz w:val="20"/>
          <w:szCs w:val="20"/>
          <w:shd w:val="clear" w:color="auto" w:fill="FFFFFF"/>
          <w:lang w:val="en-US"/>
        </w:rPr>
        <w:t xml:space="preserve"> data25;</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proofErr w:type="spellStart"/>
      <w:r w:rsidRPr="00AD32BB">
        <w:rPr>
          <w:rFonts w:ascii="Courier New" w:hAnsi="Courier New" w:cs="Courier New"/>
          <w:color w:val="0000FF"/>
          <w:sz w:val="20"/>
          <w:szCs w:val="20"/>
          <w:shd w:val="clear" w:color="auto" w:fill="FFFFFF"/>
          <w:lang w:val="en-US"/>
        </w:rPr>
        <w:t>infile</w:t>
      </w:r>
      <w:proofErr w:type="spellEnd"/>
      <w:r w:rsidRPr="00AD32BB">
        <w:rPr>
          <w:rFonts w:ascii="Courier New" w:hAnsi="Courier New" w:cs="Courier New"/>
          <w:color w:val="000000"/>
          <w:sz w:val="20"/>
          <w:szCs w:val="20"/>
          <w:shd w:val="clear" w:color="auto" w:fill="FFFFFF"/>
          <w:lang w:val="en-US"/>
        </w:rPr>
        <w:t xml:space="preserve"> </w:t>
      </w:r>
      <w:r w:rsidRPr="00AD32BB">
        <w:rPr>
          <w:rFonts w:ascii="Courier New" w:hAnsi="Courier New" w:cs="Courier New"/>
          <w:color w:val="800080"/>
          <w:sz w:val="20"/>
          <w:szCs w:val="20"/>
          <w:shd w:val="clear" w:color="auto" w:fill="FFFFFF"/>
          <w:lang w:val="en-US"/>
        </w:rPr>
        <w:t>'F</w:t>
      </w:r>
      <w:proofErr w:type="gramStart"/>
      <w:r w:rsidRPr="00AD32BB">
        <w:rPr>
          <w:rFonts w:ascii="Courier New" w:hAnsi="Courier New" w:cs="Courier New"/>
          <w:color w:val="800080"/>
          <w:sz w:val="20"/>
          <w:szCs w:val="20"/>
          <w:shd w:val="clear" w:color="auto" w:fill="FFFFFF"/>
          <w:lang w:val="en-US"/>
        </w:rPr>
        <w:t>:\</w:t>
      </w:r>
      <w:proofErr w:type="gramEnd"/>
      <w:r w:rsidRPr="00AD32BB">
        <w:rPr>
          <w:rFonts w:ascii="Courier New" w:hAnsi="Courier New" w:cs="Courier New"/>
          <w:color w:val="800080"/>
          <w:sz w:val="20"/>
          <w:szCs w:val="20"/>
          <w:shd w:val="clear" w:color="auto" w:fill="FFFFFF"/>
          <w:lang w:val="en-US"/>
        </w:rPr>
        <w:t>PHD\Projects\E003\Data\analysis25.csv'</w:t>
      </w:r>
      <w:r w:rsidRPr="00AD32BB">
        <w:rPr>
          <w:rFonts w:ascii="Courier New" w:hAnsi="Courier New" w:cs="Courier New"/>
          <w:color w:val="000000"/>
          <w:sz w:val="20"/>
          <w:szCs w:val="20"/>
          <w:shd w:val="clear" w:color="auto" w:fill="FFFFFF"/>
          <w:lang w:val="en-US"/>
        </w:rPr>
        <w:t xml:space="preserve"> </w:t>
      </w:r>
      <w:r w:rsidRPr="00AD32BB">
        <w:rPr>
          <w:rFonts w:ascii="Courier New" w:hAnsi="Courier New" w:cs="Courier New"/>
          <w:color w:val="0000FF"/>
          <w:sz w:val="20"/>
          <w:szCs w:val="20"/>
          <w:shd w:val="clear" w:color="auto" w:fill="FFFFFF"/>
          <w:lang w:val="en-US"/>
        </w:rPr>
        <w:t>delimiter</w:t>
      </w:r>
      <w:r w:rsidRPr="00AD32BB">
        <w:rPr>
          <w:rFonts w:ascii="Courier New" w:hAnsi="Courier New" w:cs="Courier New"/>
          <w:color w:val="000000"/>
          <w:sz w:val="20"/>
          <w:szCs w:val="20"/>
          <w:shd w:val="clear" w:color="auto" w:fill="FFFFFF"/>
          <w:lang w:val="en-US"/>
        </w:rPr>
        <w:t xml:space="preserve"> = </w:t>
      </w:r>
      <w:r w:rsidRPr="00AD32BB">
        <w:rPr>
          <w:rFonts w:ascii="Courier New" w:hAnsi="Courier New" w:cs="Courier New"/>
          <w:color w:val="800080"/>
          <w:sz w:val="20"/>
          <w:szCs w:val="20"/>
          <w:shd w:val="clear" w:color="auto" w:fill="FFFFFF"/>
          <w:lang w:val="en-US"/>
        </w:rPr>
        <w:t>','</w:t>
      </w:r>
      <w:r w:rsidRPr="00AD32BB">
        <w:rPr>
          <w:rFonts w:ascii="Courier New" w:hAnsi="Courier New" w:cs="Courier New"/>
          <w:color w:val="000000"/>
          <w:sz w:val="20"/>
          <w:szCs w:val="20"/>
          <w:shd w:val="clear" w:color="auto" w:fill="FFFFFF"/>
          <w:lang w:val="en-US"/>
        </w:rPr>
        <w:t xml:space="preserv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FF"/>
          <w:sz w:val="20"/>
          <w:szCs w:val="20"/>
          <w:shd w:val="clear" w:color="auto" w:fill="FFFFFF"/>
          <w:lang w:val="en-US"/>
        </w:rPr>
        <w:t>MISSOVER</w:t>
      </w:r>
      <w:r w:rsidRPr="00AD32BB">
        <w:rPr>
          <w:rFonts w:ascii="Courier New" w:hAnsi="Courier New" w:cs="Courier New"/>
          <w:color w:val="000000"/>
          <w:sz w:val="20"/>
          <w:szCs w:val="20"/>
          <w:shd w:val="clear" w:color="auto" w:fill="FFFFFF"/>
          <w:lang w:val="en-US"/>
        </w:rPr>
        <w:t xml:space="preserve"> </w:t>
      </w:r>
      <w:r w:rsidRPr="00AD32BB">
        <w:rPr>
          <w:rFonts w:ascii="Courier New" w:hAnsi="Courier New" w:cs="Courier New"/>
          <w:color w:val="0000FF"/>
          <w:sz w:val="20"/>
          <w:szCs w:val="20"/>
          <w:shd w:val="clear" w:color="auto" w:fill="FFFFFF"/>
          <w:lang w:val="en-US"/>
        </w:rPr>
        <w:t>DSD</w:t>
      </w:r>
      <w:r w:rsidRPr="00AD32BB">
        <w:rPr>
          <w:rFonts w:ascii="Courier New" w:hAnsi="Courier New" w:cs="Courier New"/>
          <w:color w:val="000000"/>
          <w:sz w:val="20"/>
          <w:szCs w:val="20"/>
          <w:shd w:val="clear" w:color="auto" w:fill="FFFFFF"/>
          <w:lang w:val="en-US"/>
        </w:rPr>
        <w:t xml:space="preserv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proofErr w:type="spellStart"/>
      <w:proofErr w:type="gramStart"/>
      <w:r w:rsidRPr="00AD32BB">
        <w:rPr>
          <w:rFonts w:ascii="Courier New" w:hAnsi="Courier New" w:cs="Courier New"/>
          <w:color w:val="0000FF"/>
          <w:sz w:val="20"/>
          <w:szCs w:val="20"/>
          <w:shd w:val="clear" w:color="auto" w:fill="FFFFFF"/>
          <w:lang w:val="en-US"/>
        </w:rPr>
        <w:t>lrecl</w:t>
      </w:r>
      <w:proofErr w:type="spellEnd"/>
      <w:r w:rsidRPr="00AD32BB">
        <w:rPr>
          <w:rFonts w:ascii="Courier New" w:hAnsi="Courier New" w:cs="Courier New"/>
          <w:color w:val="000000"/>
          <w:sz w:val="20"/>
          <w:szCs w:val="20"/>
          <w:shd w:val="clear" w:color="auto" w:fill="FFFFFF"/>
          <w:lang w:val="en-US"/>
        </w:rPr>
        <w:t>=</w:t>
      </w:r>
      <w:proofErr w:type="gramEnd"/>
      <w:r w:rsidRPr="00AD32BB">
        <w:rPr>
          <w:rFonts w:ascii="Courier New" w:hAnsi="Courier New" w:cs="Courier New"/>
          <w:b/>
          <w:bCs/>
          <w:color w:val="008080"/>
          <w:sz w:val="20"/>
          <w:szCs w:val="20"/>
          <w:shd w:val="clear" w:color="auto" w:fill="FFFFFF"/>
          <w:lang w:val="en-US"/>
        </w:rPr>
        <w:t>32767</w:t>
      </w:r>
      <w:r w:rsidRPr="00AD32BB">
        <w:rPr>
          <w:rFonts w:ascii="Courier New" w:hAnsi="Courier New" w:cs="Courier New"/>
          <w:color w:val="000000"/>
          <w:sz w:val="20"/>
          <w:szCs w:val="20"/>
          <w:shd w:val="clear" w:color="auto" w:fill="FFFFFF"/>
          <w:lang w:val="en-US"/>
        </w:rPr>
        <w:t xml:space="preserv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proofErr w:type="spellStart"/>
      <w:proofErr w:type="gramStart"/>
      <w:r w:rsidRPr="00AD32BB">
        <w:rPr>
          <w:rFonts w:ascii="Courier New" w:hAnsi="Courier New" w:cs="Courier New"/>
          <w:color w:val="0000FF"/>
          <w:sz w:val="20"/>
          <w:szCs w:val="20"/>
          <w:shd w:val="clear" w:color="auto" w:fill="FFFFFF"/>
          <w:lang w:val="en-US"/>
        </w:rPr>
        <w:t>firstobs</w:t>
      </w:r>
      <w:proofErr w:type="spellEnd"/>
      <w:r w:rsidRPr="00AD32BB">
        <w:rPr>
          <w:rFonts w:ascii="Courier New" w:hAnsi="Courier New" w:cs="Courier New"/>
          <w:color w:val="000000"/>
          <w:sz w:val="20"/>
          <w:szCs w:val="20"/>
          <w:shd w:val="clear" w:color="auto" w:fill="FFFFFF"/>
          <w:lang w:val="en-US"/>
        </w:rPr>
        <w:t>=</w:t>
      </w:r>
      <w:proofErr w:type="gramEnd"/>
      <w:r w:rsidRPr="00AD32BB">
        <w:rPr>
          <w:rFonts w:ascii="Courier New" w:hAnsi="Courier New" w:cs="Courier New"/>
          <w:b/>
          <w:bCs/>
          <w:color w:val="008080"/>
          <w:sz w:val="20"/>
          <w:szCs w:val="20"/>
          <w:shd w:val="clear" w:color="auto" w:fill="FFFFFF"/>
          <w:lang w:val="en-US"/>
        </w:rPr>
        <w:t>2</w:t>
      </w:r>
      <w:r w:rsidRPr="00AD32BB">
        <w:rPr>
          <w:rFonts w:ascii="Courier New" w:hAnsi="Courier New" w:cs="Courier New"/>
          <w:color w:val="000000"/>
          <w:sz w:val="20"/>
          <w:szCs w:val="20"/>
          <w:shd w:val="clear" w:color="auto" w:fill="FFFFFF"/>
          <w:lang w:val="en-US"/>
        </w:rPr>
        <w:t xml:space="preserv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proofErr w:type="gramStart"/>
      <w:r w:rsidRPr="00AD32BB">
        <w:rPr>
          <w:rFonts w:ascii="Courier New" w:hAnsi="Courier New" w:cs="Courier New"/>
          <w:color w:val="0000FF"/>
          <w:sz w:val="20"/>
          <w:szCs w:val="20"/>
          <w:shd w:val="clear" w:color="auto" w:fill="FFFFFF"/>
          <w:lang w:val="en-US"/>
        </w:rPr>
        <w:t>input</w:t>
      </w:r>
      <w:proofErr w:type="gramEnd"/>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r>
      <w:proofErr w:type="spellStart"/>
      <w:r w:rsidRPr="00AD32BB">
        <w:rPr>
          <w:rFonts w:ascii="Courier New" w:hAnsi="Courier New" w:cs="Courier New"/>
          <w:color w:val="000000"/>
          <w:sz w:val="20"/>
          <w:szCs w:val="20"/>
          <w:shd w:val="clear" w:color="auto" w:fill="FFFFFF"/>
          <w:lang w:val="en-US"/>
        </w:rPr>
        <w:t>Study_ID</w:t>
      </w:r>
      <w:proofErr w:type="spellEnd"/>
      <w:r w:rsidRPr="00AD32BB">
        <w:rPr>
          <w:rFonts w:ascii="Courier New" w:hAnsi="Courier New" w:cs="Courier New"/>
          <w:color w:val="000000"/>
          <w:sz w:val="20"/>
          <w:szCs w:val="20"/>
          <w:shd w:val="clear" w:color="auto" w:fill="FFFFFF"/>
          <w:lang w:val="en-US"/>
        </w:rPr>
        <w:t xml:space="preserv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r>
      <w:proofErr w:type="spellStart"/>
      <w:r w:rsidRPr="00AD32BB">
        <w:rPr>
          <w:rFonts w:ascii="Courier New" w:hAnsi="Courier New" w:cs="Courier New"/>
          <w:color w:val="000000"/>
          <w:sz w:val="20"/>
          <w:szCs w:val="20"/>
          <w:shd w:val="clear" w:color="auto" w:fill="FFFFFF"/>
          <w:lang w:val="en-US"/>
        </w:rPr>
        <w:t>Year_of_study</w:t>
      </w:r>
      <w:proofErr w:type="spellEnd"/>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TP</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FP</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TN</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 xml:space="preserve">FN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Age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Location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Location1 $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ab/>
      </w:r>
      <w:r w:rsidRPr="00AD32BB">
        <w:rPr>
          <w:rFonts w:ascii="Courier New" w:hAnsi="Courier New" w:cs="Courier New"/>
          <w:color w:val="000000"/>
          <w:sz w:val="20"/>
          <w:szCs w:val="20"/>
          <w:shd w:val="clear" w:color="auto" w:fill="FFFFFF"/>
          <w:lang w:val="en-US"/>
        </w:rPr>
        <w:tab/>
        <w:t>Age1 $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 xml:space="preserve">      ;</w:t>
      </w:r>
    </w:p>
    <w:p w:rsidR="00AD32BB" w:rsidRPr="00AD32BB" w:rsidRDefault="00AD32BB" w:rsidP="00AD32BB">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AD32BB">
        <w:rPr>
          <w:rFonts w:ascii="Courier New" w:hAnsi="Courier New" w:cs="Courier New"/>
          <w:color w:val="000000"/>
          <w:sz w:val="20"/>
          <w:szCs w:val="20"/>
          <w:shd w:val="clear" w:color="auto" w:fill="FFFFFF"/>
          <w:lang w:val="en-US"/>
        </w:rPr>
        <w:t xml:space="preserve">  </w:t>
      </w:r>
      <w:proofErr w:type="gramStart"/>
      <w:r w:rsidRPr="00AD32BB">
        <w:rPr>
          <w:rFonts w:ascii="Courier New" w:hAnsi="Courier New" w:cs="Courier New"/>
          <w:color w:val="0000FF"/>
          <w:sz w:val="20"/>
          <w:szCs w:val="20"/>
          <w:shd w:val="clear" w:color="auto" w:fill="FFFFFF"/>
          <w:lang w:val="en-US"/>
        </w:rPr>
        <w:t>run</w:t>
      </w:r>
      <w:proofErr w:type="gramEnd"/>
      <w:r w:rsidRPr="00AD32BB">
        <w:rPr>
          <w:rFonts w:ascii="Courier New" w:hAnsi="Courier New" w:cs="Courier New"/>
          <w:color w:val="000000"/>
          <w:sz w:val="20"/>
          <w:szCs w:val="20"/>
          <w:shd w:val="clear" w:color="auto" w:fill="FFFFFF"/>
          <w:lang w:val="en-US"/>
        </w:rPr>
        <w:t>;</w:t>
      </w:r>
    </w:p>
    <w:p w:rsidR="00AD32BB" w:rsidRPr="00AD32BB" w:rsidRDefault="00AD32BB" w:rsidP="00AD32BB">
      <w:pPr>
        <w:ind w:left="360"/>
        <w:rPr>
          <w:lang w:val="en-US"/>
        </w:rPr>
      </w:pPr>
      <w:r w:rsidRPr="00AD32BB">
        <w:rPr>
          <w:rFonts w:ascii="Courier New" w:hAnsi="Courier New" w:cs="Courier New"/>
          <w:color w:val="000000"/>
          <w:sz w:val="20"/>
          <w:szCs w:val="20"/>
          <w:shd w:val="clear" w:color="auto" w:fill="FFFFFF"/>
          <w:lang w:val="en-US"/>
        </w:rPr>
        <w:t xml:space="preserve">  </w:t>
      </w:r>
      <w:proofErr w:type="gramStart"/>
      <w:r w:rsidRPr="00AD32BB">
        <w:rPr>
          <w:rFonts w:ascii="Courier New" w:hAnsi="Courier New" w:cs="Courier New"/>
          <w:b/>
          <w:bCs/>
          <w:color w:val="000080"/>
          <w:sz w:val="20"/>
          <w:szCs w:val="20"/>
          <w:shd w:val="clear" w:color="auto" w:fill="FFFFFF"/>
          <w:lang w:val="en-US"/>
        </w:rPr>
        <w:t>quit</w:t>
      </w:r>
      <w:proofErr w:type="gramEnd"/>
      <w:r w:rsidRPr="00AD32BB">
        <w:rPr>
          <w:rFonts w:ascii="Courier New" w:hAnsi="Courier New" w:cs="Courier New"/>
          <w:color w:val="000000"/>
          <w:sz w:val="20"/>
          <w:szCs w:val="20"/>
          <w:shd w:val="clear" w:color="auto" w:fill="FFFFFF"/>
          <w:lang w:val="en-US"/>
        </w:rPr>
        <w:t>;</w:t>
      </w:r>
    </w:p>
    <w:p w:rsidR="00AD32BB" w:rsidRDefault="00AD32BB" w:rsidP="00AD32BB">
      <w:pPr>
        <w:pStyle w:val="ListParagraph"/>
        <w:numPr>
          <w:ilvl w:val="0"/>
          <w:numId w:val="3"/>
        </w:numPr>
        <w:rPr>
          <w:lang w:val="en-US"/>
        </w:rPr>
      </w:pPr>
      <w:r>
        <w:rPr>
          <w:lang w:val="en-US"/>
        </w:rPr>
        <w:t>Fit a model with age1 (dichotomous variable from the variable age) and location1 (dichotomous variable from the variable location) as covariates.</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w:t>
      </w:r>
      <w:proofErr w:type="spellStart"/>
      <w:proofErr w:type="gramStart"/>
      <w:r w:rsidRPr="000450E7">
        <w:rPr>
          <w:rFonts w:ascii="Courier New" w:hAnsi="Courier New" w:cs="Courier New"/>
          <w:b/>
          <w:bCs/>
          <w:i/>
          <w:iCs/>
          <w:color w:val="000000"/>
          <w:sz w:val="20"/>
          <w:szCs w:val="20"/>
          <w:shd w:val="clear" w:color="auto" w:fill="FFFFFF"/>
          <w:lang w:val="en-US"/>
        </w:rPr>
        <w:t>madareg</w:t>
      </w:r>
      <w:proofErr w:type="spellEnd"/>
      <w:r w:rsidRPr="000450E7">
        <w:rPr>
          <w:rFonts w:ascii="Courier New" w:hAnsi="Courier New" w:cs="Courier New"/>
          <w:color w:val="000000"/>
          <w:sz w:val="20"/>
          <w:szCs w:val="20"/>
          <w:shd w:val="clear" w:color="auto" w:fill="FFFFFF"/>
          <w:lang w:val="en-US"/>
        </w:rPr>
        <w:t>(</w:t>
      </w:r>
      <w:proofErr w:type="gramEnd"/>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gramStart"/>
      <w:r w:rsidRPr="000450E7">
        <w:rPr>
          <w:rFonts w:ascii="Courier New" w:hAnsi="Courier New" w:cs="Courier New"/>
          <w:color w:val="000000"/>
          <w:sz w:val="20"/>
          <w:szCs w:val="20"/>
          <w:shd w:val="clear" w:color="auto" w:fill="FFFFFF"/>
          <w:lang w:val="en-US"/>
        </w:rPr>
        <w:t>import</w:t>
      </w:r>
      <w:proofErr w:type="gramEnd"/>
      <w:r w:rsidRPr="000450E7">
        <w:rPr>
          <w:rFonts w:ascii="Courier New" w:hAnsi="Courier New" w:cs="Courier New"/>
          <w:color w:val="000000"/>
          <w:sz w:val="20"/>
          <w:szCs w:val="20"/>
          <w:shd w:val="clear" w:color="auto" w:fill="FFFFFF"/>
          <w:lang w:val="en-US"/>
        </w:rPr>
        <w:t xml:space="preserve"> = N,</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dsname</w:t>
      </w:r>
      <w:proofErr w:type="spellEnd"/>
      <w:proofErr w:type="gramEnd"/>
      <w:r w:rsidRPr="000450E7">
        <w:rPr>
          <w:rFonts w:ascii="Courier New" w:hAnsi="Courier New" w:cs="Courier New"/>
          <w:color w:val="000000"/>
          <w:sz w:val="20"/>
          <w:szCs w:val="20"/>
          <w:shd w:val="clear" w:color="auto" w:fill="FFFFFF"/>
          <w:lang w:val="en-US"/>
        </w:rPr>
        <w:t xml:space="preserve"> = data25,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tp</w:t>
      </w:r>
      <w:proofErr w:type="spellEnd"/>
      <w:proofErr w:type="gramEnd"/>
      <w:r w:rsidRPr="000450E7">
        <w:rPr>
          <w:rFonts w:ascii="Courier New" w:hAnsi="Courier New" w:cs="Courier New"/>
          <w:color w:val="000000"/>
          <w:sz w:val="20"/>
          <w:szCs w:val="20"/>
          <w:shd w:val="clear" w:color="auto" w:fill="FFFFFF"/>
          <w:lang w:val="en-US"/>
        </w:rPr>
        <w:t xml:space="preserve"> = TP,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fp</w:t>
      </w:r>
      <w:proofErr w:type="spellEnd"/>
      <w:proofErr w:type="gramEnd"/>
      <w:r w:rsidRPr="000450E7">
        <w:rPr>
          <w:rFonts w:ascii="Courier New" w:hAnsi="Courier New" w:cs="Courier New"/>
          <w:color w:val="000000"/>
          <w:sz w:val="20"/>
          <w:szCs w:val="20"/>
          <w:shd w:val="clear" w:color="auto" w:fill="FFFFFF"/>
          <w:lang w:val="en-US"/>
        </w:rPr>
        <w:t xml:space="preserve"> = FP,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fn</w:t>
      </w:r>
      <w:proofErr w:type="spellEnd"/>
      <w:proofErr w:type="gramEnd"/>
      <w:r w:rsidRPr="000450E7">
        <w:rPr>
          <w:rFonts w:ascii="Courier New" w:hAnsi="Courier New" w:cs="Courier New"/>
          <w:color w:val="000000"/>
          <w:sz w:val="20"/>
          <w:szCs w:val="20"/>
          <w:shd w:val="clear" w:color="auto" w:fill="FFFFFF"/>
          <w:lang w:val="en-US"/>
        </w:rPr>
        <w:t xml:space="preserve"> = FN,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tn</w:t>
      </w:r>
      <w:proofErr w:type="spellEnd"/>
      <w:proofErr w:type="gramEnd"/>
      <w:r w:rsidRPr="000450E7">
        <w:rPr>
          <w:rFonts w:ascii="Courier New" w:hAnsi="Courier New" w:cs="Courier New"/>
          <w:color w:val="000000"/>
          <w:sz w:val="20"/>
          <w:szCs w:val="20"/>
          <w:shd w:val="clear" w:color="auto" w:fill="FFFFFF"/>
          <w:lang w:val="en-US"/>
        </w:rPr>
        <w:t xml:space="preserve"> = TN,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gramStart"/>
      <w:r w:rsidRPr="000450E7">
        <w:rPr>
          <w:rFonts w:ascii="Courier New" w:hAnsi="Courier New" w:cs="Courier New"/>
          <w:color w:val="000000"/>
          <w:sz w:val="20"/>
          <w:szCs w:val="20"/>
          <w:shd w:val="clear" w:color="auto" w:fill="FFFFFF"/>
          <w:lang w:val="en-US"/>
        </w:rPr>
        <w:t>subject</w:t>
      </w:r>
      <w:proofErr w:type="gramEnd"/>
      <w:r w:rsidRPr="000450E7">
        <w:rPr>
          <w:rFonts w:ascii="Courier New" w:hAnsi="Courier New" w:cs="Courier New"/>
          <w:color w:val="000000"/>
          <w:sz w:val="20"/>
          <w:szCs w:val="20"/>
          <w:shd w:val="clear" w:color="auto" w:fill="FFFFFF"/>
          <w:lang w:val="en-US"/>
        </w:rPr>
        <w:t xml:space="preserve"> = </w:t>
      </w:r>
      <w:proofErr w:type="spellStart"/>
      <w:r w:rsidRPr="000450E7">
        <w:rPr>
          <w:rFonts w:ascii="Courier New" w:hAnsi="Courier New" w:cs="Courier New"/>
          <w:color w:val="000000"/>
          <w:sz w:val="20"/>
          <w:szCs w:val="20"/>
          <w:shd w:val="clear" w:color="auto" w:fill="FFFFFF"/>
          <w:lang w:val="en-US"/>
        </w:rPr>
        <w:t>study_id</w:t>
      </w:r>
      <w:proofErr w:type="spellEnd"/>
      <w:r w:rsidRPr="000450E7">
        <w:rPr>
          <w:rFonts w:ascii="Courier New" w:hAnsi="Courier New" w:cs="Courier New"/>
          <w:color w:val="000000"/>
          <w:sz w:val="20"/>
          <w:szCs w:val="20"/>
          <w:shd w:val="clear" w:color="auto" w:fill="FFFFFF"/>
          <w:lang w:val="en-US"/>
        </w:rPr>
        <w:t xml:space="preserve">,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gramStart"/>
      <w:r w:rsidRPr="000450E7">
        <w:rPr>
          <w:rFonts w:ascii="Courier New" w:hAnsi="Courier New" w:cs="Courier New"/>
          <w:color w:val="000000"/>
          <w:sz w:val="20"/>
          <w:szCs w:val="20"/>
          <w:shd w:val="clear" w:color="auto" w:fill="FFFFFF"/>
          <w:lang w:val="en-US"/>
        </w:rPr>
        <w:t>covariate</w:t>
      </w:r>
      <w:proofErr w:type="gramEnd"/>
      <w:r w:rsidRPr="000450E7">
        <w:rPr>
          <w:rFonts w:ascii="Courier New" w:hAnsi="Courier New" w:cs="Courier New"/>
          <w:color w:val="000000"/>
          <w:sz w:val="20"/>
          <w:szCs w:val="20"/>
          <w:shd w:val="clear" w:color="auto" w:fill="FFFFFF"/>
          <w:lang w:val="en-US"/>
        </w:rPr>
        <w:t xml:space="preserve"> = Age1 Location1,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cvref</w:t>
      </w:r>
      <w:proofErr w:type="spellEnd"/>
      <w:proofErr w:type="gramEnd"/>
      <w:r w:rsidRPr="000450E7">
        <w:rPr>
          <w:rFonts w:ascii="Courier New" w:hAnsi="Courier New" w:cs="Courier New"/>
          <w:color w:val="000000"/>
          <w:sz w:val="20"/>
          <w:szCs w:val="20"/>
          <w:shd w:val="clear" w:color="auto" w:fill="FFFFFF"/>
          <w:lang w:val="en-US"/>
        </w:rPr>
        <w:t xml:space="preserve"> = </w:t>
      </w:r>
      <w:r w:rsidRPr="000450E7">
        <w:rPr>
          <w:rFonts w:ascii="Courier New" w:hAnsi="Courier New" w:cs="Courier New"/>
          <w:b/>
          <w:bCs/>
          <w:color w:val="008080"/>
          <w:sz w:val="20"/>
          <w:szCs w:val="20"/>
          <w:shd w:val="clear" w:color="auto" w:fill="FFFFFF"/>
          <w:lang w:val="en-US"/>
        </w:rPr>
        <w:t>0</w:t>
      </w:r>
      <w:r w:rsidRPr="000450E7">
        <w:rPr>
          <w:rFonts w:ascii="Courier New" w:hAnsi="Courier New" w:cs="Courier New"/>
          <w:color w:val="000000"/>
          <w:sz w:val="20"/>
          <w:szCs w:val="20"/>
          <w:shd w:val="clear" w:color="auto" w:fill="FFFFFF"/>
          <w:lang w:val="en-US"/>
        </w:rPr>
        <w:t xml:space="preserve"> </w:t>
      </w:r>
      <w:r w:rsidRPr="000450E7">
        <w:rPr>
          <w:rFonts w:ascii="Courier New" w:hAnsi="Courier New" w:cs="Courier New"/>
          <w:b/>
          <w:bCs/>
          <w:color w:val="008080"/>
          <w:sz w:val="20"/>
          <w:szCs w:val="20"/>
          <w:shd w:val="clear" w:color="auto" w:fill="FFFFFF"/>
          <w:lang w:val="en-US"/>
        </w:rPr>
        <w:t>0</w:t>
      </w:r>
      <w:r w:rsidRPr="000450E7">
        <w:rPr>
          <w:rFonts w:ascii="Courier New" w:hAnsi="Courier New" w:cs="Courier New"/>
          <w:color w:val="000000"/>
          <w:sz w:val="20"/>
          <w:szCs w:val="20"/>
          <w:shd w:val="clear" w:color="auto" w:fill="FFFFFF"/>
          <w:lang w:val="en-US"/>
        </w:rPr>
        <w:t xml:space="preserve">,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sortcv</w:t>
      </w:r>
      <w:proofErr w:type="spellEnd"/>
      <w:proofErr w:type="gramEnd"/>
      <w:r w:rsidRPr="000450E7">
        <w:rPr>
          <w:rFonts w:ascii="Courier New" w:hAnsi="Courier New" w:cs="Courier New"/>
          <w:color w:val="000000"/>
          <w:sz w:val="20"/>
          <w:szCs w:val="20"/>
          <w:shd w:val="clear" w:color="auto" w:fill="FFFFFF"/>
          <w:lang w:val="en-US"/>
        </w:rPr>
        <w:t xml:space="preserve"> = D </w:t>
      </w:r>
      <w:proofErr w:type="spellStart"/>
      <w:r w:rsidRPr="000450E7">
        <w:rPr>
          <w:rFonts w:ascii="Courier New" w:hAnsi="Courier New" w:cs="Courier New"/>
          <w:color w:val="000000"/>
          <w:sz w:val="20"/>
          <w:szCs w:val="20"/>
          <w:shd w:val="clear" w:color="auto" w:fill="FFFFFF"/>
          <w:lang w:val="en-US"/>
        </w:rPr>
        <w:t>D</w:t>
      </w:r>
      <w:proofErr w:type="spellEnd"/>
      <w:r w:rsidRPr="000450E7">
        <w:rPr>
          <w:rFonts w:ascii="Courier New" w:hAnsi="Courier New" w:cs="Courier New"/>
          <w:color w:val="000000"/>
          <w:sz w:val="20"/>
          <w:szCs w:val="20"/>
          <w:shd w:val="clear" w:color="auto" w:fill="FFFFFF"/>
          <w:lang w:val="en-US"/>
        </w:rPr>
        <w:t xml:space="preserve">,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spellStart"/>
      <w:proofErr w:type="gramStart"/>
      <w:r w:rsidRPr="000450E7">
        <w:rPr>
          <w:rFonts w:ascii="Courier New" w:hAnsi="Courier New" w:cs="Courier New"/>
          <w:color w:val="000000"/>
          <w:sz w:val="20"/>
          <w:szCs w:val="20"/>
          <w:shd w:val="clear" w:color="auto" w:fill="FFFFFF"/>
          <w:lang w:val="en-US"/>
        </w:rPr>
        <w:t>cvtype</w:t>
      </w:r>
      <w:proofErr w:type="spellEnd"/>
      <w:proofErr w:type="gramEnd"/>
      <w:r w:rsidRPr="000450E7">
        <w:rPr>
          <w:rFonts w:ascii="Courier New" w:hAnsi="Courier New" w:cs="Courier New"/>
          <w:color w:val="000000"/>
          <w:sz w:val="20"/>
          <w:szCs w:val="20"/>
          <w:shd w:val="clear" w:color="auto" w:fill="FFFFFF"/>
          <w:lang w:val="en-US"/>
        </w:rPr>
        <w:t xml:space="preserve"> = CAT </w:t>
      </w:r>
      <w:proofErr w:type="spellStart"/>
      <w:r w:rsidRPr="000450E7">
        <w:rPr>
          <w:rFonts w:ascii="Courier New" w:hAnsi="Courier New" w:cs="Courier New"/>
          <w:color w:val="000000"/>
          <w:sz w:val="20"/>
          <w:szCs w:val="20"/>
          <w:shd w:val="clear" w:color="auto" w:fill="FFFFFF"/>
          <w:lang w:val="en-US"/>
        </w:rPr>
        <w:t>CAT</w:t>
      </w:r>
      <w:proofErr w:type="spellEnd"/>
      <w:r w:rsidRPr="000450E7">
        <w:rPr>
          <w:rFonts w:ascii="Courier New" w:hAnsi="Courier New" w:cs="Courier New"/>
          <w:color w:val="000000"/>
          <w:sz w:val="20"/>
          <w:szCs w:val="20"/>
          <w:shd w:val="clear" w:color="auto" w:fill="FFFFFF"/>
          <w:lang w:val="en-US"/>
        </w:rPr>
        <w:t xml:space="preserve">,  </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gramStart"/>
      <w:r w:rsidRPr="000450E7">
        <w:rPr>
          <w:rFonts w:ascii="Courier New" w:hAnsi="Courier New" w:cs="Courier New"/>
          <w:color w:val="000000"/>
          <w:sz w:val="20"/>
          <w:szCs w:val="20"/>
          <w:shd w:val="clear" w:color="auto" w:fill="FFFFFF"/>
          <w:lang w:val="en-US"/>
        </w:rPr>
        <w:t>relax</w:t>
      </w:r>
      <w:proofErr w:type="gramEnd"/>
      <w:r w:rsidRPr="000450E7">
        <w:rPr>
          <w:rFonts w:ascii="Courier New" w:hAnsi="Courier New" w:cs="Courier New"/>
          <w:color w:val="000000"/>
          <w:sz w:val="20"/>
          <w:szCs w:val="20"/>
          <w:shd w:val="clear" w:color="auto" w:fill="FFFFFF"/>
          <w:lang w:val="en-US"/>
        </w:rPr>
        <w:t>= N,</w:t>
      </w:r>
    </w:p>
    <w:p w:rsidR="000450E7" w:rsidRPr="000450E7" w:rsidRDefault="000450E7" w:rsidP="000450E7">
      <w:pPr>
        <w:autoSpaceDE w:val="0"/>
        <w:autoSpaceDN w:val="0"/>
        <w:adjustRightInd w:val="0"/>
        <w:spacing w:before="0" w:after="0" w:line="240" w:lineRule="auto"/>
        <w:ind w:left="360"/>
        <w:rPr>
          <w:rFonts w:ascii="Courier New" w:hAnsi="Courier New" w:cs="Courier New"/>
          <w:color w:val="000000"/>
          <w:sz w:val="20"/>
          <w:szCs w:val="20"/>
          <w:shd w:val="clear" w:color="auto" w:fill="FFFFFF"/>
          <w:lang w:val="en-US"/>
        </w:rPr>
      </w:pPr>
      <w:r w:rsidRPr="000450E7">
        <w:rPr>
          <w:rFonts w:ascii="Courier New" w:hAnsi="Courier New" w:cs="Courier New"/>
          <w:color w:val="000000"/>
          <w:sz w:val="20"/>
          <w:szCs w:val="20"/>
          <w:shd w:val="clear" w:color="auto" w:fill="FFFFFF"/>
          <w:lang w:val="en-US"/>
        </w:rPr>
        <w:tab/>
      </w:r>
      <w:proofErr w:type="gramStart"/>
      <w:r w:rsidRPr="000450E7">
        <w:rPr>
          <w:rFonts w:ascii="Courier New" w:hAnsi="Courier New" w:cs="Courier New"/>
          <w:color w:val="000000"/>
          <w:sz w:val="20"/>
          <w:szCs w:val="20"/>
          <w:shd w:val="clear" w:color="auto" w:fill="FFFFFF"/>
          <w:lang w:val="en-US"/>
        </w:rPr>
        <w:t>model</w:t>
      </w:r>
      <w:proofErr w:type="gramEnd"/>
      <w:r w:rsidRPr="000450E7">
        <w:rPr>
          <w:rFonts w:ascii="Courier New" w:hAnsi="Courier New" w:cs="Courier New"/>
          <w:color w:val="000000"/>
          <w:sz w:val="20"/>
          <w:szCs w:val="20"/>
          <w:shd w:val="clear" w:color="auto" w:fill="FFFFFF"/>
          <w:lang w:val="en-US"/>
        </w:rPr>
        <w:t xml:space="preserve"> = RE,</w:t>
      </w:r>
    </w:p>
    <w:p w:rsidR="00AD32BB" w:rsidRPr="000450E7" w:rsidRDefault="000450E7" w:rsidP="000450E7">
      <w:pPr>
        <w:ind w:left="360"/>
        <w:rPr>
          <w:lang w:val="en-US"/>
        </w:rPr>
      </w:pPr>
      <w:r w:rsidRPr="000450E7">
        <w:rPr>
          <w:rFonts w:ascii="Courier New" w:hAnsi="Courier New" w:cs="Courier New"/>
          <w:color w:val="000000"/>
          <w:sz w:val="20"/>
          <w:szCs w:val="20"/>
          <w:shd w:val="clear" w:color="auto" w:fill="FFFFFF"/>
          <w:lang w:val="en-US"/>
        </w:rPr>
        <w:tab/>
      </w:r>
      <w:proofErr w:type="spellStart"/>
      <w:r w:rsidRPr="000450E7">
        <w:rPr>
          <w:rFonts w:ascii="Courier New" w:hAnsi="Courier New" w:cs="Courier New"/>
          <w:color w:val="000000"/>
          <w:sz w:val="20"/>
          <w:szCs w:val="20"/>
          <w:shd w:val="clear" w:color="auto" w:fill="FFFFFF"/>
          <w:lang w:val="en-US"/>
        </w:rPr>
        <w:t>rfile</w:t>
      </w:r>
      <w:proofErr w:type="spellEnd"/>
      <w:r w:rsidRPr="000450E7">
        <w:rPr>
          <w:rFonts w:ascii="Courier New" w:hAnsi="Courier New" w:cs="Courier New"/>
          <w:color w:val="000000"/>
          <w:sz w:val="20"/>
          <w:szCs w:val="20"/>
          <w:shd w:val="clear" w:color="auto" w:fill="FFFFFF"/>
          <w:lang w:val="en-US"/>
        </w:rPr>
        <w:t>=</w:t>
      </w:r>
      <w:r w:rsidRPr="000450E7">
        <w:rPr>
          <w:rFonts w:ascii="Courier New" w:hAnsi="Courier New" w:cs="Courier New"/>
          <w:color w:val="800080"/>
          <w:sz w:val="20"/>
          <w:szCs w:val="20"/>
          <w:shd w:val="clear" w:color="auto" w:fill="FFFFFF"/>
          <w:lang w:val="en-US"/>
        </w:rPr>
        <w:t>"G:\PHD\Projects\</w:t>
      </w:r>
      <w:proofErr w:type="spellStart"/>
      <w:r w:rsidRPr="000450E7">
        <w:rPr>
          <w:rFonts w:ascii="Courier New" w:hAnsi="Courier New" w:cs="Courier New"/>
          <w:color w:val="800080"/>
          <w:sz w:val="20"/>
          <w:szCs w:val="20"/>
          <w:shd w:val="clear" w:color="auto" w:fill="FFFFFF"/>
          <w:lang w:val="en-US"/>
        </w:rPr>
        <w:t>Madareg</w:t>
      </w:r>
      <w:proofErr w:type="spellEnd"/>
      <w:r w:rsidRPr="000450E7">
        <w:rPr>
          <w:rFonts w:ascii="Courier New" w:hAnsi="Courier New" w:cs="Courier New"/>
          <w:color w:val="800080"/>
          <w:sz w:val="20"/>
          <w:szCs w:val="20"/>
          <w:shd w:val="clear" w:color="auto" w:fill="FFFFFF"/>
          <w:lang w:val="en-US"/>
        </w:rPr>
        <w:t>\Logs\Example25.rtf"</w:t>
      </w:r>
      <w:r w:rsidRPr="000450E7">
        <w:rPr>
          <w:rFonts w:ascii="Courier New" w:hAnsi="Courier New" w:cs="Courier New"/>
          <w:color w:val="000000"/>
          <w:sz w:val="20"/>
          <w:szCs w:val="20"/>
          <w:shd w:val="clear" w:color="auto" w:fill="FFFFFF"/>
          <w:lang w:val="en-US"/>
        </w:rPr>
        <w:t>);</w:t>
      </w:r>
    </w:p>
    <w:p w:rsidR="00AD32BB" w:rsidRDefault="00AD32BB" w:rsidP="00AD32BB">
      <w:pPr>
        <w:pStyle w:val="ListParagraph"/>
        <w:numPr>
          <w:ilvl w:val="0"/>
          <w:numId w:val="3"/>
        </w:numPr>
        <w:rPr>
          <w:lang w:val="en-US"/>
        </w:rPr>
      </w:pPr>
      <w:r>
        <w:rPr>
          <w:lang w:val="en-US"/>
        </w:rPr>
        <w:lastRenderedPageBreak/>
        <w:t xml:space="preserve">The SAS output is a word document found in </w:t>
      </w:r>
      <w:r w:rsidRPr="00BD3471">
        <w:rPr>
          <w:rFonts w:ascii="Courier New" w:hAnsi="Courier New" w:cs="Courier New"/>
          <w:color w:val="800080"/>
          <w:sz w:val="20"/>
          <w:szCs w:val="20"/>
          <w:shd w:val="clear" w:color="auto" w:fill="FFFFFF"/>
          <w:lang w:val="en-US"/>
        </w:rPr>
        <w:t>F:\PHD\Projects\Madareg\Logs\Example</w:t>
      </w:r>
      <w:r w:rsidR="00A666E4">
        <w:rPr>
          <w:rFonts w:ascii="Courier New" w:hAnsi="Courier New" w:cs="Courier New"/>
          <w:color w:val="800080"/>
          <w:sz w:val="20"/>
          <w:szCs w:val="20"/>
          <w:shd w:val="clear" w:color="auto" w:fill="FFFFFF"/>
          <w:lang w:val="en-US"/>
        </w:rPr>
        <w:t>25</w:t>
      </w:r>
      <w:r w:rsidRPr="00BD3471">
        <w:rPr>
          <w:rFonts w:ascii="Courier New" w:hAnsi="Courier New" w:cs="Courier New"/>
          <w:color w:val="800080"/>
          <w:sz w:val="20"/>
          <w:szCs w:val="20"/>
          <w:shd w:val="clear" w:color="auto" w:fill="FFFFFF"/>
          <w:lang w:val="en-US"/>
        </w:rPr>
        <w:t>.rtf</w:t>
      </w:r>
      <w:r>
        <w:rPr>
          <w:lang w:val="en-US"/>
        </w:rPr>
        <w:t xml:space="preserve">.  </w:t>
      </w:r>
    </w:p>
    <w:p w:rsidR="00AD32BB" w:rsidRDefault="00AD32BB" w:rsidP="00AD32BB">
      <w:pPr>
        <w:pStyle w:val="ListParagraph"/>
        <w:numPr>
          <w:ilvl w:val="0"/>
          <w:numId w:val="3"/>
        </w:numPr>
        <w:rPr>
          <w:lang w:val="en-US"/>
        </w:rPr>
      </w:pPr>
      <w:r>
        <w:rPr>
          <w:lang w:val="en-US"/>
        </w:rPr>
        <w:t xml:space="preserve">Results based on excerpts from the output </w:t>
      </w:r>
      <w:proofErr w:type="gramStart"/>
      <w:r>
        <w:rPr>
          <w:lang w:val="en-US"/>
        </w:rPr>
        <w:t xml:space="preserve">in  </w:t>
      </w:r>
      <w:r w:rsidRPr="00BD3471">
        <w:rPr>
          <w:rFonts w:ascii="Courier New" w:hAnsi="Courier New" w:cs="Courier New"/>
          <w:color w:val="800080"/>
          <w:sz w:val="20"/>
          <w:szCs w:val="20"/>
          <w:shd w:val="clear" w:color="auto" w:fill="FFFFFF"/>
          <w:lang w:val="en-US"/>
        </w:rPr>
        <w:t>F</w:t>
      </w:r>
      <w:proofErr w:type="gramEnd"/>
      <w:r w:rsidRPr="00BD3471">
        <w:rPr>
          <w:rFonts w:ascii="Courier New" w:hAnsi="Courier New" w:cs="Courier New"/>
          <w:color w:val="800080"/>
          <w:sz w:val="20"/>
          <w:szCs w:val="20"/>
          <w:shd w:val="clear" w:color="auto" w:fill="FFFFFF"/>
          <w:lang w:val="en-US"/>
        </w:rPr>
        <w:t>:\PHD\Projects\Madareg\Logs\Example</w:t>
      </w:r>
      <w:r w:rsidR="00A666E4">
        <w:rPr>
          <w:rFonts w:ascii="Courier New" w:hAnsi="Courier New" w:cs="Courier New"/>
          <w:color w:val="800080"/>
          <w:sz w:val="20"/>
          <w:szCs w:val="20"/>
          <w:shd w:val="clear" w:color="auto" w:fill="FFFFFF"/>
          <w:lang w:val="en-US"/>
        </w:rPr>
        <w:t>25</w:t>
      </w:r>
      <w:r w:rsidRPr="00BD3471">
        <w:rPr>
          <w:rFonts w:ascii="Courier New" w:hAnsi="Courier New" w:cs="Courier New"/>
          <w:color w:val="800080"/>
          <w:sz w:val="20"/>
          <w:szCs w:val="20"/>
          <w:shd w:val="clear" w:color="auto" w:fill="FFFFFF"/>
          <w:lang w:val="en-US"/>
        </w:rPr>
        <w:t>.rtf</w:t>
      </w:r>
      <w:r>
        <w:rPr>
          <w:lang w:val="en-US"/>
        </w:rPr>
        <w:t>.</w:t>
      </w:r>
    </w:p>
    <w:p w:rsidR="00C56E58" w:rsidRDefault="00C56E58" w:rsidP="00C56E58">
      <w:pPr>
        <w:pStyle w:val="ListParagraph"/>
        <w:rPr>
          <w:lang w:val="en-US"/>
        </w:rPr>
      </w:pPr>
      <w:r>
        <w:rPr>
          <w:lang w:val="en-US"/>
        </w:rPr>
        <w:t>The likelihood ratio test comparing the model with age and location as covariates against the null model is significant (p-value = 0.03</w:t>
      </w:r>
      <w:r w:rsidR="00685F42">
        <w:rPr>
          <w:lang w:val="en-US"/>
        </w:rPr>
        <w:t>3</w:t>
      </w:r>
      <w:r>
        <w:rPr>
          <w:lang w:val="en-US"/>
        </w:rPr>
        <w:t xml:space="preserve">). This </w:t>
      </w:r>
      <w:r w:rsidR="00685F42">
        <w:rPr>
          <w:lang w:val="en-US"/>
        </w:rPr>
        <w:t>suggests</w:t>
      </w:r>
      <w:r>
        <w:rPr>
          <w:lang w:val="en-US"/>
        </w:rPr>
        <w:t xml:space="preserve"> that there are differences in the diagnostic accuracy of HC2 by location after adjusting for age or vice-versa.</w:t>
      </w:r>
      <w:r w:rsidR="00685F42">
        <w:rPr>
          <w:lang w:val="en-US"/>
        </w:rPr>
        <w:t xml:space="preserve"> Indeed as seen in table 6, HC2 was more specific in the developed countries RSP =1.053 [1.004, 1.105].</w:t>
      </w:r>
    </w:p>
    <w:p w:rsidR="005058AD" w:rsidRDefault="005058AD" w:rsidP="00FB356E">
      <w:pPr>
        <w:pStyle w:val="ListParagraph"/>
        <w:rPr>
          <w:lang w:val="en-US"/>
        </w:rPr>
      </w:pPr>
    </w:p>
    <w:tbl>
      <w:tblPr>
        <w:tblW w:w="0" w:type="auto"/>
        <w:jc w:val="center"/>
        <w:tblInd w:w="-519" w:type="dxa"/>
        <w:tblLayout w:type="fixed"/>
        <w:tblCellMar>
          <w:left w:w="0" w:type="dxa"/>
          <w:right w:w="0" w:type="dxa"/>
        </w:tblCellMar>
        <w:tblLook w:val="0000" w:firstRow="0" w:lastRow="0" w:firstColumn="0" w:lastColumn="0" w:noHBand="0" w:noVBand="0"/>
      </w:tblPr>
      <w:tblGrid>
        <w:gridCol w:w="3420"/>
        <w:gridCol w:w="1089"/>
        <w:gridCol w:w="811"/>
        <w:gridCol w:w="800"/>
        <w:gridCol w:w="920"/>
      </w:tblGrid>
      <w:tr w:rsidR="00685F42" w:rsidRPr="00685F42" w:rsidTr="00685F42">
        <w:trPr>
          <w:cantSplit/>
          <w:tblHeader/>
          <w:jc w:val="center"/>
        </w:trPr>
        <w:tc>
          <w:tcPr>
            <w:tcW w:w="3420" w:type="dxa"/>
            <w:tcBorders>
              <w:top w:val="single" w:sz="4" w:space="0" w:color="4F493B"/>
              <w:left w:val="single" w:sz="4" w:space="0" w:color="4F493B"/>
              <w:bottom w:val="single" w:sz="2" w:space="0" w:color="4F493B"/>
              <w:right w:val="single" w:sz="2" w:space="0" w:color="4F493B"/>
            </w:tcBorders>
            <w:shd w:val="clear" w:color="auto" w:fill="E8E6DA"/>
            <w:tcMar>
              <w:left w:w="29" w:type="dxa"/>
              <w:right w:w="29" w:type="dxa"/>
            </w:tcMar>
            <w:vAlign w:val="bottom"/>
          </w:tcPr>
          <w:p w:rsidR="00685F42" w:rsidRPr="00685F42" w:rsidRDefault="00685F42" w:rsidP="001F006F">
            <w:pPr>
              <w:keepNext/>
              <w:adjustRightInd w:val="0"/>
              <w:spacing w:before="29" w:after="29"/>
              <w:rPr>
                <w:rFonts w:cs="Times New Roman"/>
                <w:b/>
                <w:bCs/>
                <w:color w:val="000000"/>
              </w:rPr>
            </w:pPr>
            <w:r w:rsidRPr="00685F42">
              <w:rPr>
                <w:rFonts w:cs="Times New Roman"/>
                <w:b/>
                <w:bCs/>
                <w:color w:val="000000"/>
              </w:rPr>
              <w:t>Parameter</w:t>
            </w:r>
          </w:p>
        </w:tc>
        <w:tc>
          <w:tcPr>
            <w:tcW w:w="1089"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685F42" w:rsidRPr="00685F42" w:rsidRDefault="00685F42" w:rsidP="001F006F">
            <w:pPr>
              <w:keepNext/>
              <w:adjustRightInd w:val="0"/>
              <w:spacing w:before="29" w:after="29"/>
              <w:jc w:val="right"/>
              <w:rPr>
                <w:rFonts w:cs="Times New Roman"/>
                <w:b/>
                <w:bCs/>
                <w:color w:val="000000"/>
              </w:rPr>
            </w:pPr>
            <w:r w:rsidRPr="00685F42">
              <w:rPr>
                <w:rFonts w:cs="Times New Roman"/>
                <w:b/>
                <w:bCs/>
                <w:color w:val="000000"/>
              </w:rPr>
              <w:t>Estimate</w:t>
            </w:r>
          </w:p>
        </w:tc>
        <w:tc>
          <w:tcPr>
            <w:tcW w:w="811"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685F42" w:rsidRPr="00685F42" w:rsidRDefault="00685F42" w:rsidP="001F006F">
            <w:pPr>
              <w:keepNext/>
              <w:adjustRightInd w:val="0"/>
              <w:spacing w:before="29" w:after="29"/>
              <w:jc w:val="right"/>
              <w:rPr>
                <w:rFonts w:cs="Times New Roman"/>
                <w:b/>
                <w:bCs/>
                <w:color w:val="000000"/>
              </w:rPr>
            </w:pPr>
            <w:r w:rsidRPr="00685F42">
              <w:rPr>
                <w:rFonts w:cs="Times New Roman"/>
                <w:b/>
                <w:bCs/>
                <w:color w:val="000000"/>
              </w:rPr>
              <w:t>Pr &gt; |z|</w:t>
            </w:r>
          </w:p>
        </w:tc>
        <w:tc>
          <w:tcPr>
            <w:tcW w:w="800"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685F42" w:rsidRPr="00685F42" w:rsidRDefault="00685F42" w:rsidP="001F006F">
            <w:pPr>
              <w:keepNext/>
              <w:adjustRightInd w:val="0"/>
              <w:spacing w:before="29" w:after="29"/>
              <w:jc w:val="right"/>
              <w:rPr>
                <w:rFonts w:cs="Times New Roman"/>
                <w:b/>
                <w:bCs/>
                <w:color w:val="000000"/>
              </w:rPr>
            </w:pPr>
            <w:r w:rsidRPr="00685F42">
              <w:rPr>
                <w:rFonts w:cs="Times New Roman"/>
                <w:b/>
                <w:bCs/>
                <w:color w:val="000000"/>
              </w:rPr>
              <w:t>Lower</w:t>
            </w:r>
          </w:p>
        </w:tc>
        <w:tc>
          <w:tcPr>
            <w:tcW w:w="920" w:type="dxa"/>
            <w:tcBorders>
              <w:top w:val="single" w:sz="4" w:space="0" w:color="4F493B"/>
              <w:left w:val="single" w:sz="3" w:space="0" w:color="4F493B"/>
              <w:bottom w:val="single" w:sz="2" w:space="0" w:color="4F493B"/>
              <w:right w:val="single" w:sz="2" w:space="0" w:color="4F493B"/>
            </w:tcBorders>
            <w:shd w:val="clear" w:color="auto" w:fill="E8E6DA"/>
            <w:tcMar>
              <w:left w:w="29" w:type="dxa"/>
              <w:right w:w="29" w:type="dxa"/>
            </w:tcMar>
            <w:vAlign w:val="bottom"/>
          </w:tcPr>
          <w:p w:rsidR="00685F42" w:rsidRPr="00685F42" w:rsidRDefault="00685F42" w:rsidP="001F006F">
            <w:pPr>
              <w:keepNext/>
              <w:adjustRightInd w:val="0"/>
              <w:spacing w:before="29" w:after="29"/>
              <w:jc w:val="right"/>
              <w:rPr>
                <w:rFonts w:cs="Times New Roman"/>
                <w:b/>
                <w:bCs/>
                <w:color w:val="000000"/>
              </w:rPr>
            </w:pPr>
            <w:r w:rsidRPr="00685F42">
              <w:rPr>
                <w:rFonts w:cs="Times New Roman"/>
                <w:b/>
                <w:bCs/>
                <w:color w:val="000000"/>
              </w:rPr>
              <w:t>Upper</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lang w:val="en-US"/>
              </w:rPr>
            </w:pPr>
            <w:r w:rsidRPr="00685F42">
              <w:rPr>
                <w:rFonts w:cs="Times New Roman"/>
                <w:color w:val="000000"/>
                <w:lang w:val="en-US"/>
              </w:rPr>
              <w:t xml:space="preserve">True positive OR Age1: 1 </w:t>
            </w:r>
            <w:proofErr w:type="spellStart"/>
            <w:r w:rsidRPr="00685F42">
              <w:rPr>
                <w:rFonts w:cs="Times New Roman"/>
                <w:color w:val="000000"/>
                <w:lang w:val="en-US"/>
              </w:rPr>
              <w:t>vs</w:t>
            </w:r>
            <w:proofErr w:type="spellEnd"/>
            <w:r w:rsidRPr="00685F42">
              <w:rPr>
                <w:rFonts w:cs="Times New Roman"/>
                <w:color w:val="000000"/>
                <w:lang w:val="en-US"/>
              </w:rPr>
              <w:t xml:space="preserve">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1.6265</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0.3172</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0.6266</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4.2217</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lang w:val="en-US"/>
              </w:rPr>
            </w:pPr>
            <w:r w:rsidRPr="00685F42">
              <w:rPr>
                <w:rFonts w:cs="Times New Roman"/>
                <w:color w:val="000000"/>
                <w:lang w:val="en-US"/>
              </w:rPr>
              <w:t xml:space="preserve">True negative OR Age1: 1 </w:t>
            </w:r>
            <w:proofErr w:type="spellStart"/>
            <w:r w:rsidRPr="00685F42">
              <w:rPr>
                <w:rFonts w:cs="Times New Roman"/>
                <w:color w:val="000000"/>
                <w:lang w:val="en-US"/>
              </w:rPr>
              <w:t>vs</w:t>
            </w:r>
            <w:proofErr w:type="spellEnd"/>
            <w:r w:rsidRPr="00685F42">
              <w:rPr>
                <w:rFonts w:cs="Times New Roman"/>
                <w:color w:val="000000"/>
                <w:lang w:val="en-US"/>
              </w:rPr>
              <w:t xml:space="preserve">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1.3272</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0.1634</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0.8912</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1.9764</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rPr>
            </w:pPr>
            <w:r w:rsidRPr="00685F42">
              <w:rPr>
                <w:rFonts w:cs="Times New Roman"/>
                <w:color w:val="000000"/>
              </w:rPr>
              <w:t>RSE Age1: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1.0451</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0.3194</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0.9581</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1.1399</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rPr>
            </w:pPr>
            <w:r w:rsidRPr="00685F42">
              <w:rPr>
                <w:rFonts w:cs="Times New Roman"/>
                <w:color w:val="000000"/>
              </w:rPr>
              <w:t>RSP Age1: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1.0373</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0.1590</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0.9857</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1.0916</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rPr>
            </w:pPr>
            <w:r w:rsidRPr="00685F42">
              <w:rPr>
                <w:rFonts w:cs="Times New Roman"/>
                <w:color w:val="000000"/>
              </w:rPr>
              <w:t>RDOR Age1: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2.1586</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0.1253</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0.8068</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5.7754</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rPr>
            </w:pPr>
            <w:r w:rsidRPr="00685F42">
              <w:rPr>
                <w:rFonts w:cs="Times New Roman"/>
                <w:color w:val="000000"/>
              </w:rPr>
              <w:t>True positive OR Location1: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1.8322</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0.2213</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0.6940</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4.8374</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lang w:val="en-US"/>
              </w:rPr>
            </w:pPr>
            <w:r w:rsidRPr="00685F42">
              <w:rPr>
                <w:rFonts w:cs="Times New Roman"/>
                <w:color w:val="000000"/>
                <w:lang w:val="en-US"/>
              </w:rPr>
              <w:t xml:space="preserve">True negative OR Location1: 1 </w:t>
            </w:r>
            <w:proofErr w:type="spellStart"/>
            <w:r w:rsidRPr="00685F42">
              <w:rPr>
                <w:rFonts w:cs="Times New Roman"/>
                <w:color w:val="000000"/>
                <w:lang w:val="en-US"/>
              </w:rPr>
              <w:t>vs</w:t>
            </w:r>
            <w:proofErr w:type="spellEnd"/>
            <w:r w:rsidRPr="00685F42">
              <w:rPr>
                <w:rFonts w:cs="Times New Roman"/>
                <w:color w:val="000000"/>
                <w:lang w:val="en-US"/>
              </w:rPr>
              <w:t xml:space="preserve">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1.5312</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0.0367</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1.0267</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2.2837</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rPr>
            </w:pPr>
            <w:r w:rsidRPr="00685F42">
              <w:rPr>
                <w:rFonts w:cs="Times New Roman"/>
                <w:color w:val="000000"/>
              </w:rPr>
              <w:t>RSE Location1: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1.0536</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0.2120</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0.9706</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1.1437</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keepNext/>
              <w:adjustRightInd w:val="0"/>
              <w:spacing w:before="29" w:after="29"/>
              <w:rPr>
                <w:rFonts w:cs="Times New Roman"/>
                <w:color w:val="000000"/>
              </w:rPr>
            </w:pPr>
            <w:r w:rsidRPr="00685F42">
              <w:rPr>
                <w:rFonts w:cs="Times New Roman"/>
                <w:color w:val="000000"/>
              </w:rPr>
              <w:t>RSP Location1: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keepNext/>
              <w:adjustRightInd w:val="0"/>
              <w:spacing w:before="29" w:after="29"/>
              <w:jc w:val="right"/>
              <w:rPr>
                <w:rFonts w:cs="Times New Roman"/>
                <w:color w:val="000000"/>
              </w:rPr>
            </w:pPr>
            <w:r w:rsidRPr="00685F42">
              <w:rPr>
                <w:rFonts w:cs="Times New Roman"/>
                <w:color w:val="000000"/>
              </w:rPr>
              <w:t>1.0533</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keepNext/>
              <w:adjustRightInd w:val="0"/>
              <w:spacing w:before="29" w:after="29"/>
              <w:jc w:val="right"/>
              <w:rPr>
                <w:rFonts w:cs="Times New Roman"/>
                <w:color w:val="000000"/>
              </w:rPr>
            </w:pPr>
            <w:r w:rsidRPr="00685F42">
              <w:rPr>
                <w:rFonts w:cs="Times New Roman"/>
                <w:color w:val="000000"/>
              </w:rPr>
              <w:t>0.0333</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keepNext/>
              <w:adjustRightInd w:val="0"/>
              <w:spacing w:before="29" w:after="29"/>
              <w:jc w:val="right"/>
              <w:rPr>
                <w:rFonts w:cs="Times New Roman"/>
                <w:color w:val="000000"/>
              </w:rPr>
            </w:pPr>
            <w:r w:rsidRPr="00685F42">
              <w:rPr>
                <w:rFonts w:cs="Times New Roman"/>
                <w:color w:val="000000"/>
              </w:rPr>
              <w:t>1.0041</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keepNext/>
              <w:adjustRightInd w:val="0"/>
              <w:spacing w:before="29" w:after="29"/>
              <w:jc w:val="right"/>
              <w:rPr>
                <w:rFonts w:cs="Times New Roman"/>
                <w:color w:val="000000"/>
              </w:rPr>
            </w:pPr>
            <w:r w:rsidRPr="00685F42">
              <w:rPr>
                <w:rFonts w:cs="Times New Roman"/>
                <w:color w:val="000000"/>
              </w:rPr>
              <w:t>1.1049</w:t>
            </w:r>
          </w:p>
        </w:tc>
      </w:tr>
      <w:tr w:rsidR="00685F42" w:rsidRPr="00685F42" w:rsidTr="00685F42">
        <w:trPr>
          <w:cantSplit/>
          <w:jc w:val="center"/>
        </w:trPr>
        <w:tc>
          <w:tcPr>
            <w:tcW w:w="3420" w:type="dxa"/>
            <w:tcBorders>
              <w:top w:val="nil"/>
              <w:left w:val="single" w:sz="4"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rPr>
                <w:rFonts w:cs="Times New Roman"/>
                <w:color w:val="000000"/>
              </w:rPr>
            </w:pPr>
            <w:r w:rsidRPr="00685F42">
              <w:rPr>
                <w:rFonts w:cs="Times New Roman"/>
                <w:color w:val="000000"/>
              </w:rPr>
              <w:t>RDOR Location1: 1 vs 0</w:t>
            </w:r>
          </w:p>
        </w:tc>
        <w:tc>
          <w:tcPr>
            <w:tcW w:w="1089"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2.8055</w:t>
            </w:r>
          </w:p>
        </w:tc>
        <w:tc>
          <w:tcPr>
            <w:tcW w:w="811"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0.0434</w:t>
            </w:r>
          </w:p>
        </w:tc>
        <w:tc>
          <w:tcPr>
            <w:tcW w:w="80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1.0312</w:t>
            </w:r>
          </w:p>
        </w:tc>
        <w:tc>
          <w:tcPr>
            <w:tcW w:w="920" w:type="dxa"/>
            <w:tcBorders>
              <w:top w:val="nil"/>
              <w:left w:val="single" w:sz="3" w:space="0" w:color="4F493B"/>
              <w:bottom w:val="single" w:sz="2" w:space="0" w:color="4F493B"/>
              <w:right w:val="single" w:sz="2" w:space="0" w:color="4F493B"/>
            </w:tcBorders>
            <w:shd w:val="clear" w:color="auto" w:fill="FFFFFF"/>
            <w:tcMar>
              <w:left w:w="29" w:type="dxa"/>
              <w:right w:w="29" w:type="dxa"/>
            </w:tcMar>
          </w:tcPr>
          <w:p w:rsidR="00685F42" w:rsidRPr="00685F42" w:rsidRDefault="00685F42" w:rsidP="001F006F">
            <w:pPr>
              <w:adjustRightInd w:val="0"/>
              <w:spacing w:before="29" w:after="29"/>
              <w:jc w:val="right"/>
              <w:rPr>
                <w:rFonts w:cs="Times New Roman"/>
                <w:color w:val="000000"/>
              </w:rPr>
            </w:pPr>
            <w:r w:rsidRPr="00685F42">
              <w:rPr>
                <w:rFonts w:cs="Times New Roman"/>
                <w:color w:val="000000"/>
              </w:rPr>
              <w:t>7.6328</w:t>
            </w:r>
          </w:p>
        </w:tc>
      </w:tr>
    </w:tbl>
    <w:p w:rsidR="008A224A" w:rsidRDefault="008A224A" w:rsidP="008A224A">
      <w:pPr>
        <w:pStyle w:val="ListParagraph"/>
        <w:rPr>
          <w:lang w:val="en-US"/>
        </w:rPr>
      </w:pPr>
      <w:r>
        <w:rPr>
          <w:lang w:val="en-US"/>
        </w:rPr>
        <w:t>Table 6: Estimates of relative measures of test accuracy of HC2 in detecting CIN2+.</w:t>
      </w:r>
    </w:p>
    <w:p w:rsidR="00603E47" w:rsidRDefault="00603E47" w:rsidP="00603E47">
      <w:pPr>
        <w:pStyle w:val="Heading1"/>
        <w:rPr>
          <w:lang w:val="en-US"/>
        </w:rPr>
      </w:pPr>
      <w:r>
        <w:rPr>
          <w:lang w:val="en-US"/>
        </w:rPr>
        <w:t>Bibliography</w:t>
      </w:r>
    </w:p>
    <w:p w:rsidR="00603E47" w:rsidRPr="00F00C1F" w:rsidRDefault="00603E47" w:rsidP="00603E47">
      <w:pPr>
        <w:widowControl w:val="0"/>
        <w:autoSpaceDE w:val="0"/>
        <w:autoSpaceDN w:val="0"/>
        <w:adjustRightInd w:val="0"/>
        <w:ind w:left="640" w:hanging="640"/>
        <w:rPr>
          <w:rFonts w:cs="Times New Roman"/>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F00C1F">
        <w:rPr>
          <w:rFonts w:cs="Times New Roman"/>
          <w:noProof/>
          <w:szCs w:val="24"/>
          <w:lang w:val="en-US"/>
        </w:rPr>
        <w:t xml:space="preserve">1. </w:t>
      </w:r>
      <w:r w:rsidRPr="00F00C1F">
        <w:rPr>
          <w:rFonts w:cs="Times New Roman"/>
          <w:noProof/>
          <w:szCs w:val="24"/>
          <w:lang w:val="en-US"/>
        </w:rPr>
        <w:tab/>
        <w:t xml:space="preserve">Reitsma JB, Glas AS, Rutjes AWS, Scholten RJPM, Bossuyt PM, Zwinderman AH. Bivariate analysis of sensitivity and specificity produces informative summary measures in diagnostic reviews. J Clin Epidemiol. 2005;58(10):982–90. </w:t>
      </w:r>
    </w:p>
    <w:p w:rsidR="00603E47" w:rsidRPr="00F00C1F" w:rsidRDefault="00603E47" w:rsidP="00603E47">
      <w:pPr>
        <w:widowControl w:val="0"/>
        <w:autoSpaceDE w:val="0"/>
        <w:autoSpaceDN w:val="0"/>
        <w:adjustRightInd w:val="0"/>
        <w:ind w:left="640" w:hanging="640"/>
        <w:rPr>
          <w:rFonts w:cs="Times New Roman"/>
          <w:noProof/>
          <w:szCs w:val="24"/>
          <w:lang w:val="en-US"/>
        </w:rPr>
      </w:pPr>
      <w:r w:rsidRPr="00F00C1F">
        <w:rPr>
          <w:rFonts w:cs="Times New Roman"/>
          <w:noProof/>
          <w:szCs w:val="24"/>
          <w:lang w:val="en-US"/>
        </w:rPr>
        <w:t xml:space="preserve">2. </w:t>
      </w:r>
      <w:r w:rsidRPr="00F00C1F">
        <w:rPr>
          <w:rFonts w:cs="Times New Roman"/>
          <w:noProof/>
          <w:szCs w:val="24"/>
          <w:lang w:val="en-US"/>
        </w:rPr>
        <w:tab/>
        <w:t>Takwoingi Y, Deeks J. MetaDAS: A SAS macro for meta-analysis of diagnostic accuracy studies User guide [Internet]. 2010 [cited 2017 May 3]. Available from: http://srdta.cochrane.org/.</w:t>
      </w:r>
    </w:p>
    <w:p w:rsidR="00603E47" w:rsidRDefault="00603E47" w:rsidP="00603E47">
      <w:pPr>
        <w:widowControl w:val="0"/>
        <w:autoSpaceDE w:val="0"/>
        <w:autoSpaceDN w:val="0"/>
        <w:adjustRightInd w:val="0"/>
        <w:ind w:left="640" w:hanging="640"/>
        <w:rPr>
          <w:lang w:val="en-US"/>
        </w:rPr>
      </w:pPr>
      <w:r w:rsidRPr="00F00C1F">
        <w:rPr>
          <w:rFonts w:cs="Times New Roman"/>
          <w:noProof/>
          <w:szCs w:val="24"/>
          <w:lang w:val="en-US"/>
        </w:rPr>
        <w:t xml:space="preserve">3. </w:t>
      </w:r>
      <w:r w:rsidRPr="00F00C1F">
        <w:rPr>
          <w:rFonts w:cs="Times New Roman"/>
          <w:noProof/>
          <w:szCs w:val="24"/>
          <w:lang w:val="en-US"/>
        </w:rPr>
        <w:tab/>
        <w:t xml:space="preserve">The Cochrane Collaboration. </w:t>
      </w:r>
      <w:r w:rsidRPr="00603E47">
        <w:rPr>
          <w:rFonts w:cs="Times New Roman"/>
          <w:noProof/>
          <w:szCs w:val="24"/>
        </w:rPr>
        <w:t xml:space="preserve">Revien Manager (RevMan). Copenhagen: The Nordic Cochrane Centre; 2014. </w:t>
      </w:r>
      <w:r>
        <w:rPr>
          <w:lang w:val="en-US"/>
        </w:rPr>
        <w:fldChar w:fldCharType="end"/>
      </w:r>
    </w:p>
    <w:p w:rsidR="00FB356E" w:rsidRPr="00147E00" w:rsidRDefault="00FB356E">
      <w:pPr>
        <w:rPr>
          <w:lang w:val="en-US"/>
        </w:rPr>
      </w:pPr>
    </w:p>
    <w:sectPr w:rsidR="00FB356E" w:rsidRPr="0014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71191"/>
    <w:multiLevelType w:val="hybridMultilevel"/>
    <w:tmpl w:val="AC0CC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3155C"/>
    <w:multiLevelType w:val="hybridMultilevel"/>
    <w:tmpl w:val="AC0CC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431F9"/>
    <w:multiLevelType w:val="hybridMultilevel"/>
    <w:tmpl w:val="AC0CC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00"/>
    <w:rsid w:val="000450E7"/>
    <w:rsid w:val="00147E00"/>
    <w:rsid w:val="00173AC4"/>
    <w:rsid w:val="0024112C"/>
    <w:rsid w:val="00246B4C"/>
    <w:rsid w:val="00263AA9"/>
    <w:rsid w:val="002C177F"/>
    <w:rsid w:val="002D602A"/>
    <w:rsid w:val="00306503"/>
    <w:rsid w:val="00340C2A"/>
    <w:rsid w:val="0038334C"/>
    <w:rsid w:val="003B6639"/>
    <w:rsid w:val="003C3B14"/>
    <w:rsid w:val="003F5E72"/>
    <w:rsid w:val="0046664A"/>
    <w:rsid w:val="004D43A5"/>
    <w:rsid w:val="005058AD"/>
    <w:rsid w:val="00506414"/>
    <w:rsid w:val="00603E47"/>
    <w:rsid w:val="00685F42"/>
    <w:rsid w:val="007607A9"/>
    <w:rsid w:val="008A224A"/>
    <w:rsid w:val="00940DF2"/>
    <w:rsid w:val="00A06B16"/>
    <w:rsid w:val="00A666E4"/>
    <w:rsid w:val="00AA312B"/>
    <w:rsid w:val="00AD269A"/>
    <w:rsid w:val="00AD32BB"/>
    <w:rsid w:val="00B04210"/>
    <w:rsid w:val="00B776AE"/>
    <w:rsid w:val="00B86BE1"/>
    <w:rsid w:val="00BD3471"/>
    <w:rsid w:val="00BF21D4"/>
    <w:rsid w:val="00C11CAE"/>
    <w:rsid w:val="00C56E58"/>
    <w:rsid w:val="00CC25C6"/>
    <w:rsid w:val="00CC7786"/>
    <w:rsid w:val="00CD6406"/>
    <w:rsid w:val="00D61171"/>
    <w:rsid w:val="00D64CD7"/>
    <w:rsid w:val="00DC5E97"/>
    <w:rsid w:val="00DE5FB8"/>
    <w:rsid w:val="00E1587F"/>
    <w:rsid w:val="00F00C1F"/>
    <w:rsid w:val="00F451B0"/>
    <w:rsid w:val="00FB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E00"/>
    <w:pPr>
      <w:spacing w:before="120" w:after="120" w:line="360" w:lineRule="auto"/>
    </w:pPr>
    <w:rPr>
      <w:rFonts w:ascii="Times New Roman" w:hAnsi="Times New Roman"/>
      <w:lang w:val="nl-BE"/>
    </w:rPr>
  </w:style>
  <w:style w:type="paragraph" w:styleId="Heading1">
    <w:name w:val="heading 1"/>
    <w:basedOn w:val="Normal"/>
    <w:next w:val="Normal"/>
    <w:link w:val="Heading1Char"/>
    <w:autoRedefine/>
    <w:uiPriority w:val="9"/>
    <w:qFormat/>
    <w:rsid w:val="00A06B16"/>
    <w:pPr>
      <w:keepNext/>
      <w:keepLines/>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147E00"/>
    <w:pPr>
      <w:keepNext/>
      <w:keepLines/>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16"/>
    <w:rPr>
      <w:rFonts w:ascii="Times New Roman" w:eastAsiaTheme="majorEastAsia" w:hAnsi="Times New Roman" w:cstheme="majorBidi"/>
      <w:b/>
      <w:bCs/>
      <w:sz w:val="24"/>
      <w:szCs w:val="28"/>
      <w:lang w:val="nl-BE"/>
    </w:rPr>
  </w:style>
  <w:style w:type="character" w:customStyle="1" w:styleId="Heading2Char">
    <w:name w:val="Heading 2 Char"/>
    <w:basedOn w:val="DefaultParagraphFont"/>
    <w:link w:val="Heading2"/>
    <w:uiPriority w:val="9"/>
    <w:rsid w:val="00147E00"/>
    <w:rPr>
      <w:rFonts w:ascii="Times New Roman" w:eastAsiaTheme="majorEastAsia" w:hAnsi="Times New Roman" w:cstheme="majorBidi"/>
      <w:b/>
      <w:bCs/>
      <w:sz w:val="26"/>
      <w:szCs w:val="26"/>
      <w:lang w:val="nl-BE"/>
    </w:rPr>
  </w:style>
  <w:style w:type="character" w:styleId="PlaceholderText">
    <w:name w:val="Placeholder Text"/>
    <w:basedOn w:val="DefaultParagraphFont"/>
    <w:uiPriority w:val="99"/>
    <w:semiHidden/>
    <w:rsid w:val="00DC5E97"/>
    <w:rPr>
      <w:color w:val="808080"/>
    </w:rPr>
  </w:style>
  <w:style w:type="paragraph" w:styleId="BalloonText">
    <w:name w:val="Balloon Text"/>
    <w:basedOn w:val="Normal"/>
    <w:link w:val="BalloonTextChar"/>
    <w:uiPriority w:val="99"/>
    <w:semiHidden/>
    <w:unhideWhenUsed/>
    <w:rsid w:val="00DC5E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E97"/>
    <w:rPr>
      <w:rFonts w:ascii="Tahoma" w:hAnsi="Tahoma" w:cs="Tahoma"/>
      <w:sz w:val="16"/>
      <w:szCs w:val="16"/>
      <w:lang w:val="nl-BE"/>
    </w:rPr>
  </w:style>
  <w:style w:type="table" w:styleId="TableGrid">
    <w:name w:val="Table Grid"/>
    <w:basedOn w:val="TableNormal"/>
    <w:uiPriority w:val="59"/>
    <w:rsid w:val="00BF2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0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E00"/>
    <w:pPr>
      <w:spacing w:before="120" w:after="120" w:line="360" w:lineRule="auto"/>
    </w:pPr>
    <w:rPr>
      <w:rFonts w:ascii="Times New Roman" w:hAnsi="Times New Roman"/>
      <w:lang w:val="nl-BE"/>
    </w:rPr>
  </w:style>
  <w:style w:type="paragraph" w:styleId="Heading1">
    <w:name w:val="heading 1"/>
    <w:basedOn w:val="Normal"/>
    <w:next w:val="Normal"/>
    <w:link w:val="Heading1Char"/>
    <w:autoRedefine/>
    <w:uiPriority w:val="9"/>
    <w:qFormat/>
    <w:rsid w:val="00A06B16"/>
    <w:pPr>
      <w:keepNext/>
      <w:keepLines/>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147E00"/>
    <w:pPr>
      <w:keepNext/>
      <w:keepLines/>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16"/>
    <w:rPr>
      <w:rFonts w:ascii="Times New Roman" w:eastAsiaTheme="majorEastAsia" w:hAnsi="Times New Roman" w:cstheme="majorBidi"/>
      <w:b/>
      <w:bCs/>
      <w:sz w:val="24"/>
      <w:szCs w:val="28"/>
      <w:lang w:val="nl-BE"/>
    </w:rPr>
  </w:style>
  <w:style w:type="character" w:customStyle="1" w:styleId="Heading2Char">
    <w:name w:val="Heading 2 Char"/>
    <w:basedOn w:val="DefaultParagraphFont"/>
    <w:link w:val="Heading2"/>
    <w:uiPriority w:val="9"/>
    <w:rsid w:val="00147E00"/>
    <w:rPr>
      <w:rFonts w:ascii="Times New Roman" w:eastAsiaTheme="majorEastAsia" w:hAnsi="Times New Roman" w:cstheme="majorBidi"/>
      <w:b/>
      <w:bCs/>
      <w:sz w:val="26"/>
      <w:szCs w:val="26"/>
      <w:lang w:val="nl-BE"/>
    </w:rPr>
  </w:style>
  <w:style w:type="character" w:styleId="PlaceholderText">
    <w:name w:val="Placeholder Text"/>
    <w:basedOn w:val="DefaultParagraphFont"/>
    <w:uiPriority w:val="99"/>
    <w:semiHidden/>
    <w:rsid w:val="00DC5E97"/>
    <w:rPr>
      <w:color w:val="808080"/>
    </w:rPr>
  </w:style>
  <w:style w:type="paragraph" w:styleId="BalloonText">
    <w:name w:val="Balloon Text"/>
    <w:basedOn w:val="Normal"/>
    <w:link w:val="BalloonTextChar"/>
    <w:uiPriority w:val="99"/>
    <w:semiHidden/>
    <w:unhideWhenUsed/>
    <w:rsid w:val="00DC5E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E97"/>
    <w:rPr>
      <w:rFonts w:ascii="Tahoma" w:hAnsi="Tahoma" w:cs="Tahoma"/>
      <w:sz w:val="16"/>
      <w:szCs w:val="16"/>
      <w:lang w:val="nl-BE"/>
    </w:rPr>
  </w:style>
  <w:style w:type="table" w:styleId="TableGrid">
    <w:name w:val="Table Grid"/>
    <w:basedOn w:val="TableNormal"/>
    <w:uiPriority w:val="59"/>
    <w:rsid w:val="00BF2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02309">
      <w:bodyDiv w:val="1"/>
      <w:marLeft w:val="0"/>
      <w:marRight w:val="0"/>
      <w:marTop w:val="0"/>
      <w:marBottom w:val="0"/>
      <w:divBdr>
        <w:top w:val="none" w:sz="0" w:space="0" w:color="auto"/>
        <w:left w:val="none" w:sz="0" w:space="0" w:color="auto"/>
        <w:bottom w:val="none" w:sz="0" w:space="0" w:color="auto"/>
        <w:right w:val="none" w:sz="0" w:space="0" w:color="auto"/>
      </w:divBdr>
    </w:div>
    <w:div w:id="436102252">
      <w:bodyDiv w:val="1"/>
      <w:marLeft w:val="0"/>
      <w:marRight w:val="0"/>
      <w:marTop w:val="0"/>
      <w:marBottom w:val="0"/>
      <w:divBdr>
        <w:top w:val="none" w:sz="0" w:space="0" w:color="auto"/>
        <w:left w:val="none" w:sz="0" w:space="0" w:color="auto"/>
        <w:bottom w:val="none" w:sz="0" w:space="0" w:color="auto"/>
        <w:right w:val="none" w:sz="0" w:space="0" w:color="auto"/>
      </w:divBdr>
    </w:div>
    <w:div w:id="1735543305">
      <w:bodyDiv w:val="1"/>
      <w:marLeft w:val="0"/>
      <w:marRight w:val="0"/>
      <w:marTop w:val="0"/>
      <w:marBottom w:val="0"/>
      <w:divBdr>
        <w:top w:val="none" w:sz="0" w:space="0" w:color="auto"/>
        <w:left w:val="none" w:sz="0" w:space="0" w:color="auto"/>
        <w:bottom w:val="none" w:sz="0" w:space="0" w:color="auto"/>
        <w:right w:val="none" w:sz="0" w:space="0" w:color="auto"/>
      </w:divBdr>
    </w:div>
    <w:div w:id="192429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A4548-0018-4A4A-8DD5-46AC9FE2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17</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WIV-ISP</Company>
  <LinksUpToDate>false</LinksUpToDate>
  <CharactersWithSpaces>30193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Nyawira Nyaga, Victoria</dc:creator>
  <cp:lastModifiedBy>Nyawira Nyaga, Victoria</cp:lastModifiedBy>
  <cp:revision>12</cp:revision>
  <dcterms:created xsi:type="dcterms:W3CDTF">2017-04-04T11:55:00Z</dcterms:created>
  <dcterms:modified xsi:type="dcterms:W3CDTF">2017-06-26T08:11:00Z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0ab9ab1d-8894-39c6-9795-ab7469179557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