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2  -   L’ORGANISME D’ACCUEIL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w:t>
            </w:r>
            <w:r w:rsidDel="00000000" w:rsidR="00000000" w:rsidRPr="00000000">
              <w:rPr>
                <w:rFonts w:ascii="Calibri" w:cs="Calibri" w:eastAsia="Calibri" w:hAnsi="Calibri"/>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 nom_entreprise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r w:rsidDel="00000000" w:rsidR="00000000" w:rsidRPr="00000000">
              <w:rPr>
                <w:rFonts w:ascii="Roboto Mono" w:cs="Roboto Mono" w:eastAsia="Roboto Mono" w:hAnsi="Roboto Mono"/>
                <w:color w:val="188038"/>
                <w:sz w:val="16"/>
                <w:szCs w:val="16"/>
                <w:rtl w:val="0"/>
              </w:rPr>
              <w:t xml:space="preserve">{{ adresse_entreprise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(nom du signataire de la convention)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Roboto Mono" w:cs="Roboto Mono" w:eastAsia="Roboto Mono" w:hAnsi="Roboto Mono"/>
                <w:color w:val="188038"/>
                <w:sz w:val="16"/>
                <w:szCs w:val="16"/>
                <w:rtl w:val="0"/>
              </w:rPr>
              <w:t xml:space="preserve">{{ nom_responsable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Service dans lequel le stage sera effectué:</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w:t>
            </w:r>
            <w:r w:rsidDel="00000000" w:rsidR="00000000" w:rsidRPr="00000000">
              <w:rPr>
                <w:rFonts w:ascii="Roboto Mono" w:cs="Roboto Mono" w:eastAsia="Roboto Mono" w:hAnsi="Roboto Mono"/>
                <w:color w:val="188038"/>
                <w:sz w:val="16"/>
                <w:szCs w:val="16"/>
                <w:rtl w:val="0"/>
              </w:rPr>
              <w:t xml:space="preserve">{{ email_responsable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Lieu du stage : </w:t>
            </w:r>
            <w:r w:rsidDel="00000000" w:rsidR="00000000" w:rsidRPr="00000000">
              <w:rPr>
                <w:rFonts w:ascii="Roboto Mono" w:cs="Roboto Mono" w:eastAsia="Roboto Mono" w:hAnsi="Roboto Mono"/>
                <w:color w:val="188038"/>
                <w:sz w:val="16"/>
                <w:szCs w:val="16"/>
                <w:rtl w:val="0"/>
              </w:rPr>
              <w:t xml:space="preserve">{{ adresse_entreprise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3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r>
            <w:r w:rsidDel="00000000" w:rsidR="00000000" w:rsidRPr="00000000">
              <w:rPr>
                <w:rFonts w:ascii="Roboto Mono" w:cs="Roboto Mono" w:eastAsia="Roboto Mono" w:hAnsi="Roboto Mono"/>
                <w:color w:val="188038"/>
                <w:sz w:val="16"/>
                <w:szCs w:val="16"/>
                <w:rtl w:val="0"/>
              </w:rPr>
              <w:t xml:space="preserve">{{ nom_etudiant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Prénom : </w:t>
            </w:r>
            <w:r w:rsidDel="00000000" w:rsidR="00000000" w:rsidRPr="00000000">
              <w:rPr>
                <w:rFonts w:ascii="Roboto Mono" w:cs="Roboto Mono" w:eastAsia="Roboto Mono" w:hAnsi="Roboto Mono"/>
                <w:color w:val="188038"/>
                <w:sz w:val="16"/>
                <w:szCs w:val="16"/>
                <w:rtl w:val="0"/>
              </w:rPr>
              <w:t xml:space="preserve">{{ prenom_etudiant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r w:rsidDel="00000000" w:rsidR="00000000" w:rsidRPr="00000000">
              <w:rPr>
                <w:rFonts w:ascii="Roboto Mono" w:cs="Roboto Mono" w:eastAsia="Roboto Mono" w:hAnsi="Roboto Mono"/>
                <w:color w:val="188038"/>
                <w:sz w:val="16"/>
                <w:szCs w:val="16"/>
                <w:rtl w:val="0"/>
              </w:rPr>
              <w:t xml:space="preserve">{{ dateNaissance_etudiant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r w:rsidDel="00000000" w:rsidR="00000000" w:rsidRPr="00000000">
              <w:rPr>
                <w:rFonts w:ascii="Roboto Mono" w:cs="Roboto Mono" w:eastAsia="Roboto Mono" w:hAnsi="Roboto Mono"/>
                <w:color w:val="188038"/>
                <w:sz w:val="16"/>
                <w:szCs w:val="16"/>
                <w:rtl w:val="0"/>
              </w:rPr>
              <w:t xml:space="preserve">{{ adresse_etudiant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23"/>
              </w:tabs>
              <w:spacing w:after="0" w:before="0" w:line="360" w:lineRule="auto"/>
              <w:ind w:left="0" w:right="0" w:firstLine="0"/>
              <w:jc w:val="both"/>
              <w:rPr>
                <w:rFonts w:ascii="Calibri" w:cs="Calibri" w:eastAsia="Calibri" w:hAnsi="Calibri"/>
                <w:sz w:val="16"/>
                <w:szCs w:val="16"/>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r w:rsidDel="00000000" w:rsidR="00000000" w:rsidRPr="00000000">
              <w:rPr>
                <w:rFonts w:ascii="Roboto Mono" w:cs="Roboto Mono" w:eastAsia="Roboto Mono" w:hAnsi="Roboto Mono"/>
                <w:color w:val="188038"/>
                <w:sz w:val="16"/>
                <w:szCs w:val="16"/>
                <w:rtl w:val="0"/>
              </w:rPr>
              <w:t xml:space="preserve">{{ numeroTel_etudiant }}</w:t>
            </w:r>
            <w:r w:rsidDel="00000000" w:rsidR="00000000" w:rsidRPr="00000000">
              <w:rPr>
                <w:rFonts w:ascii="Calibri" w:cs="Calibri" w:eastAsia="Calibri" w:hAnsi="Calibri"/>
                <w:sz w:val="16"/>
                <w:szCs w:val="16"/>
                <w:rtl w:val="0"/>
              </w:rPr>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mél :</w:t>
            </w:r>
            <w:r w:rsidDel="00000000" w:rsidR="00000000" w:rsidRPr="00000000">
              <w:rPr>
                <w:rFonts w:ascii="Roboto Mono" w:cs="Roboto Mono" w:eastAsia="Roboto Mono" w:hAnsi="Roboto Mono"/>
                <w:color w:val="188038"/>
                <w:sz w:val="16"/>
                <w:szCs w:val="16"/>
                <w:rtl w:val="0"/>
              </w:rPr>
              <w:t xml:space="preserve">{{ adresseMail_etudiant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Intitulé de la formation ou du cursus suivi dans l’établissement d’enseignement supérieur et volume horaire (annuel ou semestriel)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BUT INFORMATIQUE PARCOURS…..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L’organisme d’accueil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du tuteur de stage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Roboto Mono" w:cs="Roboto Mono" w:eastAsia="Roboto Mono" w:hAnsi="Roboto Mono"/>
                <w:color w:val="188038"/>
                <w:sz w:val="16"/>
                <w:szCs w:val="16"/>
                <w:rtl w:val="0"/>
              </w:rPr>
              <w:t xml:space="preserve">{{ nom_tuteur }} {{ prenom_tuteur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color w:val="188038"/>
                <w:sz w:val="16"/>
                <w:szCs w:val="1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 </w:t>
            </w:r>
            <w:r w:rsidDel="00000000" w:rsidR="00000000" w:rsidRPr="00000000">
              <w:rPr>
                <w:rFonts w:ascii="Roboto Mono" w:cs="Roboto Mono" w:eastAsia="Roboto Mono" w:hAnsi="Roboto Mono"/>
                <w:color w:val="188038"/>
                <w:sz w:val="16"/>
                <w:szCs w:val="16"/>
                <w:rtl w:val="0"/>
              </w:rPr>
              <w:t xml:space="preserve">{{ metier_tuteur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mél :  </w:t>
            </w:r>
            <w:r w:rsidDel="00000000" w:rsidR="00000000" w:rsidRPr="00000000">
              <w:rPr>
                <w:rFonts w:ascii="Roboto Mono" w:cs="Roboto Mono" w:eastAsia="Roboto Mono" w:hAnsi="Roboto Mono"/>
                <w:color w:val="188038"/>
                <w:sz w:val="16"/>
                <w:szCs w:val="16"/>
                <w:rtl w:val="0"/>
              </w:rPr>
              <w:t xml:space="preserve">{{ mail_tuteur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