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png" ContentType="image/png"/>
  <Override PartName="/word/media/image3.wmf" ContentType="image/x-wmf"/>
  <Override PartName="/word/media/image4.wmf" ContentType="image/x-wmf"/>
  <Override PartName="/word/media/image5.wmf" ContentType="image/x-wmf"/>
  <Override PartName="/word/media/image6.png" ContentType="image/png"/>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Arial" w:cs="Arial" w:ascii="Arial" w:hAnsi="Arial"/>
          <w:b/>
          <w:bCs/>
          <w:color w:val="1F6B3B"/>
          <w:sz w:val="38"/>
          <w:szCs w:val="38"/>
        </w:rPr>
        <w:t>CONVENTION DE PARTENARIAT STRATÉGIQUE</w:t>
      </w:r>
    </w:p>
    <w:p>
      <w:pPr>
        <w:pStyle w:val="Normal"/>
        <w:spacing w:before="0" w:after="60"/>
        <w:jc w:val="center"/>
        <w:rPr/>
      </w:pPr>
      <w:r>
        <w:rPr>
          <w:rFonts w:eastAsia="Arial" w:cs="Arial" w:ascii="Arial" w:hAnsi="Arial"/>
          <w:i/>
          <w:iCs/>
          <w:color w:val="555555"/>
          <w:sz w:val="26"/>
          <w:szCs w:val="26"/>
        </w:rPr>
        <w:t>TEERRA AFRICA  ×  ASSOCIATION SONAGNON</w:t>
      </w:r>
    </w:p>
    <w:p>
      <w:pPr>
        <w:pStyle w:val="Normal"/>
        <w:pBdr>
          <w:bottom w:val="single" w:sz="6" w:space="1" w:color="1F6B3B"/>
        </w:pBdr>
        <w:spacing w:before="0" w:after="300"/>
        <w:jc w:val="center"/>
        <w:rPr/>
      </w:pPr>
      <w:r>
        <w:rPr>
          <w:rFonts w:eastAsia="Arial" w:cs="Arial" w:ascii="Arial" w:hAnsi="Arial"/>
          <w:i/>
          <w:iCs/>
          <w:color w:val="003399"/>
          <w:sz w:val="20"/>
          <w:szCs w:val="20"/>
        </w:rPr>
        <w:t>incluant le projet IYBA-SEED — Expansion régionale des Industries Vertes</w:t>
      </w:r>
    </w:p>
    <w:p>
      <w:pPr>
        <w:pStyle w:val="Normal"/>
        <w:spacing w:before="0" w:after="320"/>
        <w:jc w:val="both"/>
        <w:rPr/>
      </w:pPr>
      <w:r>
        <w:rPr/>
        <w:t>La présente convention formalise un engagement mutuel, basé sur la confiance et orienté vers l'impact concret sur les populations désormais enrichi par l'intégration du programme européen IYBA-SEED.</w:t>
      </w:r>
    </w:p>
    <w:p>
      <w:pPr>
        <w:pStyle w:val="Heading1"/>
        <w:jc w:val="both"/>
        <w:rPr/>
      </w:pPr>
      <w:r>
        <w:rPr/>
        <w:t>Les parties engagées</w:t>
      </w:r>
    </w:p>
    <w:p>
      <w:pPr>
        <w:pStyle w:val="Heading2"/>
        <w:jc w:val="both"/>
        <w:rPr/>
      </w:pPr>
      <w:r>
        <w:rPr/>
        <w:t>TEERRA AFRICA</w:t>
      </w:r>
    </w:p>
    <w:p>
      <w:pPr>
        <w:pStyle w:val="Normal"/>
        <w:spacing w:before="0" w:after="200"/>
        <w:jc w:val="both"/>
        <w:rPr/>
      </w:pPr>
      <w:r>
        <w:rPr/>
        <w:t>Organisation française engagée dans l'accompagnement entrepreneurial, l'innovation environnementale et le développement durable en Afrique représentée par</w:t>
      </w:r>
      <w:r>
        <w:rPr>
          <w:b/>
          <w:bCs/>
        </w:rPr>
        <w:t xml:space="preserve"> Mme Urielle HOUELAHO</w:t>
      </w:r>
      <w:r>
        <w:rPr/>
        <w:t xml:space="preserve">, dont le siège au Bénin situé à </w:t>
      </w:r>
      <w:r>
        <w:rPr>
          <w:i/>
          <w:iCs/>
        </w:rPr>
        <w:t>Lokossa </w:t>
      </w:r>
      <w:r>
        <w:rPr/>
        <w:t xml:space="preserve">;Ci-après dénommée </w:t>
      </w:r>
      <w:r>
        <w:rPr>
          <w:b/>
          <w:bCs/>
          <w:i/>
          <w:iCs/>
        </w:rPr>
        <w:t>« TEERRA AFRICA »</w:t>
      </w:r>
      <w:r>
        <w:rPr/>
        <w:t>.</w:t>
      </w:r>
    </w:p>
    <w:p>
      <w:pPr>
        <w:pStyle w:val="Heading2"/>
        <w:jc w:val="both"/>
        <w:rPr/>
      </w:pPr>
      <w:r>
        <w:rPr/>
        <w:t>Association SONAGNON</w:t>
      </w:r>
    </w:p>
    <w:p>
      <w:pPr>
        <w:pStyle w:val="Normal"/>
        <w:spacing w:before="0" w:after="300"/>
        <w:jc w:val="both"/>
        <w:rPr/>
      </w:pPr>
      <w:r>
        <w:rPr/>
        <w:t xml:space="preserve">ONG béninoise impliquée dans la réalité des communautés lacustres, représentée par </w:t>
      </w:r>
      <w:r>
        <w:rPr>
          <w:b/>
          <w:bCs/>
        </w:rPr>
        <w:t>Mme Prisca Théodora ZANCLAN</w:t>
      </w:r>
      <w:r>
        <w:rPr/>
        <w:t xml:space="preserve">, Présidente du siège social à Sô-Tchanhoué, Commune de Sô-Ava, Bénin. Ci-après dénommée </w:t>
      </w:r>
      <w:r>
        <w:rPr>
          <w:b/>
          <w:bCs/>
          <w:i/>
          <w:iCs/>
        </w:rPr>
        <w:t>« ASSOCIATION SONAGNON »</w:t>
      </w:r>
      <w:r>
        <w:rPr/>
        <w:t>.</w:t>
      </w:r>
    </w:p>
    <w:p>
      <w:pPr>
        <w:pStyle w:val="Normal"/>
        <w:pBdr>
          <w:bottom w:val="single" w:sz="4" w:space="4" w:color="003399"/>
        </w:pBdr>
        <w:spacing w:before="400" w:after="140"/>
        <w:jc w:val="both"/>
        <w:rPr/>
      </w:pPr>
      <w:r>
        <w:rPr>
          <w:rFonts w:eastAsia="Arial" w:cs="Arial" w:ascii="Arial" w:hAnsi="Arial"/>
          <w:b/>
          <w:bCs/>
          <w:color w:val="003399"/>
          <w:sz w:val="28"/>
          <w:szCs w:val="28"/>
        </w:rPr>
        <w:t>Projet IYBA-SEED : Expansion régionale des Industries Vertes</w:t>
      </w:r>
    </w:p>
    <w:p>
      <w:pPr>
        <w:pStyle w:val="Normal"/>
        <w:spacing w:before="0" w:after="120"/>
        <w:jc w:val="both"/>
        <w:rPr/>
      </w:pPr>
      <w:r>
        <w:rPr/>
      </w:r>
    </w:p>
    <w:tbl>
      <w:tblPr>
        <w:tblW w:w="9686" w:type="dxa"/>
        <w:jc w:val="left"/>
        <w:tblInd w:w="0" w:type="dxa"/>
        <w:tblLayout w:type="fixed"/>
        <w:tblCellMar>
          <w:top w:w="140" w:type="dxa"/>
          <w:left w:w="200" w:type="dxa"/>
          <w:bottom w:w="140" w:type="dxa"/>
          <w:right w:w="200" w:type="dxa"/>
        </w:tblCellMar>
        <w:tblLook w:firstRow="1" w:noVBand="1" w:lastRow="0" w:firstColumn="1" w:lastColumn="0" w:noHBand="0" w:val="04a0"/>
      </w:tblPr>
      <w:tblGrid>
        <w:gridCol w:w="9686"/>
      </w:tblGrid>
      <w:tr>
        <w:trPr>
          <w:trHeight w:val="1819" w:hRule="atLeast"/>
        </w:trPr>
        <w:tc>
          <w:tcPr>
            <w:tcW w:w="9686" w:type="dxa"/>
            <w:tcBorders>
              <w:top w:val="single" w:sz="2" w:space="0" w:color="CCCCCC"/>
              <w:left w:val="single" w:sz="2" w:space="0" w:color="CCCCCC"/>
              <w:bottom w:val="single" w:sz="2" w:space="0" w:color="CCCCCC"/>
              <w:right w:val="single" w:sz="2" w:space="0" w:color="CCCCCC"/>
            </w:tcBorders>
            <w:shd w:color="auto" w:fill="EEF2FF" w:val="clear"/>
          </w:tcPr>
          <w:p>
            <w:pPr>
              <w:pStyle w:val="Normal"/>
              <w:spacing w:before="0" w:after="60"/>
              <w:jc w:val="both"/>
              <w:rPr/>
            </w:pPr>
            <w:r>
              <w:rPr>
                <w:rFonts w:eastAsia="Arial" w:cs="Arial" w:ascii="Arial" w:hAnsi="Arial"/>
                <w:b/>
                <w:bCs/>
                <w:color w:val="003399"/>
                <w:sz w:val="20"/>
                <w:szCs w:val="20"/>
              </w:rPr>
              <w:t xml:space="preserve">Programme : </w:t>
            </w:r>
            <w:r>
              <w:rPr>
                <w:sz w:val="20"/>
                <w:szCs w:val="20"/>
              </w:rPr>
              <w:t>IYBA-SEED — Initiative Equipe Europe (TEI) — Investing in Young Businesses in Africa</w:t>
            </w:r>
          </w:p>
          <w:p>
            <w:pPr>
              <w:pStyle w:val="Normal"/>
              <w:spacing w:before="0" w:after="60"/>
              <w:jc w:val="both"/>
              <w:rPr/>
            </w:pPr>
            <w:r>
              <w:rPr>
                <w:rFonts w:eastAsia="Arial" w:cs="Arial" w:ascii="Arial" w:hAnsi="Arial"/>
                <w:b/>
                <w:bCs/>
                <w:color w:val="003399"/>
                <w:sz w:val="20"/>
                <w:szCs w:val="20"/>
              </w:rPr>
              <w:t xml:space="preserve">Financement : </w:t>
            </w:r>
            <w:r>
              <w:rPr>
                <w:sz w:val="20"/>
                <w:szCs w:val="20"/>
              </w:rPr>
              <w:t>Union européenne, gouvernements français, allemand et slovaque</w:t>
            </w:r>
          </w:p>
          <w:p>
            <w:pPr>
              <w:pStyle w:val="Normal"/>
              <w:spacing w:before="0" w:after="60"/>
              <w:jc w:val="both"/>
              <w:rPr/>
            </w:pPr>
            <w:r>
              <w:rPr>
                <w:rFonts w:eastAsia="Arial" w:cs="Arial" w:ascii="Arial" w:hAnsi="Arial"/>
                <w:b/>
                <w:bCs/>
                <w:color w:val="003399"/>
                <w:sz w:val="20"/>
                <w:szCs w:val="20"/>
              </w:rPr>
              <w:t xml:space="preserve">Agences de mise en oeuvre : </w:t>
            </w:r>
            <w:r>
              <w:rPr>
                <w:sz w:val="20"/>
                <w:szCs w:val="20"/>
              </w:rPr>
              <w:t>Expertise France · Enabel (Belgique) · GIZ (Allemagne) · SAIDC (Slovaquie) · SNV (Pays-Bas)</w:t>
            </w:r>
          </w:p>
          <w:p>
            <w:pPr>
              <w:pStyle w:val="Normal"/>
              <w:spacing w:before="0" w:after="60"/>
              <w:jc w:val="both"/>
              <w:rPr/>
            </w:pPr>
            <w:r>
              <w:rPr>
                <w:rFonts w:eastAsia="Arial" w:cs="Arial" w:ascii="Arial" w:hAnsi="Arial"/>
                <w:b/>
                <w:bCs/>
                <w:color w:val="003399"/>
                <w:sz w:val="20"/>
                <w:szCs w:val="20"/>
              </w:rPr>
              <w:t xml:space="preserve">Pays partenaires : </w:t>
            </w:r>
            <w:r>
              <w:rPr>
                <w:sz w:val="20"/>
                <w:szCs w:val="20"/>
              </w:rPr>
              <w:t>Bénin · Kenya · Sénégal · Afrique du Sud · Togo</w:t>
            </w:r>
          </w:p>
          <w:p>
            <w:pPr>
              <w:pStyle w:val="Normal"/>
              <w:spacing w:before="0" w:after="60"/>
              <w:jc w:val="both"/>
              <w:rPr/>
            </w:pPr>
            <w:r>
              <w:rPr>
                <w:rFonts w:eastAsia="Arial" w:cs="Arial" w:ascii="Arial" w:hAnsi="Arial"/>
                <w:b/>
                <w:bCs/>
                <w:color w:val="003399"/>
                <w:sz w:val="20"/>
                <w:szCs w:val="20"/>
              </w:rPr>
              <w:t xml:space="preserve">Site officiel : </w:t>
            </w:r>
            <w:r>
              <w:rPr>
                <w:i/>
                <w:iCs/>
                <w:sz w:val="20"/>
                <w:szCs w:val="20"/>
              </w:rPr>
              <w:t>www.iyba-seed.eu</w:t>
            </w:r>
          </w:p>
        </w:tc>
      </w:tr>
    </w:tbl>
    <w:p>
      <w:pPr>
        <w:pStyle w:val="Normal"/>
        <w:spacing w:before="0" w:after="200"/>
        <w:jc w:val="both"/>
        <w:rPr/>
      </w:pPr>
      <w:r>
        <w:rPr/>
      </w:r>
    </w:p>
    <w:p>
      <w:pPr>
        <w:pStyle w:val="Normal"/>
        <w:spacing w:before="0" w:after="160"/>
        <w:jc w:val="both"/>
        <w:rPr/>
      </w:pPr>
      <w:r>
        <w:rPr/>
        <w:t>IYBA-SEED contribue à bâtir des économies plus résilientes et à créer des emplois décents pour les jeunes et les femmes, en renforçant les écosystèmes entrepreneuriaux et en améliorant l'accès aux services de développement pour les entreprises en phase de (pré-)amorçage portées par des jeunes et des femmes, dans des secteurs prometteurs : agriculture, agroalimentaire, tourisme, mobilité, numérique, finance, industries créatives, économie verte et circulaire.</w:t>
      </w:r>
    </w:p>
    <w:p>
      <w:pPr>
        <w:pStyle w:val="Normal"/>
        <w:spacing w:before="0" w:after="160"/>
        <w:jc w:val="both"/>
        <w:rPr/>
      </w:pPr>
      <w:r>
        <w:rPr/>
        <w:t>Le programme « Expansion régionale des Industries Vertes en Afrique » complète la dynamique globale d'IYBA-SEED sur deux axes stratégiques : l'interconnexion régionale des acteurs et le développement des industries vertes.</w:t>
      </w:r>
    </w:p>
    <w:p>
      <w:pPr>
        <w:pStyle w:val="Heading3"/>
        <w:jc w:val="both"/>
        <w:rPr/>
      </w:pPr>
      <w:r>
        <w:rPr/>
        <w:t>1. Objectifs spécifiques du projet</w:t>
      </w:r>
    </w:p>
    <w:p>
      <w:pPr>
        <w:pStyle w:val="ListParagraph"/>
        <w:numPr>
          <w:ilvl w:val="0"/>
          <w:numId w:val="2"/>
        </w:numPr>
        <w:spacing w:before="0" w:after="80"/>
        <w:jc w:val="both"/>
        <w:rPr/>
      </w:pPr>
      <w:r>
        <w:rPr/>
        <w:t>Accompagner des entrepreneurs des industries vertes dans leur développement et leur structuration.</w:t>
      </w:r>
    </w:p>
    <w:p>
      <w:pPr>
        <w:pStyle w:val="ListParagraph"/>
        <w:numPr>
          <w:ilvl w:val="0"/>
          <w:numId w:val="2"/>
        </w:numPr>
        <w:spacing w:before="0" w:after="80"/>
        <w:jc w:val="both"/>
        <w:rPr/>
      </w:pPr>
      <w:r>
        <w:rPr/>
        <w:t>Déployer des formations pratiques via la SEED Expansion Box — une boîte à outils pensée pour le terrain.</w:t>
      </w:r>
    </w:p>
    <w:p>
      <w:pPr>
        <w:pStyle w:val="ListParagraph"/>
        <w:numPr>
          <w:ilvl w:val="0"/>
          <w:numId w:val="2"/>
        </w:numPr>
        <w:spacing w:before="0" w:after="80"/>
        <w:jc w:val="both"/>
        <w:rPr/>
      </w:pPr>
      <w:r>
        <w:rPr/>
        <w:t>Faciliter l'expansion régionale des entreprises accompagnées, en ouvrant de nouveaux marchés.</w:t>
      </w:r>
    </w:p>
    <w:p>
      <w:pPr>
        <w:pStyle w:val="ListParagraph"/>
        <w:numPr>
          <w:ilvl w:val="0"/>
          <w:numId w:val="2"/>
        </w:numPr>
        <w:spacing w:before="0" w:after="80"/>
        <w:jc w:val="both"/>
        <w:rPr/>
      </w:pPr>
      <w:r>
        <w:rPr/>
        <w:t>Intégrer systématiquement genre, inclusion et durabilité dans les modèles économiques soutenus.</w:t>
      </w:r>
    </w:p>
    <w:p>
      <w:pPr>
        <w:pStyle w:val="Heading3"/>
        <w:jc w:val="both"/>
        <w:rPr/>
      </w:pPr>
      <w:r>
        <w:rPr/>
        <w:t>2. Répartition des rôles</w:t>
      </w:r>
    </w:p>
    <w:tbl>
      <w:tblPr>
        <w:tblW w:w="10058" w:type="dxa"/>
        <w:jc w:val="left"/>
        <w:tblInd w:w="0" w:type="dxa"/>
        <w:tblLayout w:type="fixed"/>
        <w:tblCellMar>
          <w:top w:w="120" w:type="dxa"/>
          <w:left w:w="160" w:type="dxa"/>
          <w:bottom w:w="120" w:type="dxa"/>
          <w:right w:w="160" w:type="dxa"/>
        </w:tblCellMar>
        <w:tblLook w:firstRow="1" w:noVBand="1" w:lastRow="0" w:firstColumn="1" w:lastColumn="0" w:noHBand="0" w:val="04a0"/>
      </w:tblPr>
      <w:tblGrid>
        <w:gridCol w:w="5029"/>
        <w:gridCol w:w="5028"/>
      </w:tblGrid>
      <w:tr>
        <w:trPr>
          <w:trHeight w:val="2192" w:hRule="atLeast"/>
        </w:trPr>
        <w:tc>
          <w:tcPr>
            <w:tcW w:w="5029" w:type="dxa"/>
            <w:tcBorders>
              <w:top w:val="single" w:sz="2" w:space="0" w:color="CCCCCC"/>
              <w:left w:val="single" w:sz="2" w:space="0" w:color="CCCCCC"/>
              <w:bottom w:val="single" w:sz="2" w:space="0" w:color="CCCCCC"/>
              <w:right w:val="single" w:sz="2" w:space="0" w:color="CCCCCC"/>
            </w:tcBorders>
            <w:shd w:color="auto" w:fill="E8F5EC" w:val="clear"/>
          </w:tcPr>
          <w:p>
            <w:pPr>
              <w:pStyle w:val="Normal"/>
              <w:spacing w:before="0" w:after="100"/>
              <w:jc w:val="both"/>
              <w:rPr>
                <w:rFonts w:ascii="Arial" w:hAnsi="Arial" w:eastAsia="Arial" w:cs="Arial"/>
                <w:b/>
                <w:bCs/>
                <w:color w:val="1F6B3B"/>
              </w:rPr>
            </w:pPr>
            <w:r>
              <w:rPr>
                <w:rFonts w:eastAsia="Arial" w:cs="Arial" w:ascii="Arial" w:hAnsi="Arial"/>
                <w:b/>
                <w:bCs/>
                <w:color w:val="1F6B3B"/>
              </w:rPr>
              <w:t>TEERRA AFRICA : Appui technique</w:t>
            </w:r>
          </w:p>
          <w:p>
            <w:pPr>
              <w:pStyle w:val="ListParagraph"/>
              <w:numPr>
                <w:ilvl w:val="0"/>
                <w:numId w:val="3"/>
              </w:numPr>
              <w:spacing w:before="0" w:after="80"/>
              <w:jc w:val="both"/>
              <w:rPr/>
            </w:pPr>
            <w:r>
              <w:rPr>
                <w:sz w:val="20"/>
                <w:szCs w:val="20"/>
              </w:rPr>
              <w:t>Appui technique opérationnel du projet</w:t>
            </w:r>
          </w:p>
          <w:p>
            <w:pPr>
              <w:pStyle w:val="ListParagraph"/>
              <w:numPr>
                <w:ilvl w:val="0"/>
                <w:numId w:val="3"/>
              </w:numPr>
              <w:spacing w:before="0" w:after="80"/>
              <w:jc w:val="both"/>
              <w:rPr/>
            </w:pPr>
            <w:r>
              <w:rPr>
                <w:sz w:val="20"/>
                <w:szCs w:val="20"/>
              </w:rPr>
              <w:t>Mobilisation de 4 experts dédiés à l'exécution</w:t>
            </w:r>
          </w:p>
          <w:p>
            <w:pPr>
              <w:pStyle w:val="ListParagraph"/>
              <w:numPr>
                <w:ilvl w:val="0"/>
                <w:numId w:val="3"/>
              </w:numPr>
              <w:spacing w:before="0" w:after="80"/>
              <w:jc w:val="both"/>
              <w:rPr/>
            </w:pPr>
            <w:r>
              <w:rPr>
                <w:sz w:val="20"/>
                <w:szCs w:val="20"/>
              </w:rPr>
              <w:t>Suivi opérationnel complet et mesure d'impact</w:t>
            </w:r>
          </w:p>
          <w:p>
            <w:pPr>
              <w:pStyle w:val="ListParagraph"/>
              <w:numPr>
                <w:ilvl w:val="0"/>
                <w:numId w:val="3"/>
              </w:numPr>
              <w:spacing w:before="0" w:after="80"/>
              <w:jc w:val="both"/>
              <w:rPr/>
            </w:pPr>
            <w:r>
              <w:rPr>
                <w:sz w:val="20"/>
                <w:szCs w:val="20"/>
              </w:rPr>
              <w:t>Accès aux réseaux internationaux et valorisation</w:t>
            </w:r>
          </w:p>
          <w:p>
            <w:pPr>
              <w:pStyle w:val="ListParagraph"/>
              <w:numPr>
                <w:ilvl w:val="0"/>
                <w:numId w:val="3"/>
              </w:numPr>
              <w:spacing w:before="0" w:after="80"/>
              <w:jc w:val="both"/>
              <w:rPr/>
            </w:pPr>
            <w:r>
              <w:rPr>
                <w:sz w:val="20"/>
                <w:szCs w:val="20"/>
              </w:rPr>
              <w:t>Appui à la sélection, mentorat et accompagnement des SEEDs</w:t>
            </w:r>
          </w:p>
        </w:tc>
        <w:tc>
          <w:tcPr>
            <w:tcW w:w="5028" w:type="dxa"/>
            <w:tcBorders>
              <w:top w:val="single" w:sz="2" w:space="0" w:color="CCCCCC"/>
              <w:left w:val="single" w:sz="2" w:space="0" w:color="CCCCCC"/>
              <w:bottom w:val="single" w:sz="2" w:space="0" w:color="CCCCCC"/>
              <w:right w:val="single" w:sz="2" w:space="0" w:color="CCCCCC"/>
            </w:tcBorders>
            <w:shd w:color="auto" w:fill="EEF2FF" w:val="clear"/>
          </w:tcPr>
          <w:p>
            <w:pPr>
              <w:pStyle w:val="Normal"/>
              <w:spacing w:before="0" w:after="100"/>
              <w:jc w:val="both"/>
              <w:rPr>
                <w:rFonts w:ascii="Arial" w:hAnsi="Arial" w:eastAsia="Arial" w:cs="Arial"/>
                <w:b/>
                <w:bCs/>
                <w:color w:val="003399"/>
              </w:rPr>
            </w:pPr>
            <w:r>
              <w:rPr>
                <w:rFonts w:eastAsia="Arial" w:cs="Arial" w:ascii="Arial" w:hAnsi="Arial"/>
                <w:b/>
                <w:bCs/>
                <w:color w:val="003399"/>
              </w:rPr>
              <w:t xml:space="preserve">ASSOCIATION SONAGNON : Pilotage du projet </w:t>
            </w:r>
          </w:p>
          <w:p>
            <w:pPr>
              <w:pStyle w:val="ListParagraph"/>
              <w:numPr>
                <w:ilvl w:val="0"/>
                <w:numId w:val="3"/>
              </w:numPr>
              <w:spacing w:before="0" w:after="80"/>
              <w:jc w:val="both"/>
              <w:rPr/>
            </w:pPr>
            <w:r>
              <w:rPr>
                <w:sz w:val="20"/>
                <w:szCs w:val="20"/>
              </w:rPr>
              <w:t>Pilotage technique et stratégique du projet</w:t>
            </w:r>
          </w:p>
          <w:p>
            <w:pPr>
              <w:pStyle w:val="ListParagraph"/>
              <w:numPr>
                <w:ilvl w:val="0"/>
                <w:numId w:val="3"/>
              </w:numPr>
              <w:spacing w:before="0" w:after="80"/>
              <w:jc w:val="both"/>
              <w:rPr/>
            </w:pPr>
            <w:r>
              <w:rPr>
                <w:sz w:val="20"/>
                <w:szCs w:val="20"/>
              </w:rPr>
              <w:t>Sélection, mentorat et accompagnement des SEEDs</w:t>
            </w:r>
          </w:p>
          <w:p>
            <w:pPr>
              <w:pStyle w:val="ListParagraph"/>
              <w:numPr>
                <w:ilvl w:val="0"/>
                <w:numId w:val="4"/>
              </w:numPr>
              <w:spacing w:before="0" w:after="80"/>
              <w:jc w:val="both"/>
              <w:rPr/>
            </w:pPr>
            <w:r>
              <w:rPr>
                <w:sz w:val="20"/>
                <w:szCs w:val="20"/>
              </w:rPr>
              <w:t>Point focal : M. Romain Hounsa (~2% du temps)</w:t>
            </w:r>
          </w:p>
          <w:p>
            <w:pPr>
              <w:pStyle w:val="ListParagraph"/>
              <w:numPr>
                <w:ilvl w:val="0"/>
                <w:numId w:val="4"/>
              </w:numPr>
              <w:spacing w:before="0" w:after="80"/>
              <w:jc w:val="both"/>
              <w:rPr/>
            </w:pPr>
            <w:r>
              <w:rPr>
                <w:sz w:val="20"/>
                <w:szCs w:val="20"/>
              </w:rPr>
              <w:t>Transmission d'informations terrain essentielles</w:t>
            </w:r>
          </w:p>
          <w:p>
            <w:pPr>
              <w:pStyle w:val="ListParagraph"/>
              <w:numPr>
                <w:ilvl w:val="0"/>
                <w:numId w:val="4"/>
              </w:numPr>
              <w:spacing w:before="0" w:after="80"/>
              <w:jc w:val="both"/>
              <w:rPr/>
            </w:pPr>
            <w:r>
              <w:rPr>
                <w:sz w:val="20"/>
                <w:szCs w:val="20"/>
              </w:rPr>
              <w:t>Appui à la communication locale</w:t>
            </w:r>
          </w:p>
          <w:p>
            <w:pPr>
              <w:pStyle w:val="ListParagraph"/>
              <w:numPr>
                <w:ilvl w:val="0"/>
                <w:numId w:val="4"/>
              </w:numPr>
              <w:spacing w:before="0" w:after="80"/>
              <w:jc w:val="both"/>
              <w:rPr/>
            </w:pPr>
            <w:r>
              <w:rPr>
                <w:sz w:val="20"/>
                <w:szCs w:val="20"/>
              </w:rPr>
              <w:t>Relai auprès des communautés bénéficiaires</w:t>
            </w:r>
          </w:p>
        </w:tc>
      </w:tr>
    </w:tbl>
    <w:p>
      <w:pPr>
        <w:pStyle w:val="Normal"/>
        <w:spacing w:before="0" w:after="120"/>
        <w:jc w:val="both"/>
        <w:rPr/>
      </w:pPr>
      <w:r>
        <w:rPr/>
      </w:r>
    </w:p>
    <w:p>
      <w:pPr>
        <w:pStyle w:val="Normal"/>
        <w:spacing w:before="0" w:after="200"/>
        <w:jc w:val="both"/>
        <w:rPr/>
      </w:pPr>
      <w:r>
        <w:rPr>
          <w:rFonts w:eastAsia="Arial" w:cs="Arial" w:ascii="Arial" w:hAnsi="Arial"/>
          <w:b/>
          <w:bCs/>
          <w:color w:val="555555"/>
          <w:sz w:val="20"/>
          <w:szCs w:val="20"/>
        </w:rPr>
        <w:t>Note :</w:t>
      </w:r>
      <w:r>
        <w:rPr>
          <w:i/>
          <w:iCs/>
          <w:color w:val="555555"/>
          <w:sz w:val="20"/>
          <w:szCs w:val="20"/>
        </w:rPr>
        <w:t xml:space="preserve"> L'exécution opérationnelle est assurée principalement par ASSOCIATION SONAGNON. TEERRA AFRICA contribue en tant que partenaire technique.</w:t>
      </w:r>
    </w:p>
    <w:p>
      <w:pPr>
        <w:pStyle w:val="Heading3"/>
        <w:jc w:val="both"/>
        <w:rPr/>
      </w:pPr>
      <w:r>
        <w:rPr/>
        <w:t>3. Suivi, évaluation et redevabilité</w:t>
      </w:r>
    </w:p>
    <w:p>
      <w:pPr>
        <w:pStyle w:val="ListParagraph"/>
        <w:numPr>
          <w:ilvl w:val="0"/>
          <w:numId w:val="2"/>
        </w:numPr>
        <w:spacing w:before="0" w:after="80"/>
        <w:jc w:val="both"/>
        <w:rPr/>
      </w:pPr>
      <w:r>
        <w:rPr/>
        <w:t>Tableau de bord de suivi piloté par TEERRA AFRICA, partagé et accessible aux deux parties.</w:t>
      </w:r>
    </w:p>
    <w:p>
      <w:pPr>
        <w:pStyle w:val="ListParagraph"/>
        <w:numPr>
          <w:ilvl w:val="0"/>
          <w:numId w:val="2"/>
        </w:numPr>
        <w:spacing w:before="0" w:after="80"/>
        <w:jc w:val="both"/>
        <w:rPr/>
      </w:pPr>
      <w:r>
        <w:rPr/>
        <w:t>Remontée régulière d'informations et d'observations terrain par l’ASSOCIATION SONAGNON.</w:t>
      </w:r>
    </w:p>
    <w:p>
      <w:pPr>
        <w:pStyle w:val="ListParagraph"/>
        <w:numPr>
          <w:ilvl w:val="0"/>
          <w:numId w:val="2"/>
        </w:numPr>
        <w:spacing w:before="0" w:after="80"/>
        <w:jc w:val="both"/>
        <w:rPr/>
      </w:pPr>
      <w:r>
        <w:rPr/>
        <w:t>Rapport semestriel d'activité produit par TEERRA AFRICA avec contribution documentée de l’ASSOCIATION SONAGNON.</w:t>
      </w:r>
    </w:p>
    <w:p>
      <w:pPr>
        <w:pStyle w:val="Heading3"/>
        <w:jc w:val="both"/>
        <w:rPr/>
      </w:pPr>
      <w:r>
        <w:rPr/>
        <w:t>4. Modalités financières spécifiques</w:t>
      </w:r>
    </w:p>
    <w:p>
      <w:pPr>
        <w:pStyle w:val="ListParagraph"/>
        <w:numPr>
          <w:ilvl w:val="0"/>
          <w:numId w:val="2"/>
        </w:numPr>
        <w:spacing w:before="0" w:after="80"/>
        <w:jc w:val="both"/>
        <w:rPr/>
      </w:pPr>
      <w:r>
        <w:rPr/>
        <w:t>Les ressources nécessaires à l'exécution du projet sont principalement apportées par TEERRA AFRICA.</w:t>
      </w:r>
    </w:p>
    <w:p>
      <w:pPr>
        <w:pStyle w:val="ListParagraph"/>
        <w:numPr>
          <w:ilvl w:val="0"/>
          <w:numId w:val="2"/>
        </w:numPr>
        <w:spacing w:before="0" w:after="80"/>
        <w:jc w:val="both"/>
        <w:rPr/>
      </w:pPr>
      <w:r>
        <w:rPr/>
        <w:t>Les détails budgétaires, les livrables et les calendriers sont précisés dans des accords spécifiques annexés à la présente convention.</w:t>
      </w:r>
    </w:p>
    <w:p>
      <w:pPr>
        <w:pStyle w:val="Heading1"/>
        <w:jc w:val="both"/>
        <w:rPr/>
      </w:pPr>
      <w:r>
        <w:rPr/>
        <w:t>Article 3 — Ce que TEERRA AFRICA apporte</w:t>
      </w:r>
    </w:p>
    <w:p>
      <w:pPr>
        <w:pStyle w:val="Normal"/>
        <w:spacing w:before="0" w:after="100"/>
        <w:jc w:val="both"/>
        <w:rPr/>
      </w:pPr>
      <w:r>
        <w:rPr/>
        <w:t>TEERRA AFRICA s'engage à mobiliser son expertise, ses réseaux et ses outils au service de la mission commune. Concrètement :</w:t>
      </w:r>
    </w:p>
    <w:p>
      <w:pPr>
        <w:pStyle w:val="ListParagraph"/>
        <w:numPr>
          <w:ilvl w:val="0"/>
          <w:numId w:val="1"/>
        </w:numPr>
        <w:spacing w:before="0" w:after="80"/>
        <w:jc w:val="both"/>
        <w:rPr/>
      </w:pPr>
      <w:r>
        <w:rPr/>
        <w:t>Un appui stratégique : structuration, vision long terme, conception de modèles économiques viables.</w:t>
      </w:r>
    </w:p>
    <w:p>
      <w:pPr>
        <w:pStyle w:val="ListParagraph"/>
        <w:numPr>
          <w:ilvl w:val="0"/>
          <w:numId w:val="1"/>
        </w:numPr>
        <w:spacing w:before="0" w:after="80"/>
        <w:jc w:val="both"/>
        <w:rPr/>
      </w:pPr>
      <w:r>
        <w:rPr/>
        <w:t>Un accompagnement technique et opérationnel : mentorat, formations adaptées, outils pratiques.</w:t>
      </w:r>
    </w:p>
    <w:p>
      <w:pPr>
        <w:pStyle w:val="ListParagraph"/>
        <w:numPr>
          <w:ilvl w:val="0"/>
          <w:numId w:val="1"/>
        </w:numPr>
        <w:spacing w:before="0" w:after="80"/>
        <w:jc w:val="both"/>
        <w:rPr/>
      </w:pPr>
      <w:r>
        <w:rPr/>
        <w:t>Une mise en réseau active avec des partenaires, experts et institutions à l'échelle internationale.</w:t>
      </w:r>
    </w:p>
    <w:p>
      <w:pPr>
        <w:pStyle w:val="ListParagraph"/>
        <w:numPr>
          <w:ilvl w:val="0"/>
          <w:numId w:val="1"/>
        </w:numPr>
        <w:spacing w:before="0" w:after="80"/>
        <w:jc w:val="both"/>
        <w:rPr/>
      </w:pPr>
      <w:r>
        <w:rPr/>
        <w:t>Un soutien à la recherche de financements — avec engagement de moyens, sans garantie de résultats.</w:t>
      </w:r>
    </w:p>
    <w:p>
      <w:pPr>
        <w:pStyle w:val="ListParagraph"/>
        <w:numPr>
          <w:ilvl w:val="0"/>
          <w:numId w:val="1"/>
        </w:numPr>
        <w:spacing w:before="0" w:after="80"/>
        <w:jc w:val="both"/>
        <w:rPr/>
      </w:pPr>
      <w:r>
        <w:rPr/>
        <w:t>Une contribution à la visibilité des projets : communication, valorisation, storytelling d'impact.</w:t>
      </w:r>
    </w:p>
    <w:p>
      <w:pPr>
        <w:pStyle w:val="Heading1"/>
        <w:jc w:val="both"/>
        <w:rPr/>
      </w:pPr>
      <w:r>
        <w:rPr/>
        <w:t>Article 4 : Apport Ce que ASSOCIATION SONAGNON apporte</w:t>
      </w:r>
    </w:p>
    <w:p>
      <w:pPr>
        <w:pStyle w:val="Normal"/>
        <w:spacing w:before="0" w:after="100"/>
        <w:jc w:val="both"/>
        <w:rPr/>
      </w:pPr>
      <w:r>
        <w:rPr/>
        <w:t>ASSOCIATION SONAGNON, s'engage à :</w:t>
      </w:r>
    </w:p>
    <w:p>
      <w:pPr>
        <w:pStyle w:val="ListParagraph"/>
        <w:numPr>
          <w:ilvl w:val="0"/>
          <w:numId w:val="1"/>
        </w:numPr>
        <w:spacing w:before="0" w:after="80"/>
        <w:jc w:val="both"/>
        <w:rPr/>
      </w:pPr>
      <w:r>
        <w:rPr/>
        <w:t>Mettre en oeuvre les activités locales définies conjointement, dans le respect de ses capacités.</w:t>
      </w:r>
    </w:p>
    <w:p>
      <w:pPr>
        <w:pStyle w:val="ListParagraph"/>
        <w:numPr>
          <w:ilvl w:val="0"/>
          <w:numId w:val="1"/>
        </w:numPr>
        <w:spacing w:before="0" w:after="80"/>
        <w:jc w:val="both"/>
        <w:rPr/>
      </w:pPr>
      <w:r>
        <w:rPr/>
        <w:t>Assurer la mobilisation et l'adhésion des communautés autour des projets.</w:t>
      </w:r>
    </w:p>
    <w:p>
      <w:pPr>
        <w:pStyle w:val="ListParagraph"/>
        <w:numPr>
          <w:ilvl w:val="0"/>
          <w:numId w:val="1"/>
        </w:numPr>
        <w:spacing w:before="0" w:after="80"/>
        <w:jc w:val="both"/>
        <w:rPr/>
      </w:pPr>
      <w:r>
        <w:rPr/>
        <w:t>Participer activement aux réunions de coordination et sessions de travail.</w:t>
      </w:r>
    </w:p>
    <w:p>
      <w:pPr>
        <w:pStyle w:val="ListParagraph"/>
        <w:numPr>
          <w:ilvl w:val="0"/>
          <w:numId w:val="1"/>
        </w:numPr>
        <w:spacing w:before="0" w:after="80"/>
        <w:jc w:val="both"/>
        <w:rPr/>
      </w:pPr>
      <w:r>
        <w:rPr/>
        <w:t>Transmettre régulièrement les données de suivi terrain : indicateurs d'impact, retours bénéficiaires, résultats observés.</w:t>
      </w:r>
    </w:p>
    <w:p>
      <w:pPr>
        <w:pStyle w:val="ListParagraph"/>
        <w:numPr>
          <w:ilvl w:val="0"/>
          <w:numId w:val="1"/>
        </w:numPr>
        <w:spacing w:before="0" w:after="80"/>
        <w:jc w:val="both"/>
        <w:rPr/>
      </w:pPr>
      <w:r>
        <w:rPr/>
        <w:t>Valoriser ce partenariat dans toutes ses communications institutionnelles et locales.</w:t>
      </w:r>
    </w:p>
    <w:p>
      <w:pPr>
        <w:pStyle w:val="Heading1"/>
        <w:jc w:val="both"/>
        <w:rPr/>
      </w:pPr>
      <w:r>
        <w:rPr/>
        <w:t>Article 5 : La gouvernance : comment on travaille ensemble</w:t>
      </w:r>
    </w:p>
    <w:p>
      <w:pPr>
        <w:pStyle w:val="Normal"/>
        <w:spacing w:before="0" w:after="100"/>
        <w:jc w:val="both"/>
        <w:rPr/>
      </w:pPr>
      <w:r>
        <w:rPr/>
        <w:t>Un partenariat ne vit que s'il est entretenu. Pour cela, les deux parties mettent en place un cadre de pilotage simple et efficace :</w:t>
      </w:r>
    </w:p>
    <w:p>
      <w:pPr>
        <w:pStyle w:val="ListParagraph"/>
        <w:numPr>
          <w:ilvl w:val="0"/>
          <w:numId w:val="1"/>
        </w:numPr>
        <w:spacing w:before="0" w:after="80"/>
        <w:jc w:val="both"/>
        <w:rPr/>
      </w:pPr>
      <w:r>
        <w:rPr/>
        <w:t>Une réunion de coordination mensuelle pour le suivi opérationnel des actions en cours.</w:t>
      </w:r>
    </w:p>
    <w:p>
      <w:pPr>
        <w:pStyle w:val="ListParagraph"/>
        <w:numPr>
          <w:ilvl w:val="0"/>
          <w:numId w:val="1"/>
        </w:numPr>
        <w:spacing w:before="0" w:after="80"/>
        <w:jc w:val="both"/>
        <w:rPr/>
      </w:pPr>
      <w:r>
        <w:rPr/>
        <w:t>Une réunion stratégique trimestrielle pour prendre du recul, réorienter si nécessaire, et co-décider des prochaines étapes.</w:t>
      </w:r>
    </w:p>
    <w:p>
      <w:pPr>
        <w:pStyle w:val="ListParagraph"/>
        <w:numPr>
          <w:ilvl w:val="0"/>
          <w:numId w:val="1"/>
        </w:numPr>
        <w:spacing w:before="0" w:after="80"/>
        <w:jc w:val="both"/>
        <w:rPr/>
      </w:pPr>
      <w:r>
        <w:rPr/>
        <w:t>Un point focal désigné dans chaque organisation — interlocuteur privilégié pour fluidifier la communication au quotidien.</w:t>
      </w:r>
    </w:p>
    <w:p>
      <w:pPr>
        <w:pStyle w:val="ListParagraph"/>
        <w:numPr>
          <w:ilvl w:val="0"/>
          <w:numId w:val="1"/>
        </w:numPr>
        <w:spacing w:before="0" w:after="80"/>
        <w:jc w:val="both"/>
        <w:rPr/>
      </w:pPr>
      <w:r>
        <w:rPr/>
        <w:t>Un tableau de bord partagé de suivi des activités, accessible et mis à jour régulièrement.</w:t>
      </w:r>
    </w:p>
    <w:p>
      <w:pPr>
        <w:pStyle w:val="Heading1"/>
        <w:jc w:val="both"/>
        <w:rPr/>
      </w:pPr>
      <w:r>
        <w:rPr/>
        <w:t>Article 6 : Modalités financières</w:t>
      </w:r>
    </w:p>
    <w:p>
      <w:pPr>
        <w:pStyle w:val="Normal"/>
        <w:spacing w:before="0" w:after="100"/>
        <w:jc w:val="both"/>
        <w:rPr/>
      </w:pPr>
      <w:r>
        <w:rPr/>
        <w:t>Ce partenariat repose avant tout sur des échanges de compétences, de réseaux et d'expertise. Les modalités financières sont définies comme suit :</w:t>
      </w:r>
    </w:p>
    <w:p>
      <w:pPr>
        <w:pStyle w:val="ListParagraph"/>
        <w:numPr>
          <w:ilvl w:val="0"/>
          <w:numId w:val="1"/>
        </w:numPr>
        <w:spacing w:before="0" w:after="80"/>
        <w:jc w:val="both"/>
        <w:rPr/>
      </w:pPr>
      <w:r>
        <w:rPr/>
        <w:t>Des appuis financiers ponctuels peuvent être mobilisés selon les projets — sans être automatiquement garantis.</w:t>
      </w:r>
    </w:p>
    <w:p>
      <w:pPr>
        <w:pStyle w:val="ListParagraph"/>
        <w:numPr>
          <w:ilvl w:val="0"/>
          <w:numId w:val="1"/>
        </w:numPr>
        <w:spacing w:before="0" w:after="80"/>
        <w:jc w:val="both"/>
        <w:rPr/>
      </w:pPr>
      <w:r>
        <w:rPr/>
        <w:t>Chaque projet fera l'objet d'un accord spécifique précisant le budget, les objectifs et les livrables attendus.</w:t>
      </w:r>
    </w:p>
    <w:p>
      <w:pPr>
        <w:pStyle w:val="ListParagraph"/>
        <w:numPr>
          <w:ilvl w:val="0"/>
          <w:numId w:val="1"/>
        </w:numPr>
        <w:spacing w:before="0" w:after="80"/>
        <w:jc w:val="both"/>
        <w:rPr/>
      </w:pPr>
      <w:r>
        <w:rPr/>
        <w:t>Des co-financements ou financements externes pourront être recherchés conjointement.</w:t>
      </w:r>
    </w:p>
    <w:p>
      <w:pPr>
        <w:pStyle w:val="Heading1"/>
        <w:jc w:val="both"/>
        <w:rPr/>
      </w:pPr>
      <w:r>
        <w:rPr/>
        <w:t>Article 7 : Suivi et l'évaluation de l'impact</w:t>
      </w:r>
    </w:p>
    <w:p>
      <w:pPr>
        <w:pStyle w:val="Normal"/>
        <w:spacing w:before="0" w:after="100"/>
        <w:jc w:val="both"/>
        <w:rPr/>
      </w:pPr>
      <w:r>
        <w:rPr/>
        <w:t>L'impact n'est pas un concept abstrait — il se mesure, se documente et se partage. Les deux parties s'engagent à suivre :</w:t>
      </w:r>
    </w:p>
    <w:p>
      <w:pPr>
        <w:pStyle w:val="ListParagraph"/>
        <w:numPr>
          <w:ilvl w:val="0"/>
          <w:numId w:val="1"/>
        </w:numPr>
        <w:spacing w:before="0" w:after="80"/>
        <w:jc w:val="both"/>
        <w:rPr/>
      </w:pPr>
      <w:r>
        <w:rPr/>
        <w:t>Le nombre de bénéficiaires directement impactés par les actions menées.</w:t>
      </w:r>
    </w:p>
    <w:p>
      <w:pPr>
        <w:pStyle w:val="ListParagraph"/>
        <w:numPr>
          <w:ilvl w:val="0"/>
          <w:numId w:val="1"/>
        </w:numPr>
        <w:spacing w:before="0" w:after="80"/>
        <w:jc w:val="both"/>
        <w:rPr/>
      </w:pPr>
      <w:r>
        <w:rPr/>
        <w:t>Les projets lancés, renforcés ou transformés grâce au partenariat.</w:t>
      </w:r>
    </w:p>
    <w:p>
      <w:pPr>
        <w:pStyle w:val="ListParagraph"/>
        <w:numPr>
          <w:ilvl w:val="0"/>
          <w:numId w:val="1"/>
        </w:numPr>
        <w:spacing w:before="0" w:after="80"/>
        <w:jc w:val="both"/>
        <w:rPr/>
      </w:pPr>
      <w:r>
        <w:rPr/>
        <w:t>Les revenus générés et les activités structurées ou formalisées.</w:t>
      </w:r>
    </w:p>
    <w:p>
      <w:pPr>
        <w:pStyle w:val="ListParagraph"/>
        <w:numPr>
          <w:ilvl w:val="0"/>
          <w:numId w:val="1"/>
        </w:numPr>
        <w:spacing w:before="0" w:after="80"/>
        <w:jc w:val="both"/>
        <w:rPr/>
      </w:pPr>
      <w:r>
        <w:rPr/>
        <w:t>L'impact social et environnemental, qualitatif et quantitatif.</w:t>
      </w:r>
    </w:p>
    <w:p>
      <w:pPr>
        <w:pStyle w:val="Normal"/>
        <w:spacing w:before="160" w:after="200"/>
        <w:jc w:val="both"/>
        <w:rPr/>
      </w:pPr>
      <w:r>
        <w:rPr>
          <w:i/>
          <w:iCs/>
        </w:rPr>
        <w:t>Un rapport semestriel d'activité et d'impact sera co-produit et partagé par les deux parties.</w:t>
      </w:r>
    </w:p>
    <w:p>
      <w:pPr>
        <w:pStyle w:val="Heading1"/>
        <w:jc w:val="both"/>
        <w:rPr/>
      </w:pPr>
      <w:r>
        <w:rPr/>
        <w:t>Article 8 : Communication et la visibilité</w:t>
      </w:r>
    </w:p>
    <w:p>
      <w:pPr>
        <w:pStyle w:val="Normal"/>
        <w:spacing w:before="0" w:after="100"/>
        <w:jc w:val="both"/>
        <w:rPr/>
      </w:pPr>
      <w:r>
        <w:rPr/>
        <w:t>Ce que nous construisons ensemble mérite d'être partagé. Les deux organisations s'accordent sur :</w:t>
      </w:r>
    </w:p>
    <w:p>
      <w:pPr>
        <w:pStyle w:val="ListParagraph"/>
        <w:numPr>
          <w:ilvl w:val="0"/>
          <w:numId w:val="1"/>
        </w:numPr>
        <w:spacing w:before="0" w:after="80"/>
        <w:jc w:val="both"/>
        <w:rPr/>
      </w:pPr>
      <w:r>
        <w:rPr/>
        <w:t>L'utilisation conjointe des logos sur les supports liés aux projets partenariaux.</w:t>
      </w:r>
    </w:p>
    <w:p>
      <w:pPr>
        <w:pStyle w:val="ListParagraph"/>
        <w:numPr>
          <w:ilvl w:val="0"/>
          <w:numId w:val="1"/>
        </w:numPr>
        <w:spacing w:before="0" w:after="80"/>
        <w:jc w:val="both"/>
        <w:rPr/>
      </w:pPr>
      <w:r>
        <w:rPr/>
        <w:t>La valorisation des actions communes, des réussites et des apprentissages.</w:t>
      </w:r>
    </w:p>
    <w:p>
      <w:pPr>
        <w:pStyle w:val="ListParagraph"/>
        <w:numPr>
          <w:ilvl w:val="0"/>
          <w:numId w:val="1"/>
        </w:numPr>
        <w:spacing w:before="0" w:after="80"/>
        <w:jc w:val="both"/>
        <w:rPr/>
      </w:pPr>
      <w:r>
        <w:rPr/>
        <w:t>La possibilité de publications et de prises de parole conjointes sur les canaux respectifs.</w:t>
      </w:r>
    </w:p>
    <w:p>
      <w:pPr>
        <w:pStyle w:val="Heading1"/>
        <w:jc w:val="both"/>
        <w:rPr/>
      </w:pPr>
      <w:r>
        <w:rPr/>
        <w:t>Article 9 : Durée du partenariat</w:t>
      </w:r>
    </w:p>
    <w:p>
      <w:pPr>
        <w:pStyle w:val="Normal"/>
        <w:spacing w:before="0" w:after="200"/>
        <w:jc w:val="both"/>
        <w:rPr/>
      </w:pPr>
      <w:r>
        <w:rPr/>
        <w:t xml:space="preserve">La présente convention est conclue pour une durée initiale de </w:t>
      </w:r>
      <w:r>
        <w:rPr>
          <w:b/>
          <w:bCs/>
        </w:rPr>
        <w:t>12 mois</w:t>
      </w:r>
      <w:r>
        <w:rPr/>
        <w:t>, à compter de sa signature. Elle est renouvelable par tacite reconduction ou par accord exprès, avec possibilité d'extension ou d'évolution de son périmètre.</w:t>
      </w:r>
    </w:p>
    <w:p>
      <w:pPr>
        <w:pStyle w:val="Heading1"/>
        <w:jc w:val="both"/>
        <w:rPr/>
      </w:pPr>
      <w:r>
        <w:rPr/>
        <w:t>Article 10 : Résiliation</w:t>
      </w:r>
    </w:p>
    <w:p>
      <w:pPr>
        <w:pStyle w:val="Normal"/>
        <w:spacing w:before="0" w:after="100"/>
        <w:jc w:val="both"/>
        <w:rPr/>
      </w:pPr>
      <w:r>
        <w:rPr/>
        <w:t>Chaque partie peut mettre fin à la convention avec un préavis de 30 jours, notifié par écrit, dans les situations suivantes :</w:t>
      </w:r>
    </w:p>
    <w:p>
      <w:pPr>
        <w:pStyle w:val="ListParagraph"/>
        <w:numPr>
          <w:ilvl w:val="0"/>
          <w:numId w:val="1"/>
        </w:numPr>
        <w:spacing w:before="0" w:after="80"/>
        <w:jc w:val="both"/>
        <w:rPr/>
      </w:pPr>
      <w:r>
        <w:rPr/>
        <w:t>Non-respect répété et avéré des engagements de l'autre partie.</w:t>
      </w:r>
    </w:p>
    <w:p>
      <w:pPr>
        <w:pStyle w:val="ListParagraph"/>
        <w:numPr>
          <w:ilvl w:val="0"/>
          <w:numId w:val="1"/>
        </w:numPr>
        <w:spacing w:before="0" w:after="80"/>
        <w:jc w:val="both"/>
        <w:rPr/>
      </w:pPr>
      <w:r>
        <w:rPr/>
        <w:t>Blocage opérationnel majeur rendant impossible la poursuite de la collaboration.</w:t>
      </w:r>
    </w:p>
    <w:p>
      <w:pPr>
        <w:pStyle w:val="Normal"/>
        <w:spacing w:before="160" w:after="200"/>
        <w:jc w:val="both"/>
        <w:rPr/>
      </w:pPr>
      <w:r>
        <w:rPr>
          <w:i/>
          <w:iCs/>
        </w:rPr>
        <w:t>En cas de résiliation, les deux parties s'engagent à assurer une transition respectueuse des bénéficiaires et des projets en cours.</w:t>
      </w:r>
    </w:p>
    <w:p>
      <w:pPr>
        <w:pStyle w:val="Heading1"/>
        <w:jc w:val="both"/>
        <w:rPr/>
      </w:pPr>
      <w:r>
        <w:rPr/>
        <w:t>Article 11 : Dispositions finales</w:t>
      </w:r>
    </w:p>
    <w:p>
      <w:pPr>
        <w:pStyle w:val="Normal"/>
        <w:spacing w:before="0" w:after="160"/>
        <w:jc w:val="both"/>
        <w:rPr/>
      </w:pPr>
      <w:r>
        <w:rPr/>
        <w:t>La présente convention constitue un cadre de collaboration non exclusif, évolutif et ouvert. Elle ne crée pas de lien de subordination entre les parties, mais un engagement mutuel fondé sur des valeurs communes : intégrité, solidarité et impact durable.</w:t>
      </w:r>
    </w:p>
    <w:p>
      <w:pPr>
        <w:pStyle w:val="Normal"/>
        <w:spacing w:before="0" w:after="320"/>
        <w:jc w:val="both"/>
        <w:rPr/>
      </w:pPr>
      <w:r>
        <w:rPr/>
        <w:t>Tout différend relatif à l'interprétation ou à l'exécution de cette convention sera résolu en priorité par voie de dialogue et de médiation amiable.</w:t>
      </w:r>
    </w:p>
    <w:p>
      <w:pPr>
        <w:pStyle w:val="Normal"/>
        <w:pBdr>
          <w:top w:val="single" w:sz="6" w:space="1" w:color="1F6B3B"/>
        </w:pBdr>
        <w:spacing w:before="400" w:after="300"/>
        <w:jc w:val="both"/>
        <w:rPr/>
      </w:pPr>
      <w:r>
        <w:rPr>
          <w:rFonts w:eastAsia="Arial" w:cs="Arial" w:ascii="Arial" w:hAnsi="Arial"/>
          <w:b/>
          <w:bCs/>
          <w:color w:val="1F6B3B"/>
          <w:sz w:val="26"/>
          <w:szCs w:val="26"/>
        </w:rPr>
        <w:t>Signatures</w:t>
      </w:r>
    </w:p>
    <w:p>
      <w:pPr>
        <w:pStyle w:val="Normal"/>
        <w:spacing w:before="0" w:after="160"/>
        <w:jc w:val="both"/>
        <w:rPr/>
      </w:pPr>
      <w:r>
        <w:rPr>
          <w:i/>
          <w:iCs/>
        </w:rPr>
        <w:t>Fait en deux exemplaires originaux, ayant chacun valeur égale.</w:t>
      </w:r>
    </w:p>
    <w:p>
      <w:pPr>
        <w:pStyle w:val="Normal"/>
        <w:spacing w:before="0" w:after="40"/>
        <w:jc w:val="both"/>
        <w:rPr/>
      </w:pPr>
      <w:r>
        <w:rPr>
          <w:rFonts w:eastAsia="Arial" w:cs="Arial" w:ascii="Arial" w:hAnsi="Arial"/>
          <w:b/>
          <w:bCs/>
        </w:rPr>
        <w:t>Pour TEERRA AFRICA</w:t>
      </w:r>
      <w:r>
        <w:rPr/>
        <w:tab/>
        <w:tab/>
        <w:tab/>
        <w:tab/>
        <w:tab/>
      </w:r>
      <w:r>
        <w:rPr>
          <w:rFonts w:eastAsia="Arial" w:cs="Arial" w:ascii="Arial" w:hAnsi="Arial"/>
          <w:b/>
          <w:bCs/>
        </w:rPr>
        <w:t>Pour ASSOCIATION SONAGNON</w:t>
      </w:r>
    </w:p>
    <w:p>
      <w:pPr>
        <w:pStyle w:val="Normal"/>
        <w:spacing w:before="0" w:after="40"/>
        <w:jc w:val="both"/>
        <w:rPr/>
      </w:pPr>
      <w:r>
        <w:rPr/>
        <w:t>Mme Urielle HOUELAHO</w:t>
        <w:tab/>
        <w:tab/>
        <w:tab/>
        <w:tab/>
        <w:tab/>
        <w:t>Mme Prisca Théodora ZANCLAN</w:t>
      </w:r>
    </w:p>
    <w:p>
      <w:pPr>
        <w:pStyle w:val="Normal"/>
        <w:jc w:val="both"/>
        <w:rPr>
          <w:i/>
          <w:i/>
          <w:iCs/>
          <w:color w:val="555555"/>
          <w:sz w:val="20"/>
          <w:szCs w:val="20"/>
        </w:rPr>
      </w:pPr>
      <w:r>
        <w:rPr>
          <w:i/>
          <w:iCs/>
          <w:color w:val="555555"/>
          <w:sz w:val="20"/>
          <w:szCs w:val="20"/>
        </w:rPr>
        <w:t xml:space="preserve">Trésorière Générale </w:t>
      </w:r>
      <w:r>
        <w:rPr/>
        <w:tab/>
        <w:tab/>
        <w:tab/>
        <w:tab/>
        <w:tab/>
        <w:tab/>
      </w:r>
      <w:r>
        <w:rPr>
          <w:i/>
          <w:iCs/>
          <w:color w:val="555555"/>
          <w:sz w:val="20"/>
          <w:szCs w:val="20"/>
        </w:rPr>
        <w:t>Présidente</w:t>
      </w:r>
    </w:p>
    <w:p>
      <w:pPr>
        <w:pStyle w:val="Normal"/>
        <w:jc w:val="both"/>
        <w:rPr/>
      </w:pPr>
      <w:r>
        <w:rPr>
          <w:i/>
          <w:iCs/>
          <w:color w:val="555555"/>
          <w:sz w:val="20"/>
          <w:szCs w:val="20"/>
        </w:rPr>
        <w:t>Membre du Conseil d’Administration</w:t>
      </w:r>
    </w:p>
    <w:p>
      <w:pPr>
        <w:pStyle w:val="Normal"/>
        <w:spacing w:before="0" w:after="40"/>
        <w:jc w:val="both"/>
        <w:rPr/>
      </w:pPr>
      <w:r>
        <w:rPr/>
        <w:t>Date : ________________________</w:t>
        <w:tab/>
        <w:tab/>
        <w:tab/>
        <w:t>Date : ______________________</w:t>
      </w:r>
    </w:p>
    <w:p>
      <w:pPr>
        <w:pStyle w:val="Normal"/>
        <w:spacing w:before="0" w:after="80"/>
        <w:jc w:val="both"/>
        <w:rPr/>
      </w:pPr>
      <w:r>
        <w:rPr/>
      </w:r>
    </w:p>
    <w:p>
      <w:pPr>
        <w:pStyle w:val="Normal"/>
        <w:jc w:val="both"/>
        <w:rPr/>
      </w:pPr>
      <w:r>
        <w:rPr/>
        <w:t>Signature :</w:t>
        <w:tab/>
        <w:tab/>
        <w:tab/>
        <w:tab/>
        <w:tab/>
        <w:tab/>
        <w:tab/>
        <w:t>Signature :</w:t>
      </w:r>
    </w:p>
    <w:sectPr>
      <w:headerReference w:type="even" r:id="rId2"/>
      <w:headerReference w:type="default" r:id="rId3"/>
      <w:headerReference w:type="first" r:id="rId4"/>
      <w:type w:val="nextPage"/>
      <w:pgSz w:w="11906" w:h="16838"/>
      <w:pgMar w:left="1134" w:right="1134" w:gutter="0" w:header="708"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charset w:val="00"/>
    <w:family w:val="roman"/>
    <w:pitch w:val="variable"/>
  </w:font>
  <w:font w:name="Liberation Sans">
    <w:altName w:val="Arial"/>
    <w:charset w:val="00"/>
    <w:family w:val="swiss"/>
    <w:pitch w:val="variable"/>
  </w:font>
  <w:font w:name="OpenSymbol">
    <w:altName w:val="Arial Unicode MS"/>
    <w:charset w:val="01"/>
    <w:family w:val="auto"/>
    <w:pitch w:val="default"/>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954405" cy="954405"/>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1"/>
                  <a:stretch>
                    <a:fillRect/>
                  </a:stretch>
                </pic:blipFill>
                <pic:spPr bwMode="auto">
                  <a:xfrm>
                    <a:off x="0" y="0"/>
                    <a:ext cx="954405" cy="954405"/>
                  </a:xfrm>
                  <a:prstGeom prst="rect">
                    <a:avLst/>
                  </a:prstGeom>
                  <a:noFill/>
                </pic:spPr>
              </pic:pic>
            </a:graphicData>
          </a:graphic>
        </wp:inline>
      </w:drawing>
    </w:r>
    <w:r>
      <w:rPr/>
      <w:t xml:space="preserve">                        </w:t>
    </w:r>
    <w:r>
      <w:rPr/>
      <w:tab/>
    </w:r>
    <w:r>
      <w:rPr/>
      <w:drawing>
        <wp:inline distT="0" distB="0" distL="0" distR="0">
          <wp:extent cx="1831975" cy="619760"/>
          <wp:effectExtent l="0" t="0" r="0" b="0"/>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2"/>
                  <a:stretch>
                    <a:fillRect/>
                  </a:stretch>
                </pic:blipFill>
                <pic:spPr bwMode="auto">
                  <a:xfrm>
                    <a:off x="0" y="0"/>
                    <a:ext cx="1831975" cy="619760"/>
                  </a:xfrm>
                  <a:prstGeom prst="rect">
                    <a:avLst/>
                  </a:prstGeom>
                  <a:noFill/>
                </pic:spPr>
              </pic:pic>
            </a:graphicData>
          </a:graphic>
        </wp:inline>
      </w:drawing>
    </w:r>
    <w:r>
      <mc:AlternateContent>
        <mc:Choice Requires="wpg">
          <w:drawing>
            <wp:anchor behindDoc="0" distT="0" distB="0" distL="7620" distR="4445" simplePos="0" locked="0" layoutInCell="1" allowOverlap="1" relativeHeight="13">
              <wp:simplePos x="0" y="0"/>
              <wp:positionH relativeFrom="column">
                <wp:posOffset>4674235</wp:posOffset>
              </wp:positionH>
              <wp:positionV relativeFrom="paragraph">
                <wp:posOffset>86360</wp:posOffset>
              </wp:positionV>
              <wp:extent cx="1757680" cy="967740"/>
              <wp:effectExtent l="9525" t="0" r="8255" b="0"/>
              <wp:wrapNone/>
              <wp:docPr id="3" name="Group 9"/>
              <a:graphic xmlns:a="http://schemas.openxmlformats.org/drawingml/2006/main">
                <a:graphicData uri="http://schemas.microsoft.com/office/word/2010/wordprocessingGroup">
                  <wpg:wgp>
                    <wpg:cNvGrpSpPr/>
                    <wpg:grpSpPr>
                      <a:xfrm>
                        <a:off x="0" y="0"/>
                        <a:ext cx="1757520" cy="967680"/>
                        <a:chOff x="0" y="0"/>
                        <a:chExt cx="1757520" cy="967680"/>
                      </a:xfrm>
                    </wpg:grpSpPr>
                    <pic:pic xmlns:pic="http://schemas.openxmlformats.org/drawingml/2006/picture">
                      <pic:nvPicPr>
                        <pic:cNvPr id="4" name="Image 4" descr=""/>
                        <pic:cNvPicPr/>
                      </pic:nvPicPr>
                      <pic:blipFill>
                        <a:blip r:embed="rId3"/>
                        <a:stretch/>
                      </pic:blipFill>
                      <pic:spPr>
                        <a:xfrm>
                          <a:off x="18360" y="507240"/>
                          <a:ext cx="906840" cy="168120"/>
                        </a:xfrm>
                        <a:prstGeom prst="rect">
                          <a:avLst/>
                        </a:prstGeom>
                        <a:ln w="0">
                          <a:noFill/>
                        </a:ln>
                      </pic:spPr>
                    </pic:pic>
                    <pic:pic xmlns:pic="http://schemas.openxmlformats.org/drawingml/2006/picture">
                      <pic:nvPicPr>
                        <pic:cNvPr id="5" name="Image 5" descr=""/>
                        <pic:cNvPicPr/>
                      </pic:nvPicPr>
                      <pic:blipFill>
                        <a:blip r:embed="rId4"/>
                        <a:stretch/>
                      </pic:blipFill>
                      <pic:spPr>
                        <a:xfrm>
                          <a:off x="907920" y="334080"/>
                          <a:ext cx="840240" cy="147960"/>
                        </a:xfrm>
                        <a:prstGeom prst="rect">
                          <a:avLst/>
                        </a:prstGeom>
                        <a:ln w="0">
                          <a:noFill/>
                        </a:ln>
                      </pic:spPr>
                    </pic:pic>
                    <pic:pic xmlns:pic="http://schemas.openxmlformats.org/drawingml/2006/picture">
                      <pic:nvPicPr>
                        <pic:cNvPr id="6" name="Image 6" descr=""/>
                        <pic:cNvPicPr/>
                      </pic:nvPicPr>
                      <pic:blipFill>
                        <a:blip r:embed="rId5"/>
                        <a:stretch/>
                      </pic:blipFill>
                      <pic:spPr>
                        <a:xfrm flipH="1">
                          <a:off x="117360" y="150480"/>
                          <a:ext cx="636840" cy="361800"/>
                        </a:xfrm>
                        <a:prstGeom prst="rect">
                          <a:avLst/>
                        </a:prstGeom>
                        <a:ln w="0">
                          <a:noFill/>
                        </a:ln>
                      </pic:spPr>
                    </pic:pic>
                    <pic:pic xmlns:pic="http://schemas.openxmlformats.org/drawingml/2006/picture">
                      <pic:nvPicPr>
                        <pic:cNvPr id="7" name="Image 7" descr=""/>
                        <pic:cNvPicPr/>
                      </pic:nvPicPr>
                      <pic:blipFill>
                        <a:blip r:embed="rId6"/>
                        <a:stretch/>
                      </pic:blipFill>
                      <pic:spPr>
                        <a:xfrm>
                          <a:off x="996480" y="502200"/>
                          <a:ext cx="570960" cy="348480"/>
                        </a:xfrm>
                        <a:prstGeom prst="rect">
                          <a:avLst/>
                        </a:prstGeom>
                        <a:ln w="0">
                          <a:noFill/>
                        </a:ln>
                      </pic:spPr>
                    </pic:pic>
                    <wps:wsp>
                      <wps:cNvSpPr/>
                      <wps:spPr>
                        <a:xfrm>
                          <a:off x="720" y="496080"/>
                          <a:ext cx="1755720" cy="720"/>
                        </a:xfrm>
                        <a:prstGeom prst="line">
                          <a:avLst/>
                        </a:prstGeom>
                        <a:ln w="19050">
                          <a:solidFill>
                            <a:srgbClr val="ff0000"/>
                          </a:solidFill>
                          <a:round/>
                        </a:ln>
                      </wps:spPr>
                      <wps:style>
                        <a:lnRef idx="0"/>
                        <a:fillRef idx="0"/>
                        <a:effectRef idx="0"/>
                        <a:fontRef idx="minor"/>
                      </wps:style>
                      <wps:bodyPr/>
                    </wps:wsp>
                    <wps:wsp>
                      <wps:cNvPr id="8" name="AutoShape 3"/>
                      <wps:cNvSpPr/>
                      <wps:spPr>
                        <a:xfrm>
                          <a:off x="0" y="120600"/>
                          <a:ext cx="885240" cy="847080"/>
                        </a:xfrm>
                        <a:custGeom>
                          <a:avLst/>
                          <a:gdLst>
                            <a:gd name="textAreaLeft" fmla="*/ 3240 w 501840"/>
                            <a:gd name="textAreaRight" fmla="*/ 500040 w 501840"/>
                            <a:gd name="textAreaTop" fmla="*/ 0 h 480240"/>
                            <a:gd name="textAreaBottom" fmla="*/ 280440 h 480240"/>
                          </a:gdLst>
                          <a:ahLst/>
                          <a:rect l="textAreaLeft" t="textAreaTop" r="textAreaRight" b="textAreaBottom"/>
                          <a:pathLst>
                            <a:path w="21600" h="21600">
                              <a:moveTo>
                                <a:pt x="69" y="9577"/>
                              </a:moveTo>
                              <a:cubicBezTo>
                                <a:pt x="690" y="4121"/>
                                <a:pt x="5308" y="0"/>
                                <a:pt x="10800" y="0"/>
                              </a:cubicBezTo>
                              <a:cubicBezTo>
                                <a:pt x="16291" y="0"/>
                                <a:pt x="20909" y="4121"/>
                                <a:pt x="21530" y="9577"/>
                              </a:cubicBezTo>
                              <a:cubicBezTo>
                                <a:pt x="20909" y="4121"/>
                                <a:pt x="16291" y="0"/>
                                <a:pt x="10799" y="0"/>
                              </a:cubicBezTo>
                              <a:cubicBezTo>
                                <a:pt x="5308" y="0"/>
                                <a:pt x="690" y="4121"/>
                                <a:pt x="69" y="9577"/>
                              </a:cubicBezTo>
                              <a:close/>
                            </a:path>
                          </a:pathLst>
                        </a:custGeom>
                        <a:solidFill>
                          <a:srgbClr val="ffffff"/>
                        </a:solidFill>
                        <a:ln w="19050">
                          <a:solidFill>
                            <a:srgbClr val="ff0000"/>
                          </a:solidFill>
                          <a:miter/>
                        </a:ln>
                      </wps:spPr>
                      <wps:style>
                        <a:lnRef idx="0"/>
                        <a:fillRef idx="0"/>
                        <a:effectRef idx="0"/>
                        <a:fontRef idx="minor"/>
                      </wps:style>
                      <wps:bodyPr/>
                    </wps:wsp>
                    <wps:wsp>
                      <wps:cNvPr id="9" name="AutoShape 4"/>
                      <wps:cNvSpPr/>
                      <wps:spPr>
                        <a:xfrm rot="10744800">
                          <a:off x="878400" y="6840"/>
                          <a:ext cx="872640" cy="846360"/>
                        </a:xfrm>
                        <a:custGeom>
                          <a:avLst/>
                          <a:gdLst>
                            <a:gd name="textAreaLeft" fmla="*/ 1800 w 494640"/>
                            <a:gd name="textAreaRight" fmla="*/ 494280 w 494640"/>
                            <a:gd name="textAreaTop" fmla="*/ 0 h 479880"/>
                            <a:gd name="textAreaBottom" fmla="*/ 271440 h 479880"/>
                          </a:gdLst>
                          <a:ahLst/>
                          <a:rect l="textAreaLeft" t="textAreaTop" r="textAreaRight" b="textAreaBottom"/>
                          <a:pathLst>
                            <a:path w="21600" h="21600">
                              <a:moveTo>
                                <a:pt x="116" y="9216"/>
                              </a:moveTo>
                              <a:cubicBezTo>
                                <a:pt x="901" y="3921"/>
                                <a:pt x="5447" y="0"/>
                                <a:pt x="10800" y="0"/>
                              </a:cubicBezTo>
                              <a:cubicBezTo>
                                <a:pt x="16152" y="0"/>
                                <a:pt x="20698" y="3921"/>
                                <a:pt x="21483" y="9216"/>
                              </a:cubicBezTo>
                              <a:cubicBezTo>
                                <a:pt x="20698" y="3921"/>
                                <a:pt x="16152" y="0"/>
                                <a:pt x="10799" y="0"/>
                              </a:cubicBezTo>
                              <a:cubicBezTo>
                                <a:pt x="5447" y="0"/>
                                <a:pt x="901" y="3921"/>
                                <a:pt x="116" y="9216"/>
                              </a:cubicBezTo>
                              <a:close/>
                            </a:path>
                          </a:pathLst>
                        </a:custGeom>
                        <a:solidFill>
                          <a:srgbClr val="ffffff"/>
                        </a:solidFill>
                        <a:ln w="19050">
                          <a:solidFill>
                            <a:srgbClr val="ff0000"/>
                          </a:solidFill>
                          <a:miter/>
                        </a:ln>
                      </wps:spPr>
                      <wps:style>
                        <a:lnRef idx="0"/>
                        <a:fillRef idx="0"/>
                        <a:effectRef idx="0"/>
                        <a:fontRef idx="minor"/>
                      </wps:style>
                      <wps:bodyPr/>
                    </wps:wsp>
                  </wpg:wgp>
                </a:graphicData>
              </a:graphic>
            </wp:anchor>
          </w:drawing>
        </mc:Choice>
        <mc:Fallback>
          <w:pict>
            <v:group id="shape_0" alt="Group 9" style="position:absolute;margin-left:368.05pt;margin-top:7.3pt;width:138.2pt;height:75.7pt" coordorigin="7361,146" coordsize="2764,15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4" stroked="f" o:allowincell="f" style="position:absolute;left:7390;top:935;width:1427;height:264;mso-wrap-style:none;v-text-anchor:middle" type="_x0000_t75">
                <v:imagedata r:id="rId7" o:detectmouseclick="t"/>
                <v:stroke color="#3465a4" joinstyle="round" endcap="flat"/>
                <w10:wrap type="none"/>
              </v:shape>
              <v:shape id="shape_0" ID="Image 5" stroked="f" o:allowincell="f" style="position:absolute;left:8791;top:662;width:1322;height:232;mso-wrap-style:none;v-text-anchor:middle" type="_x0000_t75">
                <v:imagedata r:id="rId8" o:detectmouseclick="t"/>
                <v:stroke color="#3465a4" joinstyle="round" endcap="flat"/>
                <w10:wrap type="none"/>
              </v:shape>
              <v:shape id="shape_0" ID="Image 6" stroked="f" o:allowincell="f" style="position:absolute;left:7546;top:373;width:1002;height:569;mso-wrap-style:none;v-text-anchor:middle" type="_x0000_t75">
                <v:imagedata r:id="rId9" o:detectmouseclick="t"/>
                <v:stroke color="#3465a4" joinstyle="round" endcap="flat"/>
                <w10:wrap type="none"/>
              </v:shape>
              <v:shape id="shape_0" ID="Image 7" stroked="f" o:allowincell="f" style="position:absolute;left:8930;top:927;width:898;height:548;mso-wrap-style:none;v-text-anchor:middle" type="_x0000_t75">
                <v:imagedata r:id="rId10" o:detectmouseclick="t"/>
                <v:stroke color="#3465a4" joinstyle="round" endcap="flat"/>
                <w10:wrap type="none"/>
              </v:shape>
              <v:line id="shape_0" from="7362,917" to="10126,917" stroked="t" o:allowincell="f" style="position:absolute">
                <v:stroke color="red" weight="19080" joinstyle="round" endcap="flat"/>
                <v:fill o:detectmouseclick="t" on="false"/>
                <w10:wrap type="none"/>
              </v:line>
            </v:group>
          </w:pict>
        </mc:Fallback>
      </mc:AlternateContent>
    </w:r>
    <w:r>
      <w:rPr/>
      <w:tab/>
      <w:t xml:space="preserve">   </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954405" cy="954405"/>
          <wp:effectExtent l="0" t="0" r="0" b="0"/>
          <wp:docPr id="10"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 descr=""/>
                  <pic:cNvPicPr>
                    <a:picLocks noChangeAspect="1" noChangeArrowheads="1"/>
                  </pic:cNvPicPr>
                </pic:nvPicPr>
                <pic:blipFill>
                  <a:blip r:embed="rId1"/>
                  <a:stretch>
                    <a:fillRect/>
                  </a:stretch>
                </pic:blipFill>
                <pic:spPr bwMode="auto">
                  <a:xfrm>
                    <a:off x="0" y="0"/>
                    <a:ext cx="954405" cy="954405"/>
                  </a:xfrm>
                  <a:prstGeom prst="rect">
                    <a:avLst/>
                  </a:prstGeom>
                  <a:noFill/>
                </pic:spPr>
              </pic:pic>
            </a:graphicData>
          </a:graphic>
        </wp:inline>
      </w:drawing>
    </w:r>
    <w:r>
      <w:rPr/>
      <w:t xml:space="preserve">                        </w:t>
    </w:r>
    <w:r>
      <w:rPr/>
      <w:tab/>
    </w:r>
    <w:r>
      <w:rPr/>
      <w:drawing>
        <wp:inline distT="0" distB="0" distL="0" distR="0">
          <wp:extent cx="1831975" cy="619760"/>
          <wp:effectExtent l="0" t="0" r="0" b="0"/>
          <wp:docPr id="1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2" descr=""/>
                  <pic:cNvPicPr>
                    <a:picLocks noChangeAspect="1" noChangeArrowheads="1"/>
                  </pic:cNvPicPr>
                </pic:nvPicPr>
                <pic:blipFill>
                  <a:blip r:embed="rId2"/>
                  <a:stretch>
                    <a:fillRect/>
                  </a:stretch>
                </pic:blipFill>
                <pic:spPr bwMode="auto">
                  <a:xfrm>
                    <a:off x="0" y="0"/>
                    <a:ext cx="1831975" cy="619760"/>
                  </a:xfrm>
                  <a:prstGeom prst="rect">
                    <a:avLst/>
                  </a:prstGeom>
                  <a:noFill/>
                </pic:spPr>
              </pic:pic>
            </a:graphicData>
          </a:graphic>
        </wp:inline>
      </w:drawing>
    </w:r>
    <w:r>
      <mc:AlternateContent>
        <mc:Choice Requires="wpg">
          <w:drawing>
            <wp:anchor behindDoc="0" distT="0" distB="0" distL="7620" distR="4445" simplePos="0" locked="0" layoutInCell="1" allowOverlap="1" relativeHeight="13">
              <wp:simplePos x="0" y="0"/>
              <wp:positionH relativeFrom="column">
                <wp:posOffset>4674235</wp:posOffset>
              </wp:positionH>
              <wp:positionV relativeFrom="paragraph">
                <wp:posOffset>86360</wp:posOffset>
              </wp:positionV>
              <wp:extent cx="1757680" cy="967740"/>
              <wp:effectExtent l="9525" t="0" r="8255" b="0"/>
              <wp:wrapNone/>
              <wp:docPr id="12" name="Group 9"/>
              <a:graphic xmlns:a="http://schemas.openxmlformats.org/drawingml/2006/main">
                <a:graphicData uri="http://schemas.microsoft.com/office/word/2010/wordprocessingGroup">
                  <wpg:wgp>
                    <wpg:cNvGrpSpPr/>
                    <wpg:grpSpPr>
                      <a:xfrm>
                        <a:off x="0" y="0"/>
                        <a:ext cx="1757520" cy="967680"/>
                        <a:chOff x="0" y="0"/>
                        <a:chExt cx="1757520" cy="967680"/>
                      </a:xfrm>
                    </wpg:grpSpPr>
                    <pic:pic xmlns:pic="http://schemas.openxmlformats.org/drawingml/2006/picture">
                      <pic:nvPicPr>
                        <pic:cNvPr id="13" name="Image 4" descr=""/>
                        <pic:cNvPicPr/>
                      </pic:nvPicPr>
                      <pic:blipFill>
                        <a:blip r:embed="rId3"/>
                        <a:stretch/>
                      </pic:blipFill>
                      <pic:spPr>
                        <a:xfrm>
                          <a:off x="18360" y="507240"/>
                          <a:ext cx="906840" cy="168120"/>
                        </a:xfrm>
                        <a:prstGeom prst="rect">
                          <a:avLst/>
                        </a:prstGeom>
                        <a:ln w="0">
                          <a:noFill/>
                        </a:ln>
                      </pic:spPr>
                    </pic:pic>
                    <pic:pic xmlns:pic="http://schemas.openxmlformats.org/drawingml/2006/picture">
                      <pic:nvPicPr>
                        <pic:cNvPr id="14" name="Image 5" descr=""/>
                        <pic:cNvPicPr/>
                      </pic:nvPicPr>
                      <pic:blipFill>
                        <a:blip r:embed="rId4"/>
                        <a:stretch/>
                      </pic:blipFill>
                      <pic:spPr>
                        <a:xfrm>
                          <a:off x="907920" y="334080"/>
                          <a:ext cx="840240" cy="147960"/>
                        </a:xfrm>
                        <a:prstGeom prst="rect">
                          <a:avLst/>
                        </a:prstGeom>
                        <a:ln w="0">
                          <a:noFill/>
                        </a:ln>
                      </pic:spPr>
                    </pic:pic>
                    <pic:pic xmlns:pic="http://schemas.openxmlformats.org/drawingml/2006/picture">
                      <pic:nvPicPr>
                        <pic:cNvPr id="15" name="Image 6" descr=""/>
                        <pic:cNvPicPr/>
                      </pic:nvPicPr>
                      <pic:blipFill>
                        <a:blip r:embed="rId5"/>
                        <a:stretch/>
                      </pic:blipFill>
                      <pic:spPr>
                        <a:xfrm flipH="1">
                          <a:off x="117360" y="150480"/>
                          <a:ext cx="636840" cy="361800"/>
                        </a:xfrm>
                        <a:prstGeom prst="rect">
                          <a:avLst/>
                        </a:prstGeom>
                        <a:ln w="0">
                          <a:noFill/>
                        </a:ln>
                      </pic:spPr>
                    </pic:pic>
                    <pic:pic xmlns:pic="http://schemas.openxmlformats.org/drawingml/2006/picture">
                      <pic:nvPicPr>
                        <pic:cNvPr id="16" name="Image 7" descr=""/>
                        <pic:cNvPicPr/>
                      </pic:nvPicPr>
                      <pic:blipFill>
                        <a:blip r:embed="rId6"/>
                        <a:stretch/>
                      </pic:blipFill>
                      <pic:spPr>
                        <a:xfrm>
                          <a:off x="996480" y="502200"/>
                          <a:ext cx="570960" cy="348480"/>
                        </a:xfrm>
                        <a:prstGeom prst="rect">
                          <a:avLst/>
                        </a:prstGeom>
                        <a:ln w="0">
                          <a:noFill/>
                        </a:ln>
                      </pic:spPr>
                    </pic:pic>
                    <wps:wsp>
                      <wps:cNvSpPr/>
                      <wps:spPr>
                        <a:xfrm>
                          <a:off x="720" y="496080"/>
                          <a:ext cx="1755720" cy="720"/>
                        </a:xfrm>
                        <a:prstGeom prst="line">
                          <a:avLst/>
                        </a:prstGeom>
                        <a:ln w="19050">
                          <a:solidFill>
                            <a:srgbClr val="ff0000"/>
                          </a:solidFill>
                          <a:round/>
                        </a:ln>
                      </wps:spPr>
                      <wps:style>
                        <a:lnRef idx="0"/>
                        <a:fillRef idx="0"/>
                        <a:effectRef idx="0"/>
                        <a:fontRef idx="minor"/>
                      </wps:style>
                      <wps:bodyPr/>
                    </wps:wsp>
                    <wps:wsp>
                      <wps:cNvPr id="17" name="AutoShape 3"/>
                      <wps:cNvSpPr/>
                      <wps:spPr>
                        <a:xfrm>
                          <a:off x="0" y="120600"/>
                          <a:ext cx="885240" cy="847080"/>
                        </a:xfrm>
                        <a:custGeom>
                          <a:avLst/>
                          <a:gdLst>
                            <a:gd name="textAreaLeft" fmla="*/ 3240 w 501840"/>
                            <a:gd name="textAreaRight" fmla="*/ 500040 w 501840"/>
                            <a:gd name="textAreaTop" fmla="*/ 0 h 480240"/>
                            <a:gd name="textAreaBottom" fmla="*/ 280440 h 480240"/>
                          </a:gdLst>
                          <a:ahLst/>
                          <a:rect l="textAreaLeft" t="textAreaTop" r="textAreaRight" b="textAreaBottom"/>
                          <a:pathLst>
                            <a:path w="21600" h="21600">
                              <a:moveTo>
                                <a:pt x="69" y="9577"/>
                              </a:moveTo>
                              <a:cubicBezTo>
                                <a:pt x="690" y="4121"/>
                                <a:pt x="5308" y="0"/>
                                <a:pt x="10800" y="0"/>
                              </a:cubicBezTo>
                              <a:cubicBezTo>
                                <a:pt x="16291" y="0"/>
                                <a:pt x="20909" y="4121"/>
                                <a:pt x="21530" y="9577"/>
                              </a:cubicBezTo>
                              <a:cubicBezTo>
                                <a:pt x="20909" y="4121"/>
                                <a:pt x="16291" y="0"/>
                                <a:pt x="10799" y="0"/>
                              </a:cubicBezTo>
                              <a:cubicBezTo>
                                <a:pt x="5308" y="0"/>
                                <a:pt x="690" y="4121"/>
                                <a:pt x="69" y="9577"/>
                              </a:cubicBezTo>
                              <a:close/>
                            </a:path>
                          </a:pathLst>
                        </a:custGeom>
                        <a:solidFill>
                          <a:srgbClr val="ffffff"/>
                        </a:solidFill>
                        <a:ln w="19050">
                          <a:solidFill>
                            <a:srgbClr val="ff0000"/>
                          </a:solidFill>
                          <a:miter/>
                        </a:ln>
                      </wps:spPr>
                      <wps:style>
                        <a:lnRef idx="0"/>
                        <a:fillRef idx="0"/>
                        <a:effectRef idx="0"/>
                        <a:fontRef idx="minor"/>
                      </wps:style>
                      <wps:bodyPr/>
                    </wps:wsp>
                    <wps:wsp>
                      <wps:cNvPr id="18" name="AutoShape 4"/>
                      <wps:cNvSpPr/>
                      <wps:spPr>
                        <a:xfrm rot="10744800">
                          <a:off x="878400" y="6840"/>
                          <a:ext cx="872640" cy="846360"/>
                        </a:xfrm>
                        <a:custGeom>
                          <a:avLst/>
                          <a:gdLst>
                            <a:gd name="textAreaLeft" fmla="*/ 1800 w 494640"/>
                            <a:gd name="textAreaRight" fmla="*/ 494280 w 494640"/>
                            <a:gd name="textAreaTop" fmla="*/ 0 h 479880"/>
                            <a:gd name="textAreaBottom" fmla="*/ 271440 h 479880"/>
                          </a:gdLst>
                          <a:ahLst/>
                          <a:rect l="textAreaLeft" t="textAreaTop" r="textAreaRight" b="textAreaBottom"/>
                          <a:pathLst>
                            <a:path w="21600" h="21600">
                              <a:moveTo>
                                <a:pt x="116" y="9216"/>
                              </a:moveTo>
                              <a:cubicBezTo>
                                <a:pt x="901" y="3921"/>
                                <a:pt x="5447" y="0"/>
                                <a:pt x="10800" y="0"/>
                              </a:cubicBezTo>
                              <a:cubicBezTo>
                                <a:pt x="16152" y="0"/>
                                <a:pt x="20698" y="3921"/>
                                <a:pt x="21483" y="9216"/>
                              </a:cubicBezTo>
                              <a:cubicBezTo>
                                <a:pt x="20698" y="3921"/>
                                <a:pt x="16152" y="0"/>
                                <a:pt x="10799" y="0"/>
                              </a:cubicBezTo>
                              <a:cubicBezTo>
                                <a:pt x="5447" y="0"/>
                                <a:pt x="901" y="3921"/>
                                <a:pt x="116" y="9216"/>
                              </a:cubicBezTo>
                              <a:close/>
                            </a:path>
                          </a:pathLst>
                        </a:custGeom>
                        <a:solidFill>
                          <a:srgbClr val="ffffff"/>
                        </a:solidFill>
                        <a:ln w="19050">
                          <a:solidFill>
                            <a:srgbClr val="ff0000"/>
                          </a:solidFill>
                          <a:miter/>
                        </a:ln>
                      </wps:spPr>
                      <wps:style>
                        <a:lnRef idx="0"/>
                        <a:fillRef idx="0"/>
                        <a:effectRef idx="0"/>
                        <a:fontRef idx="minor"/>
                      </wps:style>
                      <wps:bodyPr/>
                    </wps:wsp>
                  </wpg:wgp>
                </a:graphicData>
              </a:graphic>
            </wp:anchor>
          </w:drawing>
        </mc:Choice>
        <mc:Fallback>
          <w:pict>
            <v:group id="shape_0" alt="Group 9" style="position:absolute;margin-left:368.05pt;margin-top:7.3pt;width:138.2pt;height:75.7pt" coordorigin="7361,146" coordsize="2764,1514">
              <v:shape id="shape_0" ID="Image 4" stroked="f" o:allowincell="f" style="position:absolute;left:7390;top:935;width:1427;height:264;mso-wrap-style:none;v-text-anchor:middle" type="_x0000_t75">
                <v:imagedata r:id="rId7" o:detectmouseclick="t"/>
                <v:stroke color="#3465a4" joinstyle="round" endcap="flat"/>
                <w10:wrap type="none"/>
              </v:shape>
              <v:shape id="shape_0" ID="Image 5" stroked="f" o:allowincell="f" style="position:absolute;left:8791;top:662;width:1322;height:232;mso-wrap-style:none;v-text-anchor:middle" type="_x0000_t75">
                <v:imagedata r:id="rId8" o:detectmouseclick="t"/>
                <v:stroke color="#3465a4" joinstyle="round" endcap="flat"/>
                <w10:wrap type="none"/>
              </v:shape>
              <v:shape id="shape_0" ID="Image 6" stroked="f" o:allowincell="f" style="position:absolute;left:7546;top:373;width:1002;height:569;mso-wrap-style:none;v-text-anchor:middle" type="_x0000_t75">
                <v:imagedata r:id="rId9" o:detectmouseclick="t"/>
                <v:stroke color="#3465a4" joinstyle="round" endcap="flat"/>
                <w10:wrap type="none"/>
              </v:shape>
              <v:shape id="shape_0" ID="Image 7" stroked="f" o:allowincell="f" style="position:absolute;left:8930;top:927;width:898;height:548;mso-wrap-style:none;v-text-anchor:middle" type="_x0000_t75">
                <v:imagedata r:id="rId10" o:detectmouseclick="t"/>
                <v:stroke color="#3465a4" joinstyle="round" endcap="flat"/>
                <w10:wrap type="none"/>
              </v:shape>
              <v:line id="shape_0" from="7362,917" to="10126,917" stroked="t" o:allowincell="f" style="position:absolute">
                <v:stroke color="red" weight="19080" joinstyle="round" endcap="flat"/>
                <v:fill o:detectmouseclick="t" on="false"/>
                <w10:wrap type="none"/>
              </v:line>
            </v:group>
          </w:pict>
        </mc:Fallback>
      </mc:AlternateContent>
    </w:r>
    <w:r>
      <w:rPr/>
      <w:tab/>
      <w:t xml:space="preserve">   </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color w:val="1F6B3B"/>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OpenSymbol" w:hAnsi="OpenSymbol" w:cs="OpenSymbol" w:hint="default"/>
        <w:color w:val="003399"/>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360" w:hanging="360"/>
      </w:pPr>
      <w:rPr>
        <w:rFonts w:ascii="OpenSymbol" w:hAnsi="OpenSymbol" w:cs="OpenSymbol" w:hint="default"/>
        <w:color w:val="1F6B3B"/>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bullet"/>
      <w:lvlText w:val="■"/>
      <w:lvlJc w:val="left"/>
      <w:pPr>
        <w:tabs>
          <w:tab w:val="num" w:pos="0"/>
        </w:tabs>
        <w:ind w:left="360" w:hanging="360"/>
      </w:pPr>
      <w:rPr>
        <w:rFonts w:ascii="OpenSymbol" w:hAnsi="OpenSymbol" w:cs="OpenSymbol" w:hint="default"/>
        <w:color w:val="1F6B3B"/>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color w:val="1A1A1A"/>
        <w:sz w:val="22"/>
        <w:szCs w:val="22"/>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Georgia" w:hAnsi="Georgia" w:eastAsia="Georgia" w:cs="Georgia"/>
      <w:color w:val="1A1A1A"/>
      <w:kern w:val="0"/>
      <w:sz w:val="22"/>
      <w:szCs w:val="22"/>
      <w:lang w:val="fr-FR" w:eastAsia="fr-FR" w:bidi="ar-SA"/>
    </w:rPr>
  </w:style>
  <w:style w:type="paragraph" w:styleId="Heading1">
    <w:name w:val="heading 1"/>
    <w:uiPriority w:val="9"/>
    <w:qFormat/>
    <w:pPr>
      <w:widowControl/>
      <w:pBdr>
        <w:bottom w:val="single" w:sz="4" w:space="4" w:color="1F6B3B"/>
      </w:pBdr>
      <w:bidi w:val="0"/>
      <w:spacing w:before="400" w:after="140"/>
      <w:jc w:val="left"/>
      <w:outlineLvl w:val="0"/>
    </w:pPr>
    <w:rPr>
      <w:rFonts w:ascii="Arial" w:hAnsi="Arial" w:eastAsia="Arial" w:cs="Arial"/>
      <w:b/>
      <w:bCs/>
      <w:color w:val="1F6B3B"/>
      <w:kern w:val="0"/>
      <w:sz w:val="28"/>
      <w:szCs w:val="28"/>
      <w:lang w:val="fr-FR" w:eastAsia="fr-FR" w:bidi="ar-SA"/>
    </w:rPr>
  </w:style>
  <w:style w:type="paragraph" w:styleId="Heading2">
    <w:name w:val="heading 2"/>
    <w:uiPriority w:val="9"/>
    <w:unhideWhenUsed/>
    <w:qFormat/>
    <w:pPr>
      <w:widowControl/>
      <w:bidi w:val="0"/>
      <w:spacing w:before="280" w:after="100"/>
      <w:jc w:val="left"/>
      <w:outlineLvl w:val="1"/>
    </w:pPr>
    <w:rPr>
      <w:rFonts w:ascii="Arial" w:hAnsi="Arial" w:eastAsia="Arial" w:cs="Arial"/>
      <w:b/>
      <w:bCs/>
      <w:color w:val="2E7D5A"/>
      <w:kern w:val="0"/>
      <w:sz w:val="24"/>
      <w:szCs w:val="24"/>
      <w:lang w:val="fr-FR" w:eastAsia="fr-FR" w:bidi="ar-SA"/>
    </w:rPr>
  </w:style>
  <w:style w:type="paragraph" w:styleId="Heading3">
    <w:name w:val="heading 3"/>
    <w:uiPriority w:val="9"/>
    <w:unhideWhenUsed/>
    <w:qFormat/>
    <w:pPr>
      <w:widowControl/>
      <w:bidi w:val="0"/>
      <w:spacing w:before="200" w:after="80"/>
      <w:jc w:val="left"/>
      <w:outlineLvl w:val="2"/>
    </w:pPr>
    <w:rPr>
      <w:rFonts w:ascii="Arial" w:hAnsi="Arial" w:eastAsia="Arial" w:cs="Arial"/>
      <w:b/>
      <w:bCs/>
      <w:color w:val="003399"/>
      <w:kern w:val="0"/>
      <w:sz w:val="22"/>
      <w:szCs w:val="22"/>
      <w:lang w:val="fr-FR" w:eastAsia="fr-FR" w:bidi="ar-SA"/>
    </w:rPr>
  </w:style>
  <w:style w:type="paragraph" w:styleId="Heading4">
    <w:name w:val="heading 4"/>
    <w:uiPriority w:val="9"/>
    <w:semiHidden/>
    <w:unhideWhenUsed/>
    <w:qFormat/>
    <w:pPr>
      <w:widowControl/>
      <w:bidi w:val="0"/>
      <w:spacing w:before="0" w:after="0"/>
      <w:jc w:val="left"/>
      <w:outlineLvl w:val="3"/>
    </w:pPr>
    <w:rPr>
      <w:rFonts w:ascii="Georgia" w:hAnsi="Georgia" w:eastAsia="Georgia" w:cs="Georgia"/>
      <w:i/>
      <w:iCs/>
      <w:color w:val="2E74B5"/>
      <w:kern w:val="0"/>
      <w:sz w:val="22"/>
      <w:szCs w:val="22"/>
      <w:lang w:val="fr-FR" w:eastAsia="fr-FR" w:bidi="ar-SA"/>
    </w:rPr>
  </w:style>
  <w:style w:type="paragraph" w:styleId="Heading5">
    <w:name w:val="heading 5"/>
    <w:uiPriority w:val="9"/>
    <w:semiHidden/>
    <w:unhideWhenUsed/>
    <w:qFormat/>
    <w:pPr>
      <w:widowControl/>
      <w:bidi w:val="0"/>
      <w:spacing w:before="0" w:after="0"/>
      <w:jc w:val="left"/>
      <w:outlineLvl w:val="4"/>
    </w:pPr>
    <w:rPr>
      <w:rFonts w:ascii="Georgia" w:hAnsi="Georgia" w:eastAsia="Georgia" w:cs="Georgia"/>
      <w:color w:val="2E74B5"/>
      <w:kern w:val="0"/>
      <w:sz w:val="22"/>
      <w:szCs w:val="22"/>
      <w:lang w:val="fr-FR" w:eastAsia="fr-FR" w:bidi="ar-SA"/>
    </w:rPr>
  </w:style>
  <w:style w:type="paragraph" w:styleId="Heading6">
    <w:name w:val="heading 6"/>
    <w:uiPriority w:val="9"/>
    <w:semiHidden/>
    <w:unhideWhenUsed/>
    <w:qFormat/>
    <w:pPr>
      <w:widowControl/>
      <w:bidi w:val="0"/>
      <w:spacing w:before="0" w:after="0"/>
      <w:jc w:val="left"/>
      <w:outlineLvl w:val="5"/>
    </w:pPr>
    <w:rPr>
      <w:rFonts w:ascii="Georgia" w:hAnsi="Georgia" w:eastAsia="Georgia" w:cs="Georgia"/>
      <w:color w:val="1F4D78"/>
      <w:kern w:val="0"/>
      <w:sz w:val="22"/>
      <w:szCs w:val="22"/>
      <w:lang w:val="fr-FR" w:eastAsia="fr-FR" w:bidi="ar-SA"/>
    </w:rPr>
  </w:style>
  <w:style w:type="character" w:styleId="DefaultParagraphFont" w:default="1">
    <w:name w:val="Default Paragraph Font"/>
    <w:uiPriority w:val="1"/>
    <w:semiHidden/>
    <w:unhideWhenUsed/>
    <w:qFormat/>
    <w:rPr/>
  </w:style>
  <w:style w:type="character" w:styleId="InternetLink">
    <w:name w:val="Internet Link"/>
    <w:uiPriority w:val="99"/>
    <w:unhideWhenUsed/>
    <w:qFormat/>
    <w:rPr>
      <w:color w:val="0563C1"/>
      <w:u w:val="single"/>
    </w:rPr>
  </w:style>
  <w:style w:type="character" w:styleId="FootnoteReference">
    <w:name w:val="footnote reference"/>
    <w:rPr>
      <w:vertAlign w:val="superscript"/>
    </w:rPr>
  </w:style>
  <w:style w:type="character" w:styleId="FootnoteCharacters">
    <w:name w:val="Footnote Characters"/>
    <w:uiPriority w:val="99"/>
    <w:semiHidden/>
    <w:unhideWhenUsed/>
    <w:qFormat/>
    <w:rPr>
      <w:vertAlign w:val="superscript"/>
    </w:rPr>
  </w:style>
  <w:style w:type="character" w:styleId="NotedebasdepageCar" w:customStyle="1">
    <w:name w:val="Note de bas de page Car"/>
    <w:uiPriority w:val="99"/>
    <w:semiHidden/>
    <w:unhideWhenUsed/>
    <w:qFormat/>
    <w:rPr>
      <w:sz w:val="20"/>
      <w:szCs w:val="20"/>
    </w:rPr>
  </w:style>
  <w:style w:type="character" w:styleId="En-tteCar" w:customStyle="1">
    <w:name w:val="En-tête Car"/>
    <w:basedOn w:val="DefaultParagraphFont"/>
    <w:uiPriority w:val="99"/>
    <w:qFormat/>
    <w:rsid w:val="007d29e9"/>
    <w:rPr/>
  </w:style>
  <w:style w:type="character" w:styleId="PieddepageCar" w:customStyle="1">
    <w:name w:val="Pied de page Car"/>
    <w:basedOn w:val="DefaultParagraphFont"/>
    <w:uiPriority w:val="99"/>
    <w:qFormat/>
    <w:rsid w:val="007d29e9"/>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uiPriority w:val="10"/>
    <w:qFormat/>
    <w:pPr>
      <w:widowControl/>
      <w:bidi w:val="0"/>
      <w:spacing w:before="0" w:after="0"/>
      <w:jc w:val="left"/>
    </w:pPr>
    <w:rPr>
      <w:rFonts w:ascii="Georgia" w:hAnsi="Georgia" w:eastAsia="Georgia" w:cs="Georgia"/>
      <w:color w:val="1A1A1A"/>
      <w:kern w:val="0"/>
      <w:sz w:val="56"/>
      <w:szCs w:val="56"/>
      <w:lang w:val="fr-FR" w:eastAsia="fr-FR" w:bidi="ar-SA"/>
    </w:rPr>
  </w:style>
  <w:style w:type="paragraph" w:styleId="lev1" w:customStyle="1">
    <w:name w:val="Élevé1"/>
    <w:qFormat/>
    <w:pPr>
      <w:widowControl/>
      <w:bidi w:val="0"/>
      <w:spacing w:before="0" w:after="0"/>
      <w:jc w:val="left"/>
    </w:pPr>
    <w:rPr>
      <w:rFonts w:ascii="Georgia" w:hAnsi="Georgia" w:eastAsia="Georgia" w:cs="Georgia"/>
      <w:b/>
      <w:bCs/>
      <w:color w:val="1A1A1A"/>
      <w:kern w:val="0"/>
      <w:sz w:val="22"/>
      <w:szCs w:val="22"/>
      <w:lang w:val="fr-FR" w:eastAsia="fr-FR" w:bidi="ar-SA"/>
    </w:rPr>
  </w:style>
  <w:style w:type="paragraph" w:styleId="ListParagraph">
    <w:name w:val="List Paragraph"/>
    <w:qFormat/>
    <w:pPr>
      <w:widowControl/>
      <w:bidi w:val="0"/>
      <w:spacing w:before="0" w:after="0"/>
      <w:jc w:val="left"/>
    </w:pPr>
    <w:rPr>
      <w:rFonts w:ascii="Georgia" w:hAnsi="Georgia" w:eastAsia="Georgia" w:cs="Georgia"/>
      <w:color w:val="1A1A1A"/>
      <w:kern w:val="0"/>
      <w:sz w:val="22"/>
      <w:szCs w:val="22"/>
      <w:lang w:val="fr-FR" w:eastAsia="fr-FR" w:bidi="ar-SA"/>
    </w:rPr>
  </w:style>
  <w:style w:type="paragraph" w:styleId="FootnoteText">
    <w:name w:val="footnote text"/>
    <w:link w:val="NotedebasdepageCar"/>
    <w:uiPriority w:val="99"/>
    <w:semiHidden/>
    <w:unhideWhenUsed/>
    <w:pPr>
      <w:widowControl/>
      <w:bidi w:val="0"/>
      <w:spacing w:before="0" w:after="0"/>
      <w:jc w:val="left"/>
    </w:pPr>
    <w:rPr>
      <w:rFonts w:ascii="Georgia" w:hAnsi="Georgia" w:eastAsia="Georgia" w:cs="Georgia"/>
      <w:color w:val="1A1A1A"/>
      <w:kern w:val="0"/>
      <w:sz w:val="20"/>
      <w:szCs w:val="20"/>
      <w:lang w:val="fr-FR" w:eastAsia="fr-FR" w:bidi="ar-SA"/>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7d29e9"/>
    <w:pPr>
      <w:tabs>
        <w:tab w:val="clear" w:pos="708"/>
        <w:tab w:val="center" w:pos="4536" w:leader="none"/>
        <w:tab w:val="right" w:pos="9072" w:leader="none"/>
      </w:tabs>
    </w:pPr>
    <w:rPr/>
  </w:style>
  <w:style w:type="paragraph" w:styleId="Footer">
    <w:name w:val="footer"/>
    <w:basedOn w:val="Normal"/>
    <w:link w:val="PieddepageCar"/>
    <w:uiPriority w:val="99"/>
    <w:unhideWhenUsed/>
    <w:rsid w:val="007d29e9"/>
    <w:pPr>
      <w:tabs>
        <w:tab w:val="clear" w:pos="708"/>
        <w:tab w:val="center" w:pos="4536" w:leader="none"/>
        <w:tab w:val="right" w:pos="9072" w:leader="none"/>
      </w:tabs>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wmf"/><Relationship Id="rId4" Type="http://schemas.openxmlformats.org/officeDocument/2006/relationships/image" Target="media/image4.wmf"/><Relationship Id="rId5" Type="http://schemas.openxmlformats.org/officeDocument/2006/relationships/image" Target="media/image5.wmf"/><Relationship Id="rId6" Type="http://schemas.openxmlformats.org/officeDocument/2006/relationships/image" Target="media/image5.wmf"/><Relationship Id="rId7" Type="http://schemas.openxmlformats.org/officeDocument/2006/relationships/image" Target="media/image3.wmf"/><Relationship Id="rId8" Type="http://schemas.openxmlformats.org/officeDocument/2006/relationships/image" Target="media/image4.wmf"/><Relationship Id="rId9" Type="http://schemas.openxmlformats.org/officeDocument/2006/relationships/image" Target="media/image6.png"/><Relationship Id="rId10" Type="http://schemas.openxmlformats.org/officeDocument/2006/relationships/image" Target="media/image5.wmf"/>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wmf"/><Relationship Id="rId4" Type="http://schemas.openxmlformats.org/officeDocument/2006/relationships/image" Target="media/image4.wmf"/><Relationship Id="rId5" Type="http://schemas.openxmlformats.org/officeDocument/2006/relationships/image" Target="media/image5.wmf"/><Relationship Id="rId6" Type="http://schemas.openxmlformats.org/officeDocument/2006/relationships/image" Target="media/image5.wmf"/><Relationship Id="rId7" Type="http://schemas.openxmlformats.org/officeDocument/2006/relationships/image" Target="media/image3.wmf"/><Relationship Id="rId8" Type="http://schemas.openxmlformats.org/officeDocument/2006/relationships/image" Target="media/image4.wmf"/><Relationship Id="rId9" Type="http://schemas.openxmlformats.org/officeDocument/2006/relationships/image" Target="media/image6.png"/><Relationship Id="rId10" Type="http://schemas.openxmlformats.org/officeDocument/2006/relationships/image" Target="media/image5.wmf"/>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67</TotalTime>
  <Application>LibreOffice/24.8.0.3$Windows_X86_64 LibreOffice_project/0bdf1299c94fe897b119f97f3c613e9dca6be583</Application>
  <AppVersion>15.0000</AppVersion>
  <Pages>4</Pages>
  <Words>1230</Words>
  <Characters>7322</Characters>
  <CharactersWithSpaces>8470</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2026-03-27T07:17:00Z</dcterms:created>
  <dc:creator>Un-named</dc:creator>
  <dc:description/>
  <dc:language>fr-FR</dc:language>
  <cp:lastModifiedBy/>
  <dcterms:modified xsi:type="dcterms:W3CDTF">2026-04-07T18:48:05Z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