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D7A8A"/>
          <w:sz w:val="28"/>
          <w:szCs w:val="28"/>
        </w:rPr>
        <w:t xml:space="preserve">PRODUCT DESIGN REQUIREMENTS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UPI Fraud Detection &amp;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Money Mule Network Mapper</w:t>
      </w:r>
    </w:p>
    <w:p>
      <w:pPr>
        <w:pBdr>
          <w:bottom w:val="single" w:color="E05C1A" w:sz="8" w:space="2"/>
        </w:pBdr>
        <w:spacing w:after="40" w:before="0"/>
        <w:jc w:val="center"/>
      </w:pPr>
      <w:r>
        <w:rPr>
          <w:sz w:val="28"/>
          <w:szCs w:val="28"/>
        </w:rPr>
        <w:t xml:space="preserve"> 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Antigravity Platform  |  Version 1.0  | 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Antigravity Engineering &amp; Product Teams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Regulatory Context: Reserve Bank of India (RBI) &amp; MHA Cyber Cells</w:t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CONFIDENTIAL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PDR-2026-001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v1.0 Draft</w:t>
            </w:r>
          </w:p>
        </w:tc>
        <w:tc>
          <w:tcPr>
            <w:tcW w:type="dxa" w:w="23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April 30,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India processes over 13 billion UPI transactions per month, making it the world's largest real-time payments ecosystem. With this scale comes a sophisticated and rapidly evolving landscape of financial fraud, including phishing-driven UPI PIN theft, mule account networks, layered laundering chains, and organized fraud rings. Despite NPCI and RBI mandates, detection remains fragmented and largely reactive.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document defines the Product Design Requirements (PDR) for the UPI Fraud Detection &amp; Money Mule Network Mapper — a purpose-built investigative intelligence platform to be integrated into the Antigravity platform. The system applies graph-based anomaly detection, behavioural analytics, and network topology analysis to surface mule accounts, detect suspicious transaction chains, map fraud rings, and expose layering patterns in near real time.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platform is designed to simulate operational support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Reserve Bank of India (RBI) — Fraud intelligence and regulatory reporting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Ministry of Home Affairs (MHA) Cyber Cells — Investigation support for cybercrime units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Financial Intelligence Unit – India (FIU-IND) — STR generation and AML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Banks and Payment Service Providers — API-connected risk flagging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8"/>
              <w:left w:val="single" w:color="1A3C6E" w:sz="8"/>
              <w:bottom w:val="none" w:color="FFFFFF" w:sz="0"/>
              <w:right w:val="none" w:color="FFFFFF" w:sz="0"/>
            </w:tcBorders>
            <w:shd w:fill="E8F0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Key Outcomes</w:t>
            </w:r>
          </w:p>
        </w:tc>
      </w:tr>
      <w:tr>
        <w:tc>
          <w:tcPr>
            <w:tcBorders>
              <w:top w:val="none" w:color="FFFFFF" w:sz="0"/>
              <w:left w:val="single" w:color="1A3C6E" w:sz="8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Detect mule account clusters with &gt;90% precision using graph centrality and velocity scoring</w:t>
            </w:r>
          </w:p>
        </w:tc>
      </w:tr>
      <w:tr>
        <w:tc>
          <w:tcPr>
            <w:tcBorders>
              <w:top w:val="none" w:color="FFFFFF" w:sz="0"/>
              <w:left w:val="single" w:color="1A3C6E" w:sz="8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Trace end-to-end UPI transaction laundering paths with sub-second graph traversal</w:t>
            </w:r>
          </w:p>
        </w:tc>
      </w:tr>
      <w:tr>
        <w:tc>
          <w:tcPr>
            <w:tcBorders>
              <w:top w:val="none" w:color="FFFFFF" w:sz="0"/>
              <w:left w:val="single" w:color="1A3C6E" w:sz="8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Generate automated Suspicious Transaction Reports (STRs) per PMLA/FIU-IND format</w:t>
            </w:r>
          </w:p>
        </w:tc>
      </w:tr>
      <w:tr>
        <w:tc>
          <w:tcPr>
            <w:tcBorders>
              <w:top w:val="none" w:color="FFFFFF" w:sz="0"/>
              <w:left w:val="single" w:color="1A3C6E" w:sz="8"/>
              <w:bottom w:val="none" w:color="FFFFFF" w:sz="0"/>
              <w:right w:val="none" w:color="FFFFFF" w:sz="0"/>
            </w:tcBorders>
            <w:shd w:fill="E8F0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Provide an interactive network visualization layer for cyber cell investigators</w:t>
            </w:r>
          </w:p>
        </w:tc>
      </w:tr>
      <w:tr>
        <w:tc>
          <w:tcPr>
            <w:tcBorders>
              <w:top w:val="none" w:color="FFFFFF" w:sz="0"/>
              <w:left w:val="single" w:color="1A3C6E" w:sz="8"/>
              <w:bottom w:val="single" w:color="1A3C6E" w:sz="8"/>
              <w:right w:val="none" w:color="FFFFFF" w:sz="0"/>
            </w:tcBorders>
            <w:shd w:fill="E8F0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Deliver a simulation sandbox for training and red-teaming fraud patterns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Problem Context &amp; Market Landscape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2.1 The UPI Fraud Landscape in India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Unified Payments Interface (UPI) has democratized digital payments but created a high-velocity attack surface. The most prevalent fraud typologies in the Indian context are: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Type</w:t>
            </w:r>
          </w:p>
        </w:tc>
        <w:tc>
          <w:tcPr>
            <w:tcW w:type="dxa" w:w="3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RBI Classification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Mule Account Networks</w:t>
            </w:r>
          </w:p>
        </w:tc>
        <w:tc>
          <w:tcPr>
            <w:tcW w:type="dxa" w:w="3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Recruited accounts receive and relay stolen funds through layered transfers</w:t>
            </w:r>
          </w:p>
        </w:tc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Category A — Cybercrime Facilitation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UPI PIN Phishing</w:t>
            </w:r>
          </w:p>
        </w:tc>
        <w:tc>
          <w:tcPr>
            <w:tcW w:type="dxa" w:w="3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Fake collect requests, screen-share scams, vishing to extract PINs</w:t>
            </w:r>
          </w:p>
        </w:tc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Category B — Social Engineering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Account Layering</w:t>
            </w:r>
          </w:p>
        </w:tc>
        <w:tc>
          <w:tcPr>
            <w:tcW w:type="dxa" w:w="3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Structured micro-transactions split across mule accounts to avoid thresholds</w:t>
            </w:r>
          </w:p>
        </w:tc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Category C — Money Laundering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Fraud Rings</w:t>
            </w:r>
          </w:p>
        </w:tc>
        <w:tc>
          <w:tcPr>
            <w:tcW w:type="dxa" w:w="3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Coordinated groups operating multiple mule accounts across banks</w:t>
            </w:r>
          </w:p>
        </w:tc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Category D — Organised Financial Crime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 Swap + UPI Takeover</w:t>
            </w:r>
          </w:p>
        </w:tc>
        <w:tc>
          <w:tcPr>
            <w:tcW w:type="dxa" w:w="3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Mobile number porting exploited to seize UPI handles</w:t>
            </w:r>
          </w:p>
        </w:tc>
        <w:tc>
          <w:tcPr>
            <w:tcW w:type="dxa" w:w="3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Category E — Identity Compromise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2.2 Regulatory Mandate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regulatory frameworks govern fraud detection obligations in India's payments ecosystem: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RBI Master Directions on Fraud (2024 update) — require banks to implement ML-based fraud detection for UPI transactions above ₹500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PMLA (Prevention of Money Laundering Act) — mandates STR filing within 7 days of suspicious activity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NPCI Fraud Monitoring Framework — defines velocity thresholds, cooling periods, and risk scoring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 Act Section 66C/66D — provisions for identity theft and impersonation-based fraud prosecution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MHA I4C (Indian Cybercrime Coordination Centre) — centralised database for mule account tracking (NCRP integration)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2.3 Current Gaps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Existing solutions in market suffer from: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Rule-based detection only — static thresholds miss novel laundering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Siloed bank-level data — no cross-institution graph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investigator UX — alert queues with no visualization or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Lag time — batch processing creates 24–48 hour detection delays for real-time UPI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No simulation capability — impossible to train investigators or red-team detection rules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Product Vision &amp; Design Philosophy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3.1 Vision Statement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A8A" w:sz="8"/>
              <w:left w:val="single" w:color="0D7A8A" w:sz="8"/>
              <w:bottom w:val="none" w:color="FFFFFF" w:sz="0"/>
              <w:right w:val="none" w:color="FFFFFF" w:sz="0"/>
            </w:tcBorders>
            <w:shd w:fill="E0F4F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A8A"/>
                <w:sz w:val="22"/>
                <w:szCs w:val="22"/>
              </w:rPr>
              <w:t xml:space="preserve">Vision</w:t>
            </w:r>
          </w:p>
        </w:tc>
      </w:tr>
      <w:tr>
        <w:tc>
          <w:tcPr>
            <w:tcBorders>
              <w:top w:val="none" w:color="FFFFFF" w:sz="0"/>
              <w:left w:val="single" w:color="0D7A8A" w:sz="8"/>
              <w:bottom w:val="none" w:color="FFFFFF" w:sz="0"/>
              <w:right w:val="none" w:color="FFFFFF" w:sz="0"/>
            </w:tcBorders>
            <w:shd w:fill="E0F4F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Build the most capable UPI fraud intelligence layer in India — one that transforms raw transaction</w:t>
            </w:r>
          </w:p>
        </w:tc>
      </w:tr>
      <w:tr>
        <w:tc>
          <w:tcPr>
            <w:tcBorders>
              <w:top w:val="none" w:color="FFFFFF" w:sz="0"/>
              <w:left w:val="single" w:color="0D7A8A" w:sz="8"/>
              <w:bottom w:val="none" w:color="FFFFFF" w:sz="0"/>
              <w:right w:val="none" w:color="FFFFFF" w:sz="0"/>
            </w:tcBorders>
            <w:shd w:fill="E0F4F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data into actionable investigative intelligence through graph analytics, anomaly detection, and</w:t>
            </w:r>
          </w:p>
        </w:tc>
      </w:tr>
      <w:tr>
        <w:tc>
          <w:tcPr>
            <w:tcBorders>
              <w:top w:val="none" w:color="FFFFFF" w:sz="0"/>
              <w:left w:val="single" w:color="0D7A8A" w:sz="8"/>
              <w:bottom w:val="single" w:color="0D7A8A" w:sz="8"/>
              <w:right w:val="none" w:color="FFFFFF" w:sz="0"/>
            </w:tcBorders>
            <w:shd w:fill="E0F4F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human-centered visualization interface accessible to both data scientists and cyber cell officers.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3.2 Design Principles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platform is guided by four core design principles: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0D7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0D7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Graph-First</w:t>
            </w:r>
          </w:p>
        </w:tc>
        <w:tc>
          <w:tcPr>
            <w:tcW w:type="dxa" w:w="7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All fraud relationships are modelled as graph structures. Nodes are accounts, VPAs, devices, and IPs. Edges are transactions, shared attributes, and inferred links.</w:t>
            </w:r>
          </w:p>
        </w:tc>
      </w:tr>
      <w:tr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Investigator-Centric</w:t>
            </w:r>
          </w:p>
        </w:tc>
        <w:tc>
          <w:tcPr>
            <w:tcW w:type="dxa" w:w="7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The primary UX target is a cyber cell investigator — not a data scientist. Findings must be surfaced as narratives, not raw scores. Visualization drives comprehension.</w:t>
            </w:r>
          </w:p>
        </w:tc>
      </w:tr>
      <w:tr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Simulate-to-Validate</w:t>
            </w:r>
          </w:p>
        </w:tc>
        <w:tc>
          <w:tcPr>
            <w:tcW w:type="dxa" w:w="7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The platform must ship with a simulation sandbox for injecting known fraud patterns. All detection algorithms are tested against synthetic ground-truth datasets.</w:t>
            </w:r>
          </w:p>
        </w:tc>
      </w:tr>
      <w:tr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Regulatory-Ready</w:t>
            </w:r>
          </w:p>
        </w:tc>
        <w:tc>
          <w:tcPr>
            <w:tcW w:type="dxa" w:w="7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Outputs align with RBI/FIU-IND/NPCI formats. STRs, audit logs, and case exports are built into core flows — not bolt-ons.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Core Feature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4.1 Mule Account Detection Engine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mule account detector uses a multi-signal scoring model combining behavioural, structural, and temporal features to assign a Mule Probability Score (MPS) to each account node in the transaction graph.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4.1.1 Detection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Velocity Anomaly — number of inbound transfers per 24h exceeds 3× account historical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Pass-Through Ratio — outbound volume within 4 hours of inbound exceeds 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Fan-Out Topology — single account receives from 1 source, distributes to 5+ destinations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Account Age vs. Volume Mismatch — accounts &lt;30 days old processing &gt;₹50,000/day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KYC Dormancy Reversal — accounts inactive &gt;6 months suddenly active with high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Device Fingerprint Sharing — multiple UPI handles registered on same device IMEI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VPA Cluster Linkage — shared mobile number or email across multiple UPI IDs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4.1.2 Mule Probability Score (MPS) Model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account receives an MPS in the range [0, 1] computed as a weighted ensemble: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5C1A" w:sz="8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1A"/>
                <w:sz w:val="22"/>
                <w:szCs w:val="22"/>
              </w:rPr>
              <w:t xml:space="preserve">MPS Formula</w:t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MPS = w₁·VelocityScore + w₂·PassThroughScore + w₃·TopologyScore + w₄·AgeVolumeScore + w₅·DeviceScore</w:t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Default weights: w₁=0.25, w₂=0.25, w₃=0.20, w₄=0.15, w₅=0.15</w:t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Threshold: MPS ≥ 0.65 → FLAG FOR REVIEW  |  MPS ≥ 0.85 → AUTO-ALERT</w:t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single" w:color="E05C1A" w:sz="8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Weights are configurable per institution risk profile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4.2 Suspicious Transaction Chain Analyser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chain analyser performs temporal graph traversal to detect structured fund movement across chains of accounts, identifying patterns consistent with smurfing, layering, and round-tripping.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4.2.1 Detection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Smurfing</w:t>
            </w:r>
          </w:p>
        </w:tc>
        <w:tc>
          <w:tcPr>
            <w:tcW w:type="dxa" w:w="3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Large amount split into sub-₹50K transfers</w:t>
            </w:r>
          </w:p>
        </w:tc>
        <w:tc>
          <w:tcPr>
            <w:tcW w:type="dxa" w:w="3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Temporal clustering + amount decomposition analysis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Layering Chain</w:t>
            </w:r>
          </w:p>
        </w:tc>
        <w:tc>
          <w:tcPr>
            <w:tcW w:type="dxa" w:w="3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A→B→C→D within 6 hours, same notional amount</w:t>
            </w:r>
          </w:p>
        </w:tc>
        <w:tc>
          <w:tcPr>
            <w:tcW w:type="dxa" w:w="3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Time-windowed path traversal on directed graph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Round-Tripping</w:t>
            </w:r>
          </w:p>
        </w:tc>
        <w:tc>
          <w:tcPr>
            <w:tcW w:type="dxa" w:w="3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Funds return to originating account within 48h</w:t>
            </w:r>
          </w:p>
        </w:tc>
        <w:tc>
          <w:tcPr>
            <w:tcW w:type="dxa" w:w="3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Cycle detection in weighted transaction graph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Carousel</w:t>
            </w:r>
          </w:p>
        </w:tc>
        <w:tc>
          <w:tcPr>
            <w:tcW w:type="dxa" w:w="3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Closed loop of 3–8 accounts exchanging same value</w:t>
            </w:r>
          </w:p>
        </w:tc>
        <w:tc>
          <w:tcPr>
            <w:tcW w:type="dxa" w:w="3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Strongly connected component + amount homogeneity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Fan-In/Fan-Out</w:t>
            </w:r>
          </w:p>
        </w:tc>
        <w:tc>
          <w:tcPr>
            <w:tcW w:type="dxa" w:w="3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Many sources → 1 aggregator → many destinations</w:t>
            </w:r>
          </w:p>
        </w:tc>
        <w:tc>
          <w:tcPr>
            <w:tcW w:type="dxa" w:w="3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Degree centrality + temporal proximity scoring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4.3 Fraud Ring Identifier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Fraud rings are identified by detecting densely connected subgraphs (communities) within the transaction network that share structural and behavioural characteristics inconsistent with legitimate payment patterns.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4.3.1 Community Detection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Primary: Louvain modularity-based community detection on the undirected transaction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Secondary: Label Propagation for real-time incremental updates as new transactions arrive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Ring Scoring: communities are scored on size, internal transaction density, average MPS, and geographic anomaly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Ring Classification: Micro (&lt;5 accounts), Small (5–20), Medium (21–100), Large (100+)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4.3.2 Ring Validation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Intra-ring transaction density &gt; 3× expected for account age cohort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At least 30% of ring members have MPS &gt; 0.65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Ring activation coordinated within 72-hour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Shared device, SIM, or location attributes across ≥2 members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4.4 Account Layering Pattern Detection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Layering detection identifies deliberate multi-hop obfuscation strategies that separate illicit funds from their origin using a sequence of UPI transfers designed to defeat velocity controls.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4.4.1 Layering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Hop count ≥ 3 within 12-hour window for a traceable fund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intermediate account holds funds for &lt;30 minutes before forwarding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Amount erosion pattern — progressive deductions consistent with informal fee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Geographic dispersion — each hop crosses a different state/city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Bank diversification — each hop uses a different issuing bank or payment app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4.4.2 Layering Risk Score (LRS)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LRS is computed per transaction path and is the primary signal for STR generation: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5C1A" w:sz="8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5C1A"/>
                <w:sz w:val="22"/>
                <w:szCs w:val="22"/>
              </w:rPr>
              <w:t xml:space="preserve">LRS Scoring</w:t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LRS = HopScore × VelocityScore × BankDiversityScore × GeoDiversityScore</w:t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none" w:color="FFFFFF" w:sz="0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LRS ≥ 0.70 → Potential Layering (Analyst Review Queue)</w:t>
            </w:r>
          </w:p>
        </w:tc>
      </w:tr>
      <w:tr>
        <w:tc>
          <w:tcPr>
            <w:tcBorders>
              <w:top w:val="none" w:color="FFFFFF" w:sz="0"/>
              <w:left w:val="single" w:color="E05C1A" w:sz="8"/>
              <w:bottom w:val="single" w:color="E05C1A" w:sz="8"/>
              <w:right w:val="none" w:color="FFFFFF" w:sz="0"/>
            </w:tcBorders>
            <w:shd w:fill="FDF0E8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LRS ≥ 0.85 → Confirmed Layering Pattern (Auto-STR Draft Generated)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Graph Visualization Layer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visualization layer is the primary interface for investigators at cyber cells and bank fraud teams. It transforms abstract graph data into an interactive, navigable network map of transaction relationships.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5.1 Visualization Architecture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5.1.1 Graph Rendering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Framework: D3.js force-directed layout (primary) + Cytoscape.js for hierarchical layouts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Renderer: WebGL-accelerated for graphs &gt;10,000 nodes (Sigma.js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Layout Algorithms: Force-Atlas2 (default), Dagre (for layering chains), Radial (for ring visualization)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Performance Target: Interactive rendering of 50,000 nodes / 200,000 edges at ≥30fps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5.1.2 Node &amp; Edge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Encoding</w:t>
            </w:r>
          </w:p>
        </w:tc>
        <w:tc>
          <w:tcPr>
            <w:tcW w:type="dxa" w:w="4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</w:tr>
      <w:tr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Normal Account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Small blue circle</w:t>
            </w:r>
          </w:p>
        </w:tc>
        <w:tc>
          <w:tcPr>
            <w:tcW w:type="dxa" w:w="4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VPA, bank, KYC tier, account age, total volume</w:t>
            </w:r>
          </w:p>
        </w:tc>
      </w:tr>
      <w:tr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Mule Account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Amber diamond, size ∝ MPS</w:t>
            </w:r>
          </w:p>
        </w:tc>
        <w:tc>
          <w:tcPr>
            <w:tcW w:type="dxa" w:w="4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MPS score, flag reason, linked devices, ring membership</w:t>
            </w:r>
          </w:p>
        </w:tc>
      </w:tr>
      <w:tr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High-Risk Account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Red hexagon, pulsing border</w:t>
            </w:r>
          </w:p>
        </w:tc>
        <w:tc>
          <w:tcPr>
            <w:tcW w:type="dxa" w:w="4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LRS score, STR status, investigating officer</w:t>
            </w:r>
          </w:p>
        </w:tc>
      </w:tr>
      <w:tr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Fraud Ring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Convex hull overlay, orange fill</w:t>
            </w:r>
          </w:p>
        </w:tc>
        <w:tc>
          <w:tcPr>
            <w:tcW w:type="dxa" w:w="4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Ring ID, size, activation date, estimated illicit value</w:t>
            </w:r>
          </w:p>
        </w:tc>
      </w:tr>
      <w:tr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Transaction Edge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Directed arrow, width ∝ amount</w:t>
            </w:r>
          </w:p>
        </w:tc>
        <w:tc>
          <w:tcPr>
            <w:tcW w:type="dxa" w:w="4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UTR, timestamp, amount, UPI app, bank routing</w:t>
            </w:r>
          </w:p>
        </w:tc>
      </w:tr>
      <w:tr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Layering Path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Red animated flow arrow</w:t>
            </w:r>
          </w:p>
        </w:tc>
        <w:tc>
          <w:tcPr>
            <w:tcW w:type="dxa" w:w="4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Path ID, hop count, LRS, time window, amount delta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5.2 Investigator Interface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5.2.1 Core Investigator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Network Canvas — primary graph viewport with pan, zoom, lasso-select, and neighbourhood expand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Risk Intelligence Panel — sortable list of flagged accounts with MPS, LRS, ring membership, and linked STR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Transaction Timeline — horizontal timeline scrubber to replay transaction flows chronologically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Path Tracer — enter source/destination accounts to highlight shortest suspicious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Evidence Basket — drag-and-drop nodes/edges into a case evidence collection for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Heatmap Layer — choropleth overlaying fraud density by state/district on geographic base map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5.2.2 Contextual Intelligence on Hover/Select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Account card: KYC status, registration date, linked mobile/email, device fingerprints, prior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Transaction edge: UPI reference, payer/payee names (masked), app used, time delta from ring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Ring overlay: total members, estimated illicit value, time-to-cash-out metric, bank distribution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5.2.3 Collaboration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Case assignment — assign graph subsets to investigators with notes and priority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Shared canvas — multi-user simultaneous view with cursor presence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Annotation layer — draw, highlight, and tag nodes with investigation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Export package — PDF case report + CSV edge list + JSON graph snapshot for court submission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RBI &amp; Cyber Cell Simulation Module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Simulation Module enables the Antigravity platform to replicate the operational workflows of two key stakeholders: the Reserve Bank of India (RBI) regulatory intelligence team, and state-level Cyber Cell investigation units. This module serves dual purposes: functional simulation for testing detection logic, and training environment for onboarding investigators.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6.1 RBI Regulatory Intelligence Simulation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6.1.1 Simulated RBI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Simulated Function</w:t>
            </w:r>
          </w:p>
        </w:tc>
        <w:tc>
          <w:tcPr>
            <w:tcW w:type="dxa" w:w="5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3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 Filing (FIU-IND Format)</w:t>
            </w:r>
          </w:p>
        </w:tc>
        <w:tc>
          <w:tcPr>
            <w:tcW w:type="dxa" w:w="5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Auto-populate STR templates per FIU-IND XML schema. Triggered by LRS ≥ 0.85 or manual escalation. Includes account IDs, transaction chains, risk narrative, and analyst sign-off.</w:t>
            </w:r>
          </w:p>
        </w:tc>
      </w:tr>
      <w:tr>
        <w:tc>
          <w:tcPr>
            <w:tcW w:type="dxa" w:w="3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CRILC Fraud Reporting</w:t>
            </w:r>
          </w:p>
        </w:tc>
        <w:tc>
          <w:tcPr>
            <w:tcW w:type="dxa" w:w="5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Simulate CRILC (Central Repository of Information on Large Credits) fraud classification for bank-level regulatory submission. Auto-generate fraud classification codes per RBI circular.</w:t>
            </w:r>
          </w:p>
        </w:tc>
      </w:tr>
      <w:tr>
        <w:tc>
          <w:tcPr>
            <w:tcW w:type="dxa" w:w="3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Cooling Period Enforcement</w:t>
            </w:r>
          </w:p>
        </w:tc>
        <w:tc>
          <w:tcPr>
            <w:tcW w:type="dxa" w:w="5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Flag accounts that should be under NPCI-mandated cooling periods. Simulate enforcement checks and alert when transactions occur during cooling window.</w:t>
            </w:r>
          </w:p>
        </w:tc>
      </w:tr>
      <w:tr>
        <w:tc>
          <w:tcPr>
            <w:tcW w:type="dxa" w:w="3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Fraud Intelligence Dashboard</w:t>
            </w:r>
          </w:p>
        </w:tc>
        <w:tc>
          <w:tcPr>
            <w:tcW w:type="dxa" w:w="57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Simulated RBI-level aggregate view: bank-wise fraud velocity, category breakdown, industry STR trend, and geographic heat maps.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6.2 Cyber Cell Investigation Simulation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6.2.1 Simulated Cyber Cell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Complaint Intake — simulate NCRP (National Cybercrime Reporting Portal) complaint linking to transaction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Mule Account Freeze Workflow — simulate LOC (Legal Order to Hold) generation for flagged accounts with bank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FIR Linkage — associate investigation case IDs with graph subgraphs for court-ready evidence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I4C Database Sync — simulate lookup and submission to MHA's Indian Cybercrime Coordination Centre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Multi-Agency Escalation — simulate escalation routing to ED (Enforcement Directorate) for PMLA cases above ₹50 lakh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6.2.2 Simulation Sandbox Scenarios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platform ships with 10 pre-built simulation scenarios derived from publicly documented fraud patterns: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'Operation Chakra-2' style mule network (300 accounts, 3 banks, 18-day campaign)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UPI QR code phishing chain with 5-hop layering to hawala exit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SIM swap + UPI takeover with immediate cash-out to mule cluster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Business Email Compromise (BEC) channelled through UPI micro-transfer 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Loan app fraud with mule network for EMI refund laundering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Fake government subsidy UPI phishing with regional cluster distribution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Dark web marketplace UPI payment routing through shell company VPAs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Coordinated ATM cashout + UPI mule cascade (ATM fraud variant)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P2P crypto ramp using UPI mule accounts as on/off ramp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Carousel fraud ring (10 accounts, single bank, 72-hour activation)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7A8A" w:sz="8"/>
              <w:left w:val="single" w:color="0D7A8A" w:sz="8"/>
              <w:bottom w:val="none" w:color="FFFFFF" w:sz="0"/>
              <w:right w:val="none" w:color="FFFFFF" w:sz="0"/>
            </w:tcBorders>
            <w:shd w:fill="E0F4F6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A8A"/>
                <w:sz w:val="22"/>
                <w:szCs w:val="22"/>
              </w:rPr>
              <w:t xml:space="preserve">Simulation Note</w:t>
            </w:r>
          </w:p>
        </w:tc>
      </w:tr>
      <w:tr>
        <w:tc>
          <w:tcPr>
            <w:tcBorders>
              <w:top w:val="none" w:color="FFFFFF" w:sz="0"/>
              <w:left w:val="single" w:color="0D7A8A" w:sz="8"/>
              <w:bottom w:val="none" w:color="FFFFFF" w:sz="0"/>
              <w:right w:val="none" w:color="FFFFFF" w:sz="0"/>
            </w:tcBorders>
            <w:shd w:fill="E0F4F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simulation data is fully synthetic. No real transaction data, PII, or bank credentials are used.</w:t>
            </w:r>
          </w:p>
        </w:tc>
      </w:tr>
      <w:tr>
        <w:tc>
          <w:tcPr>
            <w:tcBorders>
              <w:top w:val="none" w:color="FFFFFF" w:sz="0"/>
              <w:left w:val="single" w:color="0D7A8A" w:sz="8"/>
              <w:bottom w:val="none" w:color="FFFFFF" w:sz="0"/>
              <w:right w:val="none" w:color="FFFFFF" w:sz="0"/>
            </w:tcBorders>
            <w:shd w:fill="E0F4F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Scenarios are generated using a configurable synthetic data engine (Faker.js + custom UPI schema).</w:t>
            </w:r>
          </w:p>
        </w:tc>
      </w:tr>
      <w:tr>
        <w:tc>
          <w:tcPr>
            <w:tcBorders>
              <w:top w:val="none" w:color="FFFFFF" w:sz="0"/>
              <w:left w:val="single" w:color="0D7A8A" w:sz="8"/>
              <w:bottom w:val="single" w:color="0D7A8A" w:sz="8"/>
              <w:right w:val="none" w:color="FFFFFF" w:sz="0"/>
            </w:tcBorders>
            <w:shd w:fill="E0F4F6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Investigators can modify scenario parameters to create custom training cases.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Antigravity Platform Integration</w:t>
      </w:r>
    </w:p>
    <w:p>
      <w:pPr>
        <w:spacing w:after="10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UPI Fraud Detection module integrates natively into the Antigravity platform architecture. This section defines the integration contracts, data flows, and deployment topology.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7.1 Platform Integration Architecture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7.1.1 Module Embedding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module is shipped as an Antigravity Plugin with a sandboxed frontend bundle and a serverless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Plugin manifest registers: data connectors, navigation entries, command palette actions, and event listeners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graph canvas is embedded as a resizable Antigravity Panel component with deep-link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Risk alerts surface in the global Antigravity Notification Stream with structured payloads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7.2 Data Ingestion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0D7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0D7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0D7A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Sourced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Bank Core System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REST API / ISO 20022</w:t>
            </w:r>
          </w:p>
        </w:tc>
        <w:tc>
          <w:tcPr>
            <w:tcW w:type="dxa" w:w="4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UPI transaction logs, account metadata, KYC tier, device bindings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NPCI Switch Feed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SFTP / Secure Stream</w:t>
            </w:r>
          </w:p>
        </w:tc>
        <w:tc>
          <w:tcPr>
            <w:tcW w:type="dxa" w:w="4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Real-time UPI switch events, VPA registry, fraud alert ACKs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Telecom KYC (DoT)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 (TAFCOP portal)</w:t>
            </w:r>
          </w:p>
        </w:tc>
        <w:tc>
          <w:tcPr>
            <w:tcW w:type="dxa" w:w="4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Mobile number ownership, SIM age, porting history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MHA I4C NCRP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REST API</w:t>
            </w:r>
          </w:p>
        </w:tc>
        <w:tc>
          <w:tcPr>
            <w:tcW w:type="dxa" w:w="4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Reported cybercrime complaints linked to VPAs/accounts</w:t>
            </w:r>
          </w:p>
        </w:tc>
      </w:tr>
      <w:tr>
        <w:tc>
          <w:tcPr>
            <w:tcW w:type="dxa" w:w="26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Synthetic Data Engine</w:t>
            </w:r>
          </w:p>
        </w:tc>
        <w:tc>
          <w:tcPr>
            <w:tcW w:type="dxa" w:w="2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Internal SDK</w:t>
            </w:r>
          </w:p>
        </w:tc>
        <w:tc>
          <w:tcPr>
            <w:tcW w:type="dxa" w:w="45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Simulation sandbox data (no real PII)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7.3 API &amp; Event Contracts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7.3.1 Outbound Events (Platform-wide)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fraud.mule.detected — emitted when MPS ≥ 0.85, payload includes account ID, score, top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fraud.ring.identified — emitted on new community detection result, payload includes ring ID and member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fraud.layering.confirmed — emitted when LRS ≥ 0.85 with full path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compliance.str.ready — emitted when STR draft is generated, triggers approval workflow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7.3.2 Inbound Event Listeners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account.flagged — external flag ingestion from partner banks triggers graph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transaction.ingested — new transaction event triggers incremental graph update + scoring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investigation.opened — links external case ID to graph subgraph for evidence tracking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7.4 Authentication &amp;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Role: FRAUD_ANALYST — read graph, run queries, view scores, export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Role: FRAUD_INVESTIGATOR — all analyst permissions + case assignment + STR sign-off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Role: COMPLIANCE_OFFICER — all investigator permissions + FIU-IND submission + regulatory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Role: ADMIN — full configuration access, model weight tuning, connector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roles authenticated via Antigravity SSO (OAuth 2.0 / SAML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masking: PII fields (name, mobile, email) masked for ANALYST role by default; unmask requires 2-FA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Technical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8.1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Goal</w:t>
            </w:r>
          </w:p>
        </w:tc>
      </w:tr>
      <w:tr>
        <w:tc>
          <w:tcPr>
            <w:tcW w:type="dxa" w:w="4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Transaction ingestion latency (P99)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&lt;500ms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&lt;200ms</w:t>
            </w:r>
          </w:p>
        </w:tc>
      </w:tr>
      <w:tr>
        <w:tc>
          <w:tcPr>
            <w:tcW w:type="dxa" w:w="4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MPS score computation per account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&lt;2 seconds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&lt;500ms</w:t>
            </w:r>
          </w:p>
        </w:tc>
      </w:tr>
      <w:tr>
        <w:tc>
          <w:tcPr>
            <w:tcW w:type="dxa" w:w="4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Graph traversal (5-hop path)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&lt;300ms</w:t>
            </w:r>
          </w:p>
        </w:tc>
      </w:tr>
      <w:tr>
        <w:tc>
          <w:tcPr>
            <w:tcW w:type="dxa" w:w="4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Community detection (100k node graph)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&lt;30 seconds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&lt;10 seconds</w:t>
            </w:r>
          </w:p>
        </w:tc>
      </w:tr>
      <w:tr>
        <w:tc>
          <w:tcPr>
            <w:tcW w:type="dxa" w:w="4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Graph render (50k nodes, WebGL)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30fps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60fps</w:t>
            </w:r>
          </w:p>
        </w:tc>
      </w:tr>
      <w:tr>
        <w:tc>
          <w:tcPr>
            <w:tcW w:type="dxa" w:w="42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 auto-generation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&lt;5 seconds</w:t>
            </w:r>
          </w:p>
        </w:tc>
        <w:tc>
          <w:tcPr>
            <w:tcW w:type="dxa" w:w="25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&lt;2 seconds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8.2 Technology Stack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8.2.1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Graph Database: Neo4j 5.x (primary) with Apache AGE (PostgreSQL extension) as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Stream Processing: Apache Kafka + Apache Flink for real-time transaction event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Scoring Engine: Python (scikit-learn + NetworkX) deployed as FastAPI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Layer: GraphQL (Hasura) for graph queries + REST for operational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Message Queue: Apache Kafka for event bus integration with Antigravity platform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E05C1A"/>
          <w:sz w:val="24"/>
          <w:szCs w:val="24"/>
        </w:rPr>
        <w:t xml:space="preserve">8.2.2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Framework: React 18 +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Graph Visualization: D3.js v7 + Sigma.js 2 (WebGL)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Mapping: MapLibre GL for geographic heatmap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State Management: Zustand + React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Component Library: Antigravity Design System (Radix UI base)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8.3 Security &amp; Compliance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at rest: AES-256 encryption for all transaction and PII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in transit: TLS 1.3 mandatory for all API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PII masking: All account holder names, mobile numbers, and email addresses masked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Audit log: Immutable append-only audit trail for all graph queries, case actions, and STR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Data residency: All data stored in India (Mumbai/Pune AWS/Azure regions) per RBI data localisation norms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Penetration testing: Quarterly pen tests by CERT-In empanelled auditor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ISO 27001 alignment: Security controls mapped to ISO 27001:2022 control set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Success Metrics &amp; Acceptance Criteria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9.1 Detection Performance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380"/>
        <w:gridCol w:w="3180"/>
      </w:tblGrid>
      <w:tr>
        <w:tc>
          <w:tcPr>
            <w:tcW w:type="dxa" w:w="3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Mule account detection precision</w:t>
            </w:r>
          </w:p>
        </w:tc>
        <w:tc>
          <w:tcPr>
            <w:tcW w:type="dxa" w:w="23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≥90%</w:t>
            </w:r>
          </w:p>
        </w:tc>
        <w:tc>
          <w:tcPr>
            <w:tcW w:type="dxa" w:w="31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Labelled ground-truth dataset (10,000 accounts)</w:t>
            </w:r>
          </w:p>
        </w:tc>
      </w:tr>
      <w:tr>
        <w:tc>
          <w:tcPr>
            <w:tcW w:type="dxa" w:w="3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Mule account detection recall</w:t>
            </w:r>
          </w:p>
        </w:tc>
        <w:tc>
          <w:tcPr>
            <w:tcW w:type="dxa" w:w="23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≥85%</w:t>
            </w:r>
          </w:p>
        </w:tc>
        <w:tc>
          <w:tcPr>
            <w:tcW w:type="dxa" w:w="31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Same labelled dataset</w:t>
            </w:r>
          </w:p>
        </w:tc>
      </w:tr>
      <w:tr>
        <w:tc>
          <w:tcPr>
            <w:tcW w:type="dxa" w:w="3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Layering path detection accuracy</w:t>
            </w:r>
          </w:p>
        </w:tc>
        <w:tc>
          <w:tcPr>
            <w:tcW w:type="dxa" w:w="23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≥88%</w:t>
            </w:r>
          </w:p>
        </w:tc>
        <w:tc>
          <w:tcPr>
            <w:tcW w:type="dxa" w:w="31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Simulation scenario back-testing</w:t>
            </w:r>
          </w:p>
        </w:tc>
      </w:tr>
      <w:tr>
        <w:tc>
          <w:tcPr>
            <w:tcW w:type="dxa" w:w="3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False positive rate (MPS flags)</w:t>
            </w:r>
          </w:p>
        </w:tc>
        <w:tc>
          <w:tcPr>
            <w:tcW w:type="dxa" w:w="23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≤8%</w:t>
            </w:r>
          </w:p>
        </w:tc>
        <w:tc>
          <w:tcPr>
            <w:tcW w:type="dxa" w:w="31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Analyst review queue feedback loop</w:t>
            </w:r>
          </w:p>
        </w:tc>
      </w:tr>
      <w:tr>
        <w:tc>
          <w:tcPr>
            <w:tcW w:type="dxa" w:w="3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Fraud ring detection rate</w:t>
            </w:r>
          </w:p>
        </w:tc>
        <w:tc>
          <w:tcPr>
            <w:tcW w:type="dxa" w:w="23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≥80%</w:t>
            </w:r>
          </w:p>
        </w:tc>
        <w:tc>
          <w:tcPr>
            <w:tcW w:type="dxa" w:w="31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Simulation ring injection tests</w:t>
            </w:r>
          </w:p>
        </w:tc>
      </w:tr>
      <w:tr>
        <w:tc>
          <w:tcPr>
            <w:tcW w:type="dxa" w:w="3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Mean time to flag (post-transaction)</w:t>
            </w:r>
          </w:p>
        </w:tc>
        <w:tc>
          <w:tcPr>
            <w:tcW w:type="dxa" w:w="23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&lt;5 minutes</w:t>
            </w:r>
          </w:p>
        </w:tc>
        <w:tc>
          <w:tcPr>
            <w:tcW w:type="dxa" w:w="31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End-to-end latency test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A8A"/>
          <w:sz w:val="26"/>
          <w:szCs w:val="26"/>
        </w:rPr>
        <w:t xml:space="preserve">9.2 Product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10 simulation scenarios execute successfully and produce correctly structured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STR auto-generation validated against FIU-IND XSD schema with zero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Graph canvas renders 50,000 node simulation dataset at ≥30fps on Chrome/Firefox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role-based access controls verified via penetration test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Antigravity plugin loads within 3 seconds of platform initialization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outbound platform events consumed and processed by Antigravity event bus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Delivery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4120"/>
        <w:gridCol w:w="2000"/>
      </w:tblGrid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4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 ingestion pipeline, graph database schema, synthetic data engine, core scoring models (MPS v1)</w:t>
            </w:r>
          </w:p>
        </w:tc>
        <w:tc>
          <w:tcPr>
            <w:tcW w:type="dxa" w:w="2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Data foundation ready</w:t>
            </w:r>
          </w:p>
        </w:tc>
      </w:tr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4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Mule detection engine, layering chain analyser, fraud ring community detection, scoring API</w:t>
            </w:r>
          </w:p>
        </w:tc>
        <w:tc>
          <w:tcPr>
            <w:tcW w:type="dxa" w:w="2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Detection v1 live</w:t>
            </w:r>
          </w:p>
        </w:tc>
      </w:tr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4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Graph visualization canvas (D3 + Sigma), investigator interface, Risk Intelligence Panel, path tracer</w:t>
            </w:r>
          </w:p>
        </w:tc>
        <w:tc>
          <w:tcPr>
            <w:tcW w:type="dxa" w:w="2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Visualization MVP</w:t>
            </w:r>
          </w:p>
        </w:tc>
      </w:tr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Weeks 13–16</w:t>
            </w:r>
          </w:p>
        </w:tc>
        <w:tc>
          <w:tcPr>
            <w:tcW w:type="dxa" w:w="4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RBI/Cyber Cell simulation module, 10 simulation scenarios, STR auto-generation, FIU-IND export</w:t>
            </w:r>
          </w:p>
        </w:tc>
        <w:tc>
          <w:tcPr>
            <w:tcW w:type="dxa" w:w="2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Simulation complete</w:t>
            </w:r>
          </w:p>
        </w:tc>
      </w:tr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0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Weeks 17–20</w:t>
            </w:r>
          </w:p>
        </w:tc>
        <w:tc>
          <w:tcPr>
            <w:tcW w:type="dxa" w:w="412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Antigravity plugin packaging, event bus integration, RBAC, security hardening, pen test</w:t>
            </w:r>
          </w:p>
        </w:tc>
        <w:tc>
          <w:tcPr>
            <w:tcW w:type="dxa" w:w="20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Platform launch ready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Mule Account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 bank account used, knowingly or unknowingly, to receive and forward fraudulently obtained funds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Layering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The second stage of money laundering: moving funds through multiple transactions to obscure origin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VPA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Virtual Payment Address — the UPI handle (e.g. name@upi) used for transaction routing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MPS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Mule Probability Score — a 0–1 score indicating likelihood that an account is acting as a money mule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LRS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Layering Risk Score — a 0–1 score for a transaction path indicating money laundering layering probability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STR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Suspicious Transaction Report — mandatory filing under PMLA submitted to FIU-IND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I4C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Indian Cybercrime Coordination Centre — MHA nodal agency for cybercrime coordination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NCRP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National Cybercrime Reporting Portal — citizen portal for cybercrime complaint registration</w:t>
            </w:r>
          </w:p>
        </w:tc>
      </w:tr>
      <w:tr>
        <w:tc>
          <w:tcPr>
            <w:tcW w:type="dxa" w:w="24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Smurfing</w:t>
            </w:r>
          </w:p>
        </w:tc>
        <w:tc>
          <w:tcPr>
            <w:tcW w:type="dxa" w:w="696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Breaking a large illicit sum into many small transactions below regulatory reporting thresholds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Appendix B: Regulatory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RBI Master Direction — Frauds Classification and Reporting (2024 amendment)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NPCI UPI Fraud Monitoring &amp; Prevention Framework v2.3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Prevention of Money Laundering Act (PMLA) 2002, as amended through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FIU-IND Suspicious Transaction Report XSD Schema v4.1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MHA I4C Standard Operating Procedures for Cyber Cell Investigation (2022)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 Act 2000, Sections 43, 66, 66C, 66D, 72A (as amended)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RBI Data Localisation Circular RBI/2018-19/153 DPSS.CO.OD No.2785/06.08.005/2018-19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0D7A8A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Appendix C: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880"/>
        <w:gridCol w:w="3240"/>
      </w:tblGrid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2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E8F0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 Apr 2026</w:t>
            </w:r>
          </w:p>
        </w:tc>
        <w:tc>
          <w:tcPr>
            <w:tcW w:type="dxa" w:w="288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Antigravity Product Team</w:t>
            </w:r>
          </w:p>
        </w:tc>
        <w:tc>
          <w:tcPr>
            <w:tcW w:type="dxa" w:w="3240"/>
            <w:tcBorders>
              <w:top w:val="single" w:color="C8D6E8" w:sz="1"/>
              <w:left w:val="single" w:color="C8D6E8" w:sz="1"/>
              <w:bottom w:val="single" w:color="C8D6E8" w:sz="1"/>
              <w:right w:val="single" w:color="C8D6E8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Initial PDR release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A8A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© 2026 Antigravity. All rights reserved.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PDR-2026-001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8A" w:sz="4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UPI Fraud Detection &amp; Money Mule Network Mapper  |  Antigravity Platform PDR</w:t>
    </w:r>
    <w:r>
      <w:rPr>
        <w:rFonts w:ascii="Arial" w:cs="Arial" w:eastAsia="Arial" w:hAnsi="Arial"/>
        <w:b/>
        <w:bCs/>
        <w:color w:val="E05C1A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7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E05C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2026-04-29T19:49:40.619Z</dcterms:created>
  <dcterms:modified xsi:type="dcterms:W3CDTF">2026-04-29T19:49:40.620Z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