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4"/>
        <w:ind w:right="1064"/>
      </w:pPr>
      <w:r>
        <w:rPr/>
        <w:t>SANCTION </w:t>
      </w:r>
      <w:r>
        <w:rPr>
          <w:spacing w:val="-2"/>
        </w:rPr>
        <w:t>LETTER</w:t>
      </w:r>
    </w:p>
    <w:p>
      <w:pPr>
        <w:pStyle w:val="BodyText"/>
        <w:spacing w:before="104"/>
        <w:rPr>
          <w:rFonts w:ascii="Arial"/>
          <w:b/>
        </w:rPr>
      </w:pPr>
    </w:p>
    <w:p>
      <w:pPr>
        <w:pStyle w:val="BodyText"/>
        <w:spacing w:line="480" w:lineRule="auto" w:before="1"/>
        <w:ind w:right="6878"/>
      </w:pPr>
      <w:r>
        <w:rPr>
          <w:spacing w:val="-2"/>
        </w:rPr>
        <w:t>{{kfsData.terms.proposalDate}} </w:t>
      </w:r>
      <w:r>
        <w:rPr/>
        <w:t>Application</w:t>
      </w:r>
      <w:r>
        <w:rPr>
          <w:spacing w:val="-13"/>
        </w:rPr>
        <w:t> </w:t>
      </w:r>
      <w:r>
        <w:rPr/>
        <w:t>Form</w:t>
      </w:r>
      <w:r>
        <w:rPr>
          <w:spacing w:val="-12"/>
        </w:rPr>
        <w:t> </w:t>
      </w:r>
      <w:r>
        <w:rPr/>
        <w:t>No:</w:t>
      </w:r>
      <w:r>
        <w:rPr>
          <w:spacing w:val="-13"/>
        </w:rPr>
        <w:t> </w:t>
      </w:r>
      <w:r>
        <w:rPr/>
        <w:t>{{opportunityId}} </w:t>
      </w:r>
      <w:r>
        <w:rPr>
          <w:spacing w:val="-4"/>
        </w:rPr>
        <w:t>To,</w:t>
      </w:r>
    </w:p>
    <w:p>
      <w:pPr>
        <w:pStyle w:val="BodyText"/>
        <w:ind w:right="6387"/>
      </w:pPr>
      <w:r>
        <w:rPr/>
        <w:t>{{salutation}}</w:t>
      </w:r>
      <w:r>
        <w:rPr>
          <w:spacing w:val="-10"/>
        </w:rPr>
        <w:t> </w:t>
      </w:r>
      <w:r>
        <w:rPr/>
        <w:t>{{name}},</w:t>
      </w:r>
      <w:r>
        <w:rPr>
          <w:spacing w:val="-10"/>
        </w:rPr>
        <w:t> </w:t>
      </w:r>
      <w:r>
        <w:rPr/>
        <w:t>as</w:t>
      </w:r>
      <w:r>
        <w:rPr>
          <w:spacing w:val="-10"/>
        </w:rPr>
        <w:t> </w:t>
      </w:r>
      <w:r>
        <w:rPr/>
        <w:t>primary</w:t>
      </w:r>
      <w:r>
        <w:rPr>
          <w:spacing w:val="-10"/>
        </w:rPr>
        <w:t> </w:t>
      </w:r>
      <w:r>
        <w:rPr/>
        <w:t>borrower NA, as co-borrower 1</w:t>
      </w:r>
    </w:p>
    <w:p>
      <w:pPr>
        <w:pStyle w:val="BodyText"/>
      </w:pPr>
      <w:r>
        <w:rPr/>
        <w:t>NA, as co-borrower </w:t>
      </w:r>
      <w:r>
        <w:rPr>
          <w:spacing w:val="-10"/>
        </w:rPr>
        <w:t>2</w:t>
      </w:r>
    </w:p>
    <w:p>
      <w:pPr>
        <w:pStyle w:val="BodyText"/>
        <w:spacing w:before="206"/>
      </w:pPr>
    </w:p>
    <w:p>
      <w:pPr>
        <w:pStyle w:val="Heading1"/>
        <w:ind w:left="345" w:right="1064"/>
      </w:pPr>
      <w:r>
        <w:rPr>
          <w:color w:val="212121"/>
          <w:u w:val="single" w:color="212121"/>
        </w:rPr>
        <w:t>Subject: Sanction Letter – Loan against </w:t>
      </w:r>
      <w:r>
        <w:rPr>
          <w:color w:val="212121"/>
          <w:spacing w:val="-2"/>
          <w:u w:val="single" w:color="212121"/>
        </w:rPr>
        <w:t>Securities</w:t>
      </w:r>
    </w:p>
    <w:p>
      <w:pPr>
        <w:pStyle w:val="ListParagraph"/>
        <w:numPr>
          <w:ilvl w:val="0"/>
          <w:numId w:val="1"/>
        </w:numPr>
        <w:tabs>
          <w:tab w:pos="720" w:val="left" w:leader="none"/>
        </w:tabs>
        <w:spacing w:line="240" w:lineRule="auto" w:before="207" w:after="0"/>
        <w:ind w:left="720" w:right="718" w:hanging="720"/>
        <w:jc w:val="both"/>
        <w:rPr>
          <w:sz w:val="18"/>
        </w:rPr>
      </w:pPr>
      <w:r>
        <w:rPr>
          <w:sz w:val="18"/>
        </w:rPr>
        <w:t>We, DSP Finance Private Limited (formerly known as DSP Investment Managers Private Limited) </w:t>
      </w:r>
      <w:r>
        <w:rPr>
          <w:sz w:val="18"/>
        </w:rPr>
        <w:t>(“</w:t>
      </w:r>
      <w:r>
        <w:rPr>
          <w:rFonts w:ascii="Arial" w:hAnsi="Arial"/>
          <w:b/>
          <w:sz w:val="18"/>
        </w:rPr>
        <w:t>DSP Finance</w:t>
      </w:r>
      <w:r>
        <w:rPr>
          <w:sz w:val="18"/>
        </w:rPr>
        <w:t>” or “</w:t>
      </w:r>
      <w:r>
        <w:rPr>
          <w:rFonts w:ascii="Arial" w:hAnsi="Arial"/>
          <w:b/>
          <w:sz w:val="18"/>
        </w:rPr>
        <w:t>Lender</w:t>
      </w:r>
      <w:r>
        <w:rPr>
          <w:sz w:val="18"/>
        </w:rPr>
        <w:t>”), thank you for the application form filled and submitted by you requesting DSP Finance to grant a loan against securities (“</w:t>
      </w:r>
      <w:r>
        <w:rPr>
          <w:rFonts w:ascii="Arial" w:hAnsi="Arial"/>
          <w:b/>
          <w:sz w:val="18"/>
        </w:rPr>
        <w:t>Facility</w:t>
      </w:r>
      <w:r>
        <w:rPr>
          <w:sz w:val="18"/>
        </w:rPr>
        <w:t>”).</w:t>
      </w:r>
    </w:p>
    <w:p>
      <w:pPr>
        <w:pStyle w:val="ListParagraph"/>
        <w:numPr>
          <w:ilvl w:val="0"/>
          <w:numId w:val="1"/>
        </w:numPr>
        <w:tabs>
          <w:tab w:pos="720" w:val="left" w:leader="none"/>
        </w:tabs>
        <w:spacing w:line="240" w:lineRule="auto" w:before="207" w:after="0"/>
        <w:ind w:left="720" w:right="723" w:hanging="720"/>
        <w:jc w:val="both"/>
        <w:rPr>
          <w:sz w:val="18"/>
        </w:rPr>
      </w:pPr>
      <w:r>
        <w:rPr>
          <w:sz w:val="18"/>
        </w:rPr>
        <w:t>Pursuant to the review of your application form, we are pleased to issue this in-principle sanction </w:t>
      </w:r>
      <w:r>
        <w:rPr>
          <w:sz w:val="18"/>
        </w:rPr>
        <w:t>letter containing indicative terms and conditions of the</w:t>
      </w:r>
      <w:r>
        <w:rPr>
          <w:spacing w:val="-3"/>
          <w:sz w:val="18"/>
        </w:rPr>
        <w:t> </w:t>
      </w:r>
      <w:r>
        <w:rPr>
          <w:sz w:val="18"/>
        </w:rPr>
        <w:t>proposed</w:t>
      </w:r>
      <w:r>
        <w:rPr>
          <w:spacing w:val="-3"/>
          <w:sz w:val="18"/>
        </w:rPr>
        <w:t> </w:t>
      </w:r>
      <w:r>
        <w:rPr>
          <w:sz w:val="18"/>
        </w:rPr>
        <w:t>Facility</w:t>
      </w:r>
      <w:r>
        <w:rPr>
          <w:spacing w:val="-3"/>
          <w:sz w:val="18"/>
        </w:rPr>
        <w:t> </w:t>
      </w:r>
      <w:r>
        <w:rPr>
          <w:sz w:val="18"/>
        </w:rPr>
        <w:t>to</w:t>
      </w:r>
      <w:r>
        <w:rPr>
          <w:spacing w:val="-3"/>
          <w:sz w:val="18"/>
        </w:rPr>
        <w:t> </w:t>
      </w:r>
      <w:r>
        <w:rPr>
          <w:sz w:val="18"/>
        </w:rPr>
        <w:t>be</w:t>
      </w:r>
      <w:r>
        <w:rPr>
          <w:spacing w:val="-3"/>
          <w:sz w:val="18"/>
        </w:rPr>
        <w:t> </w:t>
      </w:r>
      <w:r>
        <w:rPr>
          <w:sz w:val="18"/>
        </w:rPr>
        <w:t>granted</w:t>
      </w:r>
      <w:r>
        <w:rPr>
          <w:spacing w:val="-3"/>
          <w:sz w:val="18"/>
        </w:rPr>
        <w:t> </w:t>
      </w:r>
      <w:r>
        <w:rPr>
          <w:sz w:val="18"/>
        </w:rPr>
        <w:t>to</w:t>
      </w:r>
      <w:r>
        <w:rPr>
          <w:spacing w:val="-3"/>
          <w:sz w:val="18"/>
        </w:rPr>
        <w:t> </w:t>
      </w:r>
      <w:r>
        <w:rPr>
          <w:sz w:val="18"/>
        </w:rPr>
        <w:t>you</w:t>
      </w:r>
      <w:r>
        <w:rPr>
          <w:spacing w:val="-3"/>
          <w:sz w:val="18"/>
        </w:rPr>
        <w:t> </w:t>
      </w:r>
      <w:r>
        <w:rPr>
          <w:sz w:val="18"/>
        </w:rPr>
        <w:t>(“</w:t>
      </w:r>
      <w:r>
        <w:rPr>
          <w:rFonts w:ascii="Arial" w:hAnsi="Arial"/>
          <w:b/>
          <w:sz w:val="18"/>
        </w:rPr>
        <w:t>Sanction</w:t>
      </w:r>
      <w:r>
        <w:rPr>
          <w:rFonts w:ascii="Arial" w:hAnsi="Arial"/>
          <w:b/>
          <w:spacing w:val="-3"/>
          <w:sz w:val="18"/>
        </w:rPr>
        <w:t> </w:t>
      </w:r>
      <w:r>
        <w:rPr>
          <w:rFonts w:ascii="Arial" w:hAnsi="Arial"/>
          <w:b/>
          <w:sz w:val="18"/>
        </w:rPr>
        <w:t>Letter</w:t>
      </w:r>
      <w:r>
        <w:rPr>
          <w:sz w:val="18"/>
        </w:rPr>
        <w:t>”), as more particularly specified in the Annexure.</w:t>
      </w:r>
    </w:p>
    <w:p>
      <w:pPr>
        <w:pStyle w:val="ListParagraph"/>
        <w:numPr>
          <w:ilvl w:val="0"/>
          <w:numId w:val="1"/>
        </w:numPr>
        <w:tabs>
          <w:tab w:pos="720" w:val="left" w:leader="none"/>
        </w:tabs>
        <w:spacing w:line="240" w:lineRule="auto" w:before="207" w:after="0"/>
        <w:ind w:left="720" w:right="718" w:hanging="720"/>
        <w:jc w:val="both"/>
        <w:rPr>
          <w:sz w:val="18"/>
        </w:rPr>
      </w:pPr>
      <w:r>
        <w:rPr>
          <w:sz w:val="18"/>
        </w:rPr>
        <w:t>This</w:t>
      </w:r>
      <w:r>
        <w:rPr>
          <w:spacing w:val="12"/>
          <w:sz w:val="18"/>
        </w:rPr>
        <w:t> </w:t>
      </w:r>
      <w:r>
        <w:rPr>
          <w:sz w:val="18"/>
        </w:rPr>
        <w:t>Sanction</w:t>
      </w:r>
      <w:r>
        <w:rPr>
          <w:spacing w:val="12"/>
          <w:sz w:val="18"/>
        </w:rPr>
        <w:t> </w:t>
      </w:r>
      <w:r>
        <w:rPr>
          <w:sz w:val="18"/>
        </w:rPr>
        <w:t>Letter</w:t>
      </w:r>
      <w:r>
        <w:rPr>
          <w:spacing w:val="12"/>
          <w:sz w:val="18"/>
        </w:rPr>
        <w:t> </w:t>
      </w:r>
      <w:r>
        <w:rPr>
          <w:sz w:val="18"/>
        </w:rPr>
        <w:t>is</w:t>
      </w:r>
      <w:r>
        <w:rPr>
          <w:spacing w:val="12"/>
          <w:sz w:val="18"/>
        </w:rPr>
        <w:t> </w:t>
      </w:r>
      <w:r>
        <w:rPr>
          <w:sz w:val="18"/>
        </w:rPr>
        <w:t>valid</w:t>
      </w:r>
      <w:r>
        <w:rPr>
          <w:spacing w:val="12"/>
          <w:sz w:val="18"/>
        </w:rPr>
        <w:t> </w:t>
      </w:r>
      <w:r>
        <w:rPr>
          <w:sz w:val="18"/>
        </w:rPr>
        <w:t>for</w:t>
      </w:r>
      <w:r>
        <w:rPr>
          <w:spacing w:val="12"/>
          <w:sz w:val="18"/>
        </w:rPr>
        <w:t> </w:t>
      </w:r>
      <w:r>
        <w:rPr>
          <w:sz w:val="18"/>
        </w:rPr>
        <w:t>3</w:t>
      </w:r>
      <w:r>
        <w:rPr>
          <w:spacing w:val="12"/>
          <w:sz w:val="18"/>
        </w:rPr>
        <w:t> </w:t>
      </w:r>
      <w:r>
        <w:rPr>
          <w:sz w:val="18"/>
        </w:rPr>
        <w:t>days</w:t>
      </w:r>
      <w:r>
        <w:rPr>
          <w:spacing w:val="12"/>
          <w:sz w:val="18"/>
        </w:rPr>
        <w:t> </w:t>
      </w:r>
      <w:r>
        <w:rPr>
          <w:sz w:val="18"/>
        </w:rPr>
        <w:t>from</w:t>
      </w:r>
      <w:r>
        <w:rPr>
          <w:spacing w:val="12"/>
          <w:sz w:val="18"/>
        </w:rPr>
        <w:t> </w:t>
      </w:r>
      <w:r>
        <w:rPr>
          <w:sz w:val="18"/>
        </w:rPr>
        <w:t>the</w:t>
      </w:r>
      <w:r>
        <w:rPr>
          <w:spacing w:val="12"/>
          <w:sz w:val="18"/>
        </w:rPr>
        <w:t> </w:t>
      </w:r>
      <w:r>
        <w:rPr>
          <w:sz w:val="18"/>
        </w:rPr>
        <w:t>date</w:t>
      </w:r>
      <w:r>
        <w:rPr>
          <w:spacing w:val="12"/>
          <w:sz w:val="18"/>
        </w:rPr>
        <w:t> </w:t>
      </w:r>
      <w:r>
        <w:rPr>
          <w:sz w:val="18"/>
        </w:rPr>
        <w:t>of</w:t>
      </w:r>
      <w:r>
        <w:rPr>
          <w:spacing w:val="-2"/>
          <w:sz w:val="18"/>
        </w:rPr>
        <w:t> </w:t>
      </w:r>
      <w:r>
        <w:rPr>
          <w:sz w:val="18"/>
        </w:rPr>
        <w:t>this</w:t>
      </w:r>
      <w:r>
        <w:rPr>
          <w:spacing w:val="-2"/>
          <w:sz w:val="18"/>
        </w:rPr>
        <w:t> </w:t>
      </w:r>
      <w:r>
        <w:rPr>
          <w:sz w:val="18"/>
        </w:rPr>
        <w:t>Sanction</w:t>
      </w:r>
      <w:r>
        <w:rPr>
          <w:spacing w:val="-2"/>
          <w:sz w:val="18"/>
        </w:rPr>
        <w:t> </w:t>
      </w:r>
      <w:r>
        <w:rPr>
          <w:sz w:val="18"/>
        </w:rPr>
        <w:t>Letter;</w:t>
      </w:r>
      <w:r>
        <w:rPr>
          <w:spacing w:val="-2"/>
          <w:sz w:val="18"/>
        </w:rPr>
        <w:t> </w:t>
      </w:r>
      <w:r>
        <w:rPr>
          <w:sz w:val="18"/>
        </w:rPr>
        <w:t>DSP</w:t>
      </w:r>
      <w:r>
        <w:rPr>
          <w:spacing w:val="-2"/>
          <w:sz w:val="18"/>
        </w:rPr>
        <w:t> </w:t>
      </w:r>
      <w:r>
        <w:rPr>
          <w:sz w:val="18"/>
        </w:rPr>
        <w:t>Finance</w:t>
      </w:r>
      <w:r>
        <w:rPr>
          <w:spacing w:val="-2"/>
          <w:sz w:val="18"/>
        </w:rPr>
        <w:t> </w:t>
      </w:r>
      <w:r>
        <w:rPr>
          <w:sz w:val="18"/>
        </w:rPr>
        <w:t>reserves</w:t>
      </w:r>
      <w:r>
        <w:rPr>
          <w:spacing w:val="-2"/>
          <w:sz w:val="18"/>
        </w:rPr>
        <w:t> </w:t>
      </w:r>
      <w:r>
        <w:rPr>
          <w:sz w:val="18"/>
        </w:rPr>
        <w:t>its</w:t>
      </w:r>
      <w:r>
        <w:rPr>
          <w:spacing w:val="-2"/>
          <w:sz w:val="18"/>
        </w:rPr>
        <w:t> </w:t>
      </w:r>
      <w:r>
        <w:rPr>
          <w:sz w:val="18"/>
        </w:rPr>
        <w:t>right to cancel and repudiate or not act on this Sanction Letter anytime within this 3 days period, without notice and</w:t>
      </w:r>
      <w:r>
        <w:rPr>
          <w:spacing w:val="40"/>
          <w:sz w:val="18"/>
        </w:rPr>
        <w:t> </w:t>
      </w:r>
      <w:r>
        <w:rPr>
          <w:sz w:val="18"/>
        </w:rPr>
        <w:t>without</w:t>
      </w:r>
      <w:r>
        <w:rPr>
          <w:spacing w:val="40"/>
          <w:sz w:val="18"/>
        </w:rPr>
        <w:t> </w:t>
      </w:r>
      <w:r>
        <w:rPr>
          <w:sz w:val="18"/>
        </w:rPr>
        <w:t>giving</w:t>
      </w:r>
      <w:r>
        <w:rPr>
          <w:spacing w:val="40"/>
          <w:sz w:val="18"/>
        </w:rPr>
        <w:t> </w:t>
      </w:r>
      <w:r>
        <w:rPr>
          <w:sz w:val="18"/>
        </w:rPr>
        <w:t>any reason to the Obligor(s). This Sanction Letter shall not be construed as a commitment from DSP Finance or any of its affiliates or</w:t>
      </w:r>
      <w:r>
        <w:rPr>
          <w:spacing w:val="-2"/>
          <w:sz w:val="18"/>
        </w:rPr>
        <w:t> </w:t>
      </w:r>
      <w:r>
        <w:rPr>
          <w:sz w:val="18"/>
        </w:rPr>
        <w:t>service</w:t>
      </w:r>
      <w:r>
        <w:rPr>
          <w:spacing w:val="-2"/>
          <w:sz w:val="18"/>
        </w:rPr>
        <w:t> </w:t>
      </w:r>
      <w:r>
        <w:rPr>
          <w:sz w:val="18"/>
        </w:rPr>
        <w:t>providers</w:t>
      </w:r>
      <w:r>
        <w:rPr>
          <w:spacing w:val="-2"/>
          <w:sz w:val="18"/>
        </w:rPr>
        <w:t> </w:t>
      </w:r>
      <w:r>
        <w:rPr>
          <w:sz w:val="18"/>
        </w:rPr>
        <w:t>or</w:t>
      </w:r>
      <w:r>
        <w:rPr>
          <w:spacing w:val="-2"/>
          <w:sz w:val="18"/>
        </w:rPr>
        <w:t> </w:t>
      </w:r>
      <w:r>
        <w:rPr>
          <w:sz w:val="18"/>
        </w:rPr>
        <w:t>agents</w:t>
      </w:r>
      <w:r>
        <w:rPr>
          <w:spacing w:val="-2"/>
          <w:sz w:val="18"/>
        </w:rPr>
        <w:t> </w:t>
      </w:r>
      <w:r>
        <w:rPr>
          <w:sz w:val="18"/>
        </w:rPr>
        <w:t>or</w:t>
      </w:r>
      <w:r>
        <w:rPr>
          <w:spacing w:val="-2"/>
          <w:sz w:val="18"/>
        </w:rPr>
        <w:t> </w:t>
      </w:r>
      <w:r>
        <w:rPr>
          <w:sz w:val="18"/>
        </w:rPr>
        <w:t>business</w:t>
      </w:r>
      <w:r>
        <w:rPr>
          <w:spacing w:val="-2"/>
          <w:sz w:val="18"/>
        </w:rPr>
        <w:t> </w:t>
      </w:r>
      <w:r>
        <w:rPr>
          <w:sz w:val="18"/>
        </w:rPr>
        <w:t>partners</w:t>
      </w:r>
      <w:r>
        <w:rPr>
          <w:spacing w:val="-2"/>
          <w:sz w:val="18"/>
        </w:rPr>
        <w:t> </w:t>
      </w:r>
      <w:r>
        <w:rPr>
          <w:sz w:val="18"/>
        </w:rPr>
        <w:t>to enter into any financing transactions with the Obligor(s) or to grant any loan facility to the Obligor(s) or to arrange any financing for the Obligor(s).</w:t>
      </w:r>
    </w:p>
    <w:p>
      <w:pPr>
        <w:pStyle w:val="BodyText"/>
      </w:pPr>
    </w:p>
    <w:p>
      <w:pPr>
        <w:pStyle w:val="BodyText"/>
        <w:spacing w:before="15"/>
      </w:pPr>
    </w:p>
    <w:p>
      <w:pPr>
        <w:pStyle w:val="Heading1"/>
      </w:pPr>
      <w:r>
        <w:rPr>
          <w:spacing w:val="-2"/>
        </w:rPr>
        <w:t>Annexure</w:t>
      </w:r>
    </w:p>
    <w:p>
      <w:pPr>
        <w:spacing w:before="0"/>
        <w:ind w:left="165" w:right="718" w:firstLine="0"/>
        <w:jc w:val="center"/>
        <w:rPr>
          <w:rFonts w:ascii="Arial"/>
          <w:b/>
          <w:sz w:val="18"/>
        </w:rPr>
      </w:pPr>
      <w:r>
        <w:rPr>
          <w:rFonts w:ascii="Arial"/>
          <w:b/>
          <w:sz w:val="18"/>
        </w:rPr>
        <w:t>Terms</w:t>
      </w:r>
      <w:r>
        <w:rPr>
          <w:rFonts w:ascii="Arial"/>
          <w:b/>
          <w:spacing w:val="-3"/>
          <w:sz w:val="18"/>
        </w:rPr>
        <w:t> </w:t>
      </w:r>
      <w:r>
        <w:rPr>
          <w:rFonts w:ascii="Arial"/>
          <w:b/>
          <w:sz w:val="18"/>
        </w:rPr>
        <w:t>and</w:t>
      </w:r>
      <w:r>
        <w:rPr>
          <w:rFonts w:ascii="Arial"/>
          <w:b/>
          <w:spacing w:val="-3"/>
          <w:sz w:val="18"/>
        </w:rPr>
        <w:t> </w:t>
      </w:r>
      <w:r>
        <w:rPr>
          <w:rFonts w:ascii="Arial"/>
          <w:b/>
          <w:sz w:val="18"/>
        </w:rPr>
        <w:t>conditions</w:t>
      </w:r>
      <w:r>
        <w:rPr>
          <w:rFonts w:ascii="Arial"/>
          <w:b/>
          <w:spacing w:val="-3"/>
          <w:sz w:val="18"/>
        </w:rPr>
        <w:t> </w:t>
      </w:r>
      <w:r>
        <w:rPr>
          <w:rFonts w:ascii="Arial"/>
          <w:b/>
          <w:sz w:val="18"/>
        </w:rPr>
        <w:t>of</w:t>
      </w:r>
      <w:r>
        <w:rPr>
          <w:rFonts w:ascii="Arial"/>
          <w:b/>
          <w:spacing w:val="-3"/>
          <w:sz w:val="18"/>
        </w:rPr>
        <w:t> </w:t>
      </w:r>
      <w:r>
        <w:rPr>
          <w:rFonts w:ascii="Arial"/>
          <w:b/>
          <w:sz w:val="18"/>
        </w:rPr>
        <w:t>the</w:t>
      </w:r>
      <w:r>
        <w:rPr>
          <w:rFonts w:ascii="Arial"/>
          <w:b/>
          <w:spacing w:val="-2"/>
          <w:sz w:val="18"/>
        </w:rPr>
        <w:t> sanction</w:t>
      </w:r>
    </w:p>
    <w:p>
      <w:pPr>
        <w:pStyle w:val="BodyText"/>
        <w:spacing w:before="7"/>
        <w:rPr>
          <w:rFonts w:ascii="Arial"/>
          <w:b/>
          <w:sz w:val="17"/>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5460" w:hRule="atLeast"/>
        </w:trPr>
        <w:tc>
          <w:tcPr>
            <w:tcW w:w="3480" w:type="dxa"/>
          </w:tcPr>
          <w:p>
            <w:pPr>
              <w:pStyle w:val="TableParagraph"/>
              <w:spacing w:line="206" w:lineRule="exact"/>
              <w:ind w:left="124"/>
              <w:rPr>
                <w:rFonts w:ascii="Arial"/>
                <w:b/>
                <w:sz w:val="18"/>
              </w:rPr>
            </w:pPr>
            <w:r>
              <w:rPr>
                <w:rFonts w:ascii="Arial"/>
                <w:b/>
                <w:sz w:val="18"/>
              </w:rPr>
              <w:t>Details of </w:t>
            </w:r>
            <w:r>
              <w:rPr>
                <w:rFonts w:ascii="Arial"/>
                <w:b/>
                <w:spacing w:val="-2"/>
                <w:sz w:val="18"/>
              </w:rPr>
              <w:t>Obligor(s)</w:t>
            </w:r>
          </w:p>
        </w:tc>
        <w:tc>
          <w:tcPr>
            <w:tcW w:w="6360" w:type="dxa"/>
          </w:tcPr>
          <w:p>
            <w:pPr>
              <w:pStyle w:val="TableParagraph"/>
              <w:numPr>
                <w:ilvl w:val="0"/>
                <w:numId w:val="2"/>
              </w:numPr>
              <w:tabs>
                <w:tab w:pos="319" w:val="left" w:leader="none"/>
              </w:tabs>
              <w:spacing w:line="206" w:lineRule="exact" w:before="0" w:after="0"/>
              <w:ind w:left="319" w:right="0" w:hanging="210"/>
              <w:jc w:val="left"/>
              <w:rPr>
                <w:sz w:val="18"/>
              </w:rPr>
            </w:pPr>
            <w:r>
              <w:rPr>
                <w:sz w:val="18"/>
              </w:rPr>
              <w:t>Name : </w:t>
            </w:r>
            <w:r>
              <w:rPr>
                <w:spacing w:val="-2"/>
                <w:sz w:val="18"/>
              </w:rPr>
              <w:t>{{name}}</w:t>
            </w:r>
          </w:p>
          <w:p>
            <w:pPr>
              <w:pStyle w:val="TableParagraph"/>
              <w:numPr>
                <w:ilvl w:val="0"/>
                <w:numId w:val="2"/>
              </w:numPr>
              <w:tabs>
                <w:tab w:pos="319" w:val="left" w:leader="none"/>
              </w:tabs>
              <w:spacing w:line="240" w:lineRule="auto" w:before="183" w:after="0"/>
              <w:ind w:left="319" w:right="0" w:hanging="210"/>
              <w:jc w:val="left"/>
              <w:rPr>
                <w:sz w:val="18"/>
              </w:rPr>
            </w:pPr>
            <w:r>
              <w:rPr>
                <w:sz w:val="18"/>
              </w:rPr>
              <w:t>Applicant type : Primary </w:t>
            </w:r>
            <w:r>
              <w:rPr>
                <w:spacing w:val="-2"/>
                <w:sz w:val="18"/>
              </w:rPr>
              <w:t>borrower</w:t>
            </w:r>
          </w:p>
          <w:p>
            <w:pPr>
              <w:pStyle w:val="TableParagraph"/>
              <w:ind w:left="0"/>
              <w:rPr>
                <w:rFonts w:ascii="Arial"/>
                <w:b/>
                <w:sz w:val="18"/>
              </w:rPr>
            </w:pPr>
          </w:p>
          <w:p>
            <w:pPr>
              <w:pStyle w:val="TableParagraph"/>
              <w:spacing w:before="159"/>
              <w:ind w:left="0"/>
              <w:rPr>
                <w:rFonts w:ascii="Arial"/>
                <w:b/>
                <w:sz w:val="18"/>
              </w:rPr>
            </w:pPr>
          </w:p>
          <w:p>
            <w:pPr>
              <w:pStyle w:val="TableParagraph"/>
              <w:numPr>
                <w:ilvl w:val="0"/>
                <w:numId w:val="3"/>
              </w:numPr>
              <w:tabs>
                <w:tab w:pos="319" w:val="left" w:leader="none"/>
              </w:tabs>
              <w:spacing w:line="240" w:lineRule="auto" w:before="0" w:after="0"/>
              <w:ind w:left="319" w:right="0" w:hanging="210"/>
              <w:jc w:val="left"/>
              <w:rPr>
                <w:sz w:val="18"/>
              </w:rPr>
            </w:pPr>
            <w:r>
              <w:rPr>
                <w:sz w:val="18"/>
              </w:rPr>
              <w:t>Name : </w:t>
            </w:r>
            <w:r>
              <w:rPr>
                <w:spacing w:val="-5"/>
                <w:sz w:val="18"/>
              </w:rPr>
              <w:t>NA</w:t>
            </w:r>
          </w:p>
          <w:p>
            <w:pPr>
              <w:pStyle w:val="TableParagraph"/>
              <w:numPr>
                <w:ilvl w:val="0"/>
                <w:numId w:val="3"/>
              </w:numPr>
              <w:tabs>
                <w:tab w:pos="319" w:val="left" w:leader="none"/>
              </w:tabs>
              <w:spacing w:line="240" w:lineRule="auto" w:before="183" w:after="0"/>
              <w:ind w:left="319" w:right="0" w:hanging="210"/>
              <w:jc w:val="left"/>
              <w:rPr>
                <w:sz w:val="18"/>
              </w:rPr>
            </w:pPr>
            <w:r>
              <w:rPr>
                <w:sz w:val="18"/>
              </w:rPr>
              <w:t>Applicant type : Co-borrower </w:t>
            </w:r>
            <w:r>
              <w:rPr>
                <w:spacing w:val="-10"/>
                <w:sz w:val="18"/>
              </w:rPr>
              <w:t>1</w:t>
            </w:r>
          </w:p>
          <w:p>
            <w:pPr>
              <w:pStyle w:val="TableParagraph"/>
              <w:ind w:left="0"/>
              <w:rPr>
                <w:rFonts w:ascii="Arial"/>
                <w:b/>
                <w:sz w:val="18"/>
              </w:rPr>
            </w:pPr>
          </w:p>
          <w:p>
            <w:pPr>
              <w:pStyle w:val="TableParagraph"/>
              <w:spacing w:before="159"/>
              <w:ind w:left="0"/>
              <w:rPr>
                <w:rFonts w:ascii="Arial"/>
                <w:b/>
                <w:sz w:val="18"/>
              </w:rPr>
            </w:pPr>
          </w:p>
          <w:p>
            <w:pPr>
              <w:pStyle w:val="TableParagraph"/>
              <w:numPr>
                <w:ilvl w:val="0"/>
                <w:numId w:val="4"/>
              </w:numPr>
              <w:tabs>
                <w:tab w:pos="319" w:val="left" w:leader="none"/>
              </w:tabs>
              <w:spacing w:line="240" w:lineRule="auto" w:before="0" w:after="0"/>
              <w:ind w:left="319" w:right="0" w:hanging="210"/>
              <w:jc w:val="left"/>
              <w:rPr>
                <w:sz w:val="18"/>
              </w:rPr>
            </w:pPr>
            <w:r>
              <w:rPr>
                <w:sz w:val="18"/>
              </w:rPr>
              <w:t>Name : </w:t>
            </w:r>
            <w:r>
              <w:rPr>
                <w:spacing w:val="-5"/>
                <w:sz w:val="18"/>
              </w:rPr>
              <w:t>NA</w:t>
            </w:r>
          </w:p>
          <w:p>
            <w:pPr>
              <w:pStyle w:val="TableParagraph"/>
              <w:numPr>
                <w:ilvl w:val="0"/>
                <w:numId w:val="4"/>
              </w:numPr>
              <w:tabs>
                <w:tab w:pos="319" w:val="left" w:leader="none"/>
              </w:tabs>
              <w:spacing w:line="240" w:lineRule="auto" w:before="184" w:after="0"/>
              <w:ind w:left="319" w:right="0" w:hanging="210"/>
              <w:jc w:val="left"/>
              <w:rPr>
                <w:sz w:val="18"/>
              </w:rPr>
            </w:pPr>
            <w:r>
              <w:rPr>
                <w:sz w:val="18"/>
              </w:rPr>
              <w:t>Applicant type :Co-borrower </w:t>
            </w:r>
            <w:r>
              <w:rPr>
                <w:spacing w:val="-10"/>
                <w:sz w:val="18"/>
              </w:rPr>
              <w:t>2</w:t>
            </w:r>
          </w:p>
          <w:p>
            <w:pPr>
              <w:pStyle w:val="TableParagraph"/>
              <w:ind w:left="0"/>
              <w:rPr>
                <w:rFonts w:ascii="Arial"/>
                <w:b/>
                <w:sz w:val="18"/>
              </w:rPr>
            </w:pPr>
          </w:p>
          <w:p>
            <w:pPr>
              <w:pStyle w:val="TableParagraph"/>
              <w:spacing w:before="159"/>
              <w:ind w:left="0"/>
              <w:rPr>
                <w:rFonts w:ascii="Arial"/>
                <w:b/>
                <w:sz w:val="18"/>
              </w:rPr>
            </w:pPr>
          </w:p>
          <w:p>
            <w:pPr>
              <w:pStyle w:val="TableParagraph"/>
              <w:numPr>
                <w:ilvl w:val="0"/>
                <w:numId w:val="5"/>
              </w:numPr>
              <w:tabs>
                <w:tab w:pos="319" w:val="left" w:leader="none"/>
              </w:tabs>
              <w:spacing w:line="240" w:lineRule="auto" w:before="0" w:after="0"/>
              <w:ind w:left="319" w:right="0" w:hanging="210"/>
              <w:jc w:val="left"/>
              <w:rPr>
                <w:sz w:val="18"/>
              </w:rPr>
            </w:pPr>
            <w:r>
              <w:rPr>
                <w:sz w:val="18"/>
              </w:rPr>
              <w:t>Name : </w:t>
            </w:r>
            <w:r>
              <w:rPr>
                <w:spacing w:val="-2"/>
                <w:sz w:val="18"/>
              </w:rPr>
              <w:t>{{name}}</w:t>
            </w:r>
          </w:p>
          <w:p>
            <w:pPr>
              <w:pStyle w:val="TableParagraph"/>
              <w:numPr>
                <w:ilvl w:val="0"/>
                <w:numId w:val="5"/>
              </w:numPr>
              <w:tabs>
                <w:tab w:pos="319" w:val="left" w:leader="none"/>
              </w:tabs>
              <w:spacing w:line="240" w:lineRule="auto" w:before="183" w:after="0"/>
              <w:ind w:left="319" w:right="0" w:hanging="210"/>
              <w:jc w:val="left"/>
              <w:rPr>
                <w:sz w:val="18"/>
              </w:rPr>
            </w:pPr>
            <w:r>
              <w:rPr>
                <w:sz w:val="18"/>
              </w:rPr>
              <w:t>Applicant type : Security provider </w:t>
            </w:r>
            <w:r>
              <w:rPr>
                <w:spacing w:val="-10"/>
                <w:sz w:val="18"/>
              </w:rPr>
              <w:t>1</w:t>
            </w:r>
          </w:p>
          <w:p>
            <w:pPr>
              <w:pStyle w:val="TableParagraph"/>
              <w:ind w:left="0"/>
              <w:rPr>
                <w:rFonts w:ascii="Arial"/>
                <w:b/>
                <w:sz w:val="18"/>
              </w:rPr>
            </w:pPr>
          </w:p>
          <w:p>
            <w:pPr>
              <w:pStyle w:val="TableParagraph"/>
              <w:spacing w:before="159"/>
              <w:ind w:left="0"/>
              <w:rPr>
                <w:rFonts w:ascii="Arial"/>
                <w:b/>
                <w:sz w:val="18"/>
              </w:rPr>
            </w:pPr>
          </w:p>
          <w:p>
            <w:pPr>
              <w:pStyle w:val="TableParagraph"/>
              <w:numPr>
                <w:ilvl w:val="0"/>
                <w:numId w:val="6"/>
              </w:numPr>
              <w:tabs>
                <w:tab w:pos="319" w:val="left" w:leader="none"/>
              </w:tabs>
              <w:spacing w:line="240" w:lineRule="auto" w:before="0" w:after="0"/>
              <w:ind w:left="319" w:right="0" w:hanging="210"/>
              <w:jc w:val="left"/>
              <w:rPr>
                <w:sz w:val="18"/>
              </w:rPr>
            </w:pPr>
            <w:r>
              <w:rPr>
                <w:sz w:val="18"/>
              </w:rPr>
              <w:t>Name : </w:t>
            </w:r>
            <w:r>
              <w:rPr>
                <w:spacing w:val="-5"/>
                <w:sz w:val="18"/>
              </w:rPr>
              <w:t>NA</w:t>
            </w:r>
          </w:p>
          <w:p>
            <w:pPr>
              <w:pStyle w:val="TableParagraph"/>
              <w:numPr>
                <w:ilvl w:val="0"/>
                <w:numId w:val="6"/>
              </w:numPr>
              <w:tabs>
                <w:tab w:pos="319" w:val="left" w:leader="none"/>
              </w:tabs>
              <w:spacing w:line="240" w:lineRule="auto" w:before="183" w:after="0"/>
              <w:ind w:left="319" w:right="0" w:hanging="210"/>
              <w:jc w:val="left"/>
              <w:rPr>
                <w:sz w:val="18"/>
              </w:rPr>
            </w:pPr>
            <w:r>
              <w:rPr>
                <w:sz w:val="18"/>
              </w:rPr>
              <w:t>Applicant type : Security provider </w:t>
            </w:r>
            <w:r>
              <w:rPr>
                <w:spacing w:val="-10"/>
                <w:sz w:val="18"/>
              </w:rPr>
              <w:t>2</w:t>
            </w:r>
          </w:p>
        </w:tc>
      </w:tr>
    </w:tbl>
    <w:p>
      <w:pPr>
        <w:pStyle w:val="TableParagraph"/>
        <w:spacing w:after="0" w:line="240" w:lineRule="auto"/>
        <w:jc w:val="left"/>
        <w:rPr>
          <w:sz w:val="18"/>
        </w:rPr>
        <w:sectPr>
          <w:headerReference w:type="default" r:id="rId5"/>
          <w:footerReference w:type="default" r:id="rId6"/>
          <w:type w:val="continuous"/>
          <w:pgSz w:w="12240" w:h="15840"/>
          <w:pgMar w:header="720" w:footer="785" w:top="1400" w:bottom="980" w:left="1440" w:right="720"/>
          <w:pgNumType w:start="46"/>
        </w:sectPr>
      </w:pPr>
    </w:p>
    <w:p>
      <w:pPr>
        <w:pStyle w:val="BodyText"/>
        <w:spacing w:before="9"/>
        <w:rPr>
          <w:rFonts w:ascii="Arial"/>
          <w:b/>
          <w:sz w:val="6"/>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2340" w:hRule="atLeast"/>
        </w:trPr>
        <w:tc>
          <w:tcPr>
            <w:tcW w:w="3480" w:type="dxa"/>
          </w:tcPr>
          <w:p>
            <w:pPr>
              <w:pStyle w:val="TableParagraph"/>
              <w:ind w:left="0"/>
              <w:rPr>
                <w:rFonts w:ascii="Times New Roman"/>
                <w:sz w:val="16"/>
              </w:rPr>
            </w:pPr>
          </w:p>
        </w:tc>
        <w:tc>
          <w:tcPr>
            <w:tcW w:w="6360" w:type="dxa"/>
          </w:tcPr>
          <w:p>
            <w:pPr>
              <w:pStyle w:val="TableParagraph"/>
              <w:spacing w:before="184"/>
              <w:ind w:left="0"/>
              <w:rPr>
                <w:rFonts w:ascii="Arial"/>
                <w:b/>
                <w:sz w:val="18"/>
              </w:rPr>
            </w:pPr>
          </w:p>
          <w:p>
            <w:pPr>
              <w:pStyle w:val="TableParagraph"/>
              <w:numPr>
                <w:ilvl w:val="0"/>
                <w:numId w:val="7"/>
              </w:numPr>
              <w:tabs>
                <w:tab w:pos="319" w:val="left" w:leader="none"/>
              </w:tabs>
              <w:spacing w:line="240" w:lineRule="auto" w:before="0" w:after="0"/>
              <w:ind w:left="319" w:right="0" w:hanging="210"/>
              <w:jc w:val="left"/>
              <w:rPr>
                <w:sz w:val="18"/>
              </w:rPr>
            </w:pPr>
            <w:r>
              <w:rPr>
                <w:sz w:val="18"/>
              </w:rPr>
              <w:t>Name : </w:t>
            </w:r>
            <w:r>
              <w:rPr>
                <w:spacing w:val="-5"/>
                <w:sz w:val="18"/>
              </w:rPr>
              <w:t>NA</w:t>
            </w:r>
          </w:p>
          <w:p>
            <w:pPr>
              <w:pStyle w:val="TableParagraph"/>
              <w:numPr>
                <w:ilvl w:val="0"/>
                <w:numId w:val="7"/>
              </w:numPr>
              <w:tabs>
                <w:tab w:pos="319" w:val="left" w:leader="none"/>
              </w:tabs>
              <w:spacing w:line="240" w:lineRule="auto" w:before="183" w:after="0"/>
              <w:ind w:left="319" w:right="0" w:hanging="210"/>
              <w:jc w:val="left"/>
              <w:rPr>
                <w:sz w:val="18"/>
              </w:rPr>
            </w:pPr>
            <w:r>
              <w:rPr>
                <w:sz w:val="18"/>
              </w:rPr>
              <w:t>Applicant type : Security provider </w:t>
            </w:r>
            <w:r>
              <w:rPr>
                <w:spacing w:val="-10"/>
                <w:sz w:val="18"/>
              </w:rPr>
              <w:t>3</w:t>
            </w:r>
          </w:p>
          <w:p>
            <w:pPr>
              <w:pStyle w:val="TableParagraph"/>
              <w:ind w:left="0"/>
              <w:rPr>
                <w:rFonts w:ascii="Arial"/>
                <w:b/>
                <w:sz w:val="18"/>
              </w:rPr>
            </w:pPr>
          </w:p>
          <w:p>
            <w:pPr>
              <w:pStyle w:val="TableParagraph"/>
              <w:spacing w:before="159"/>
              <w:ind w:left="0"/>
              <w:rPr>
                <w:rFonts w:ascii="Arial"/>
                <w:b/>
                <w:sz w:val="18"/>
              </w:rPr>
            </w:pPr>
          </w:p>
          <w:p>
            <w:pPr>
              <w:pStyle w:val="TableParagraph"/>
              <w:numPr>
                <w:ilvl w:val="0"/>
                <w:numId w:val="8"/>
              </w:numPr>
              <w:tabs>
                <w:tab w:pos="319" w:val="left" w:leader="none"/>
              </w:tabs>
              <w:spacing w:line="240" w:lineRule="auto" w:before="0" w:after="0"/>
              <w:ind w:left="319" w:right="0" w:hanging="210"/>
              <w:jc w:val="left"/>
              <w:rPr>
                <w:sz w:val="18"/>
              </w:rPr>
            </w:pPr>
            <w:r>
              <w:rPr>
                <w:sz w:val="18"/>
              </w:rPr>
              <w:t>Name : </w:t>
            </w:r>
            <w:r>
              <w:rPr>
                <w:spacing w:val="-5"/>
                <w:sz w:val="18"/>
              </w:rPr>
              <w:t>NA</w:t>
            </w:r>
          </w:p>
          <w:p>
            <w:pPr>
              <w:pStyle w:val="TableParagraph"/>
              <w:numPr>
                <w:ilvl w:val="0"/>
                <w:numId w:val="8"/>
              </w:numPr>
              <w:tabs>
                <w:tab w:pos="319" w:val="left" w:leader="none"/>
              </w:tabs>
              <w:spacing w:line="240" w:lineRule="auto" w:before="183" w:after="0"/>
              <w:ind w:left="319" w:right="0" w:hanging="210"/>
              <w:jc w:val="left"/>
              <w:rPr>
                <w:sz w:val="18"/>
              </w:rPr>
            </w:pPr>
            <w:r>
              <w:rPr>
                <w:sz w:val="18"/>
              </w:rPr>
              <w:t>Applicant type : </w:t>
            </w:r>
            <w:r>
              <w:rPr>
                <w:spacing w:val="-2"/>
                <w:sz w:val="18"/>
              </w:rPr>
              <w:t>Guarantor</w:t>
            </w:r>
          </w:p>
        </w:tc>
      </w:tr>
      <w:tr>
        <w:trPr>
          <w:trHeight w:val="2600" w:hRule="atLeast"/>
        </w:trPr>
        <w:tc>
          <w:tcPr>
            <w:tcW w:w="3480" w:type="dxa"/>
          </w:tcPr>
          <w:p>
            <w:pPr>
              <w:pStyle w:val="TableParagraph"/>
              <w:spacing w:line="204" w:lineRule="exact"/>
              <w:ind w:left="124"/>
              <w:rPr>
                <w:rFonts w:ascii="Arial"/>
                <w:b/>
                <w:sz w:val="18"/>
              </w:rPr>
            </w:pPr>
            <w:r>
              <w:rPr>
                <w:rFonts w:ascii="Arial"/>
                <w:b/>
                <w:sz w:val="18"/>
              </w:rPr>
              <w:t>Sanctioned </w:t>
            </w:r>
            <w:r>
              <w:rPr>
                <w:rFonts w:ascii="Arial"/>
                <w:b/>
                <w:spacing w:val="-2"/>
                <w:sz w:val="18"/>
              </w:rPr>
              <w:t>Amount</w:t>
            </w:r>
          </w:p>
        </w:tc>
        <w:tc>
          <w:tcPr>
            <w:tcW w:w="6360" w:type="dxa"/>
          </w:tcPr>
          <w:p>
            <w:pPr>
              <w:pStyle w:val="TableParagraph"/>
              <w:tabs>
                <w:tab w:pos="1219" w:val="left" w:leader="none"/>
                <w:tab w:pos="5621" w:val="left" w:leader="none"/>
              </w:tabs>
              <w:spacing w:line="204" w:lineRule="exact"/>
              <w:rPr>
                <w:sz w:val="18"/>
              </w:rPr>
            </w:pPr>
            <w:r>
              <w:rPr>
                <w:spacing w:val="-5"/>
                <w:sz w:val="18"/>
              </w:rPr>
              <w:t>INR</w:t>
            </w:r>
            <w:r>
              <w:rPr>
                <w:sz w:val="18"/>
              </w:rPr>
              <w:tab/>
            </w:r>
            <w:r>
              <w:rPr>
                <w:spacing w:val="-2"/>
                <w:sz w:val="18"/>
              </w:rPr>
              <w:t>{{kfsData.terms.creditLimit.inNumber}}(Indian</w:t>
            </w:r>
            <w:r>
              <w:rPr>
                <w:sz w:val="18"/>
              </w:rPr>
              <w:tab/>
            </w:r>
            <w:r>
              <w:rPr>
                <w:spacing w:val="-2"/>
                <w:sz w:val="18"/>
              </w:rPr>
              <w:t>Rupees</w:t>
            </w:r>
          </w:p>
          <w:p>
            <w:pPr>
              <w:pStyle w:val="TableParagraph"/>
              <w:spacing w:before="56"/>
              <w:rPr>
                <w:sz w:val="18"/>
              </w:rPr>
            </w:pPr>
            <w:r>
              <w:rPr>
                <w:spacing w:val="-2"/>
                <w:sz w:val="18"/>
              </w:rPr>
              <w:t>{{kfsData.terms.creditLimit.inWords}})</w:t>
            </w:r>
          </w:p>
          <w:p>
            <w:pPr>
              <w:pStyle w:val="TableParagraph"/>
              <w:spacing w:line="276" w:lineRule="auto" w:before="203"/>
              <w:ind w:right="99"/>
              <w:jc w:val="both"/>
              <w:rPr>
                <w:sz w:val="18"/>
              </w:rPr>
            </w:pPr>
            <w:r>
              <w:rPr>
                <w:sz w:val="18"/>
              </w:rPr>
              <w:t>Sanctioned Amount is the aggregate maximum amount, which is agreed </w:t>
            </w:r>
            <w:r>
              <w:rPr>
                <w:sz w:val="18"/>
              </w:rPr>
              <w:t>to be granted by the Lender to the Borrower in one or more</w:t>
            </w:r>
            <w:r>
              <w:rPr>
                <w:spacing w:val="-3"/>
                <w:sz w:val="18"/>
              </w:rPr>
              <w:t> </w:t>
            </w:r>
            <w:r>
              <w:rPr>
                <w:sz w:val="18"/>
              </w:rPr>
              <w:t>Tranche</w:t>
            </w:r>
            <w:r>
              <w:rPr>
                <w:spacing w:val="-3"/>
                <w:sz w:val="18"/>
              </w:rPr>
              <w:t> </w:t>
            </w:r>
            <w:r>
              <w:rPr>
                <w:sz w:val="18"/>
              </w:rPr>
              <w:t>Facilities determined on the basis of the market value of collateral provided by the Borrower(s) and/or the Security Provider(s) on the Effective Date.</w:t>
            </w:r>
          </w:p>
          <w:p>
            <w:pPr>
              <w:pStyle w:val="TableParagraph"/>
              <w:spacing w:line="276" w:lineRule="auto" w:before="140"/>
              <w:ind w:right="98"/>
              <w:jc w:val="both"/>
              <w:rPr>
                <w:sz w:val="18"/>
              </w:rPr>
            </w:pPr>
            <w:r>
              <w:rPr>
                <w:sz w:val="18"/>
              </w:rPr>
              <w:t>It</w:t>
            </w:r>
            <w:r>
              <w:rPr>
                <w:spacing w:val="26"/>
                <w:sz w:val="18"/>
              </w:rPr>
              <w:t> </w:t>
            </w:r>
            <w:r>
              <w:rPr>
                <w:sz w:val="18"/>
              </w:rPr>
              <w:t>is</w:t>
            </w:r>
            <w:r>
              <w:rPr>
                <w:spacing w:val="26"/>
                <w:sz w:val="18"/>
              </w:rPr>
              <w:t> </w:t>
            </w:r>
            <w:r>
              <w:rPr>
                <w:sz w:val="18"/>
              </w:rPr>
              <w:t>to be noted that the Sanctioned Amount shall be permanently </w:t>
            </w:r>
            <w:r>
              <w:rPr>
                <w:sz w:val="18"/>
              </w:rPr>
              <w:t>reduced by the</w:t>
            </w:r>
            <w:r>
              <w:rPr>
                <w:spacing w:val="40"/>
                <w:sz w:val="18"/>
              </w:rPr>
              <w:t> </w:t>
            </w:r>
            <w:r>
              <w:rPr>
                <w:sz w:val="18"/>
              </w:rPr>
              <w:t>repayment (whether scheduled, voluntary, or otherwise), in part or</w:t>
            </w:r>
            <w:r>
              <w:rPr>
                <w:spacing w:val="40"/>
                <w:sz w:val="18"/>
              </w:rPr>
              <w:t> </w:t>
            </w:r>
            <w:r>
              <w:rPr>
                <w:sz w:val="18"/>
              </w:rPr>
              <w:t>full, of principal in respect of any Tranche Facilities.</w:t>
            </w:r>
          </w:p>
        </w:tc>
      </w:tr>
      <w:tr>
        <w:trPr>
          <w:trHeight w:val="400" w:hRule="atLeast"/>
        </w:trPr>
        <w:tc>
          <w:tcPr>
            <w:tcW w:w="3480" w:type="dxa"/>
          </w:tcPr>
          <w:p>
            <w:pPr>
              <w:pStyle w:val="TableParagraph"/>
              <w:spacing w:before="10"/>
              <w:ind w:left="124"/>
              <w:rPr>
                <w:rFonts w:ascii="Arial"/>
                <w:b/>
                <w:sz w:val="18"/>
              </w:rPr>
            </w:pPr>
            <w:r>
              <w:rPr>
                <w:rFonts w:ascii="Arial"/>
                <w:b/>
                <w:sz w:val="18"/>
              </w:rPr>
              <w:t>End-</w:t>
            </w:r>
            <w:r>
              <w:rPr>
                <w:rFonts w:ascii="Arial"/>
                <w:b/>
                <w:spacing w:val="-5"/>
                <w:sz w:val="18"/>
              </w:rPr>
              <w:t>Use</w:t>
            </w:r>
          </w:p>
        </w:tc>
        <w:tc>
          <w:tcPr>
            <w:tcW w:w="6360" w:type="dxa"/>
          </w:tcPr>
          <w:p>
            <w:pPr>
              <w:pStyle w:val="TableParagraph"/>
              <w:spacing w:before="10"/>
              <w:rPr>
                <w:sz w:val="18"/>
              </w:rPr>
            </w:pPr>
            <w:r>
              <w:rPr>
                <w:spacing w:val="-2"/>
                <w:sz w:val="18"/>
                <w:u w:val="thick"/>
              </w:rPr>
              <w:t>{{endUse}}</w:t>
            </w:r>
          </w:p>
        </w:tc>
      </w:tr>
      <w:tr>
        <w:trPr>
          <w:trHeight w:val="1939" w:hRule="atLeast"/>
        </w:trPr>
        <w:tc>
          <w:tcPr>
            <w:tcW w:w="3480" w:type="dxa"/>
          </w:tcPr>
          <w:p>
            <w:pPr>
              <w:pStyle w:val="TableParagraph"/>
              <w:spacing w:line="203" w:lineRule="exact"/>
              <w:ind w:left="124"/>
              <w:rPr>
                <w:rFonts w:ascii="Arial"/>
                <w:b/>
                <w:sz w:val="18"/>
              </w:rPr>
            </w:pPr>
            <w:r>
              <w:rPr>
                <w:rFonts w:ascii="Arial"/>
                <w:b/>
                <w:sz w:val="18"/>
              </w:rPr>
              <w:t>Availability</w:t>
            </w:r>
            <w:r>
              <w:rPr>
                <w:rFonts w:ascii="Arial"/>
                <w:b/>
                <w:spacing w:val="-7"/>
                <w:sz w:val="18"/>
              </w:rPr>
              <w:t> </w:t>
            </w:r>
            <w:r>
              <w:rPr>
                <w:rFonts w:ascii="Arial"/>
                <w:b/>
                <w:spacing w:val="-2"/>
                <w:sz w:val="18"/>
              </w:rPr>
              <w:t>Period</w:t>
            </w:r>
          </w:p>
        </w:tc>
        <w:tc>
          <w:tcPr>
            <w:tcW w:w="6360" w:type="dxa"/>
          </w:tcPr>
          <w:p>
            <w:pPr>
              <w:pStyle w:val="TableParagraph"/>
              <w:spacing w:line="276" w:lineRule="auto"/>
              <w:ind w:right="98"/>
              <w:jc w:val="both"/>
              <w:rPr>
                <w:sz w:val="18"/>
              </w:rPr>
            </w:pPr>
            <w:r>
              <w:rPr>
                <w:sz w:val="18"/>
              </w:rPr>
              <w:t>The Facility will have</w:t>
            </w:r>
            <w:r>
              <w:rPr>
                <w:spacing w:val="-4"/>
                <w:sz w:val="18"/>
              </w:rPr>
              <w:t> </w:t>
            </w:r>
            <w:r>
              <w:rPr>
                <w:sz w:val="18"/>
              </w:rPr>
              <w:t>an</w:t>
            </w:r>
            <w:r>
              <w:rPr>
                <w:spacing w:val="-4"/>
                <w:sz w:val="18"/>
              </w:rPr>
              <w:t> </w:t>
            </w:r>
            <w:r>
              <w:rPr>
                <w:sz w:val="18"/>
              </w:rPr>
              <w:t>initial</w:t>
            </w:r>
            <w:r>
              <w:rPr>
                <w:spacing w:val="-4"/>
                <w:sz w:val="18"/>
              </w:rPr>
              <w:t> </w:t>
            </w:r>
            <w:r>
              <w:rPr>
                <w:sz w:val="18"/>
              </w:rPr>
              <w:t>Availability</w:t>
            </w:r>
            <w:r>
              <w:rPr>
                <w:spacing w:val="-4"/>
                <w:sz w:val="18"/>
              </w:rPr>
              <w:t> </w:t>
            </w:r>
            <w:r>
              <w:rPr>
                <w:sz w:val="18"/>
              </w:rPr>
              <w:t>Period</w:t>
            </w:r>
            <w:r>
              <w:rPr>
                <w:spacing w:val="-4"/>
                <w:sz w:val="18"/>
              </w:rPr>
              <w:t> </w:t>
            </w:r>
            <w:r>
              <w:rPr>
                <w:sz w:val="18"/>
              </w:rPr>
              <w:t>of</w:t>
            </w:r>
            <w:r>
              <w:rPr>
                <w:spacing w:val="-4"/>
                <w:sz w:val="18"/>
              </w:rPr>
              <w:t> </w:t>
            </w:r>
            <w:r>
              <w:rPr>
                <w:sz w:val="18"/>
              </w:rPr>
              <w:t>{{kfsData.terms.months}} months {{kfsData.terms.days}} days from the effective date</w:t>
            </w:r>
            <w:r>
              <w:rPr>
                <w:spacing w:val="-4"/>
                <w:sz w:val="18"/>
              </w:rPr>
              <w:t> </w:t>
            </w:r>
            <w:r>
              <w:rPr>
                <w:sz w:val="18"/>
              </w:rPr>
              <w:t>during</w:t>
            </w:r>
            <w:r>
              <w:rPr>
                <w:spacing w:val="-4"/>
                <w:sz w:val="18"/>
              </w:rPr>
              <w:t> </w:t>
            </w:r>
            <w:r>
              <w:rPr>
                <w:sz w:val="18"/>
              </w:rPr>
              <w:t>which</w:t>
            </w:r>
            <w:r>
              <w:rPr>
                <w:spacing w:val="-4"/>
                <w:sz w:val="18"/>
              </w:rPr>
              <w:t> </w:t>
            </w:r>
            <w:r>
              <w:rPr>
                <w:sz w:val="18"/>
              </w:rPr>
              <w:t>the Borrower may request disbursement of Tranche Facilities.</w:t>
            </w:r>
          </w:p>
          <w:p>
            <w:pPr>
              <w:pStyle w:val="TableParagraph"/>
              <w:spacing w:line="276" w:lineRule="auto" w:before="135"/>
              <w:ind w:right="96"/>
              <w:jc w:val="both"/>
              <w:rPr>
                <w:sz w:val="18"/>
              </w:rPr>
            </w:pPr>
            <w:r>
              <w:rPr>
                <w:sz w:val="18"/>
              </w:rPr>
              <w:t>It is to be noted that this is the Availability Period for which the Sanctioned Amount in relation to the Facility will be available. The Tranche Tenure </w:t>
            </w:r>
            <w:r>
              <w:rPr>
                <w:sz w:val="18"/>
              </w:rPr>
              <w:t>for each Tranche Facility shall be stipulated in the Tranche Facility KFS in relation to such Tranche Facility.</w:t>
            </w:r>
          </w:p>
        </w:tc>
      </w:tr>
      <w:tr>
        <w:trPr>
          <w:trHeight w:val="5519" w:hRule="atLeast"/>
        </w:trPr>
        <w:tc>
          <w:tcPr>
            <w:tcW w:w="3480" w:type="dxa"/>
          </w:tcPr>
          <w:p>
            <w:pPr>
              <w:pStyle w:val="TableParagraph"/>
              <w:spacing w:line="290" w:lineRule="auto"/>
              <w:ind w:left="124"/>
              <w:rPr>
                <w:rFonts w:ascii="Arial" w:hAnsi="Arial"/>
                <w:b/>
                <w:sz w:val="18"/>
              </w:rPr>
            </w:pPr>
            <w:r>
              <w:rPr>
                <w:rFonts w:ascii="Arial" w:hAnsi="Arial"/>
                <w:b/>
                <w:sz w:val="18"/>
              </w:rPr>
              <w:t>Interest</w:t>
            </w:r>
            <w:r>
              <w:rPr>
                <w:rFonts w:ascii="Arial" w:hAnsi="Arial"/>
                <w:b/>
                <w:spacing w:val="33"/>
                <w:sz w:val="18"/>
              </w:rPr>
              <w:t> </w:t>
            </w:r>
            <w:r>
              <w:rPr>
                <w:rFonts w:ascii="Arial" w:hAnsi="Arial"/>
                <w:b/>
                <w:sz w:val="18"/>
              </w:rPr>
              <w:t>Rate</w:t>
            </w:r>
            <w:r>
              <w:rPr>
                <w:rFonts w:ascii="Arial" w:hAnsi="Arial"/>
                <w:b/>
                <w:spacing w:val="20"/>
                <w:sz w:val="18"/>
              </w:rPr>
              <w:t> </w:t>
            </w:r>
            <w:r>
              <w:rPr>
                <w:rFonts w:ascii="Arial" w:hAnsi="Arial"/>
                <w:b/>
                <w:sz w:val="18"/>
              </w:rPr>
              <w:t>–</w:t>
            </w:r>
            <w:r>
              <w:rPr>
                <w:rFonts w:ascii="Arial" w:hAnsi="Arial"/>
                <w:b/>
                <w:spacing w:val="20"/>
                <w:sz w:val="18"/>
              </w:rPr>
              <w:t> </w:t>
            </w:r>
            <w:r>
              <w:rPr>
                <w:rFonts w:ascii="Arial" w:hAnsi="Arial"/>
                <w:b/>
                <w:sz w:val="18"/>
              </w:rPr>
              <w:t>Type</w:t>
            </w:r>
            <w:r>
              <w:rPr>
                <w:rFonts w:ascii="Arial" w:hAnsi="Arial"/>
                <w:b/>
                <w:spacing w:val="20"/>
                <w:sz w:val="18"/>
              </w:rPr>
              <w:t> </w:t>
            </w:r>
            <w:r>
              <w:rPr>
                <w:rFonts w:ascii="Arial" w:hAnsi="Arial"/>
                <w:b/>
                <w:sz w:val="18"/>
              </w:rPr>
              <w:t>and</w:t>
            </w:r>
            <w:r>
              <w:rPr>
                <w:rFonts w:ascii="Arial" w:hAnsi="Arial"/>
                <w:b/>
                <w:spacing w:val="20"/>
                <w:sz w:val="18"/>
              </w:rPr>
              <w:t> </w:t>
            </w:r>
            <w:r>
              <w:rPr>
                <w:rFonts w:ascii="Arial" w:hAnsi="Arial"/>
                <w:b/>
                <w:sz w:val="18"/>
              </w:rPr>
              <w:t>annualized rate of interest (per annum)</w:t>
            </w:r>
          </w:p>
        </w:tc>
        <w:tc>
          <w:tcPr>
            <w:tcW w:w="6360" w:type="dxa"/>
          </w:tcPr>
          <w:p>
            <w:pPr>
              <w:pStyle w:val="TableParagraph"/>
              <w:spacing w:line="276" w:lineRule="auto"/>
              <w:ind w:right="94"/>
              <w:jc w:val="both"/>
              <w:rPr>
                <w:sz w:val="18"/>
              </w:rPr>
            </w:pPr>
            <w:r>
              <w:rPr>
                <w:sz w:val="18"/>
              </w:rPr>
              <w:t>The applicable Interest Rate under the Facility will be a floating </w:t>
            </w:r>
            <w:r>
              <w:rPr>
                <w:sz w:val="18"/>
              </w:rPr>
              <w:t>rate calculated as a sum of the Lender’s internal benchmark lending rate (as published on the Lender’s website </w:t>
            </w:r>
            <w:hyperlink r:id="rId7">
              <w:r>
                <w:rPr>
                  <w:sz w:val="18"/>
                </w:rPr>
                <w:t>www.dspfin.com)</w:t>
              </w:r>
            </w:hyperlink>
            <w:r>
              <w:rPr>
                <w:sz w:val="18"/>
              </w:rPr>
              <w:t> (“</w:t>
            </w:r>
            <w:r>
              <w:rPr>
                <w:rFonts w:ascii="Arial" w:hAnsi="Arial"/>
                <w:b/>
                <w:sz w:val="18"/>
              </w:rPr>
              <w:t>DSP IBLR</w:t>
            </w:r>
            <w:r>
              <w:rPr>
                <w:sz w:val="18"/>
              </w:rPr>
              <w:t>”) and the applicable interest rate spread as may be communicated by the Lender to</w:t>
            </w:r>
            <w:r>
              <w:rPr>
                <w:spacing w:val="40"/>
                <w:sz w:val="18"/>
              </w:rPr>
              <w:t> </w:t>
            </w:r>
            <w:r>
              <w:rPr>
                <w:sz w:val="18"/>
              </w:rPr>
              <w:t>the Borrower(s) from time to time. The Interest Rate will be levied on the Outstanding Principal in relation to each Tranche Facility at the</w:t>
            </w:r>
            <w:r>
              <w:rPr>
                <w:spacing w:val="-3"/>
                <w:sz w:val="18"/>
              </w:rPr>
              <w:t> </w:t>
            </w:r>
            <w:r>
              <w:rPr>
                <w:sz w:val="18"/>
              </w:rPr>
              <w:t>end</w:t>
            </w:r>
            <w:r>
              <w:rPr>
                <w:spacing w:val="-3"/>
                <w:sz w:val="18"/>
              </w:rPr>
              <w:t> </w:t>
            </w:r>
            <w:r>
              <w:rPr>
                <w:sz w:val="18"/>
              </w:rPr>
              <w:t>of</w:t>
            </w:r>
            <w:r>
              <w:rPr>
                <w:spacing w:val="-3"/>
                <w:sz w:val="18"/>
              </w:rPr>
              <w:t> </w:t>
            </w:r>
            <w:r>
              <w:rPr>
                <w:sz w:val="18"/>
              </w:rPr>
              <w:t>each </w:t>
            </w:r>
            <w:r>
              <w:rPr>
                <w:spacing w:val="-4"/>
                <w:sz w:val="18"/>
              </w:rPr>
              <w:t>day.</w:t>
            </w:r>
          </w:p>
          <w:p>
            <w:pPr>
              <w:pStyle w:val="TableParagraph"/>
              <w:spacing w:line="476" w:lineRule="exact" w:before="23"/>
              <w:ind w:right="1295"/>
              <w:jc w:val="both"/>
              <w:rPr>
                <w:sz w:val="18"/>
              </w:rPr>
            </w:pPr>
            <w:r>
              <w:rPr>
                <w:sz w:val="18"/>
              </w:rPr>
              <w:t>For</w:t>
            </w:r>
            <w:r>
              <w:rPr>
                <w:spacing w:val="-5"/>
                <w:sz w:val="18"/>
              </w:rPr>
              <w:t> </w:t>
            </w:r>
            <w:r>
              <w:rPr>
                <w:sz w:val="18"/>
              </w:rPr>
              <w:t>reference,</w:t>
            </w:r>
            <w:r>
              <w:rPr>
                <w:spacing w:val="-5"/>
                <w:sz w:val="18"/>
              </w:rPr>
              <w:t> </w:t>
            </w:r>
            <w:r>
              <w:rPr>
                <w:sz w:val="18"/>
              </w:rPr>
              <w:t>the</w:t>
            </w:r>
            <w:r>
              <w:rPr>
                <w:spacing w:val="-5"/>
                <w:sz w:val="18"/>
              </w:rPr>
              <w:t> </w:t>
            </w:r>
            <w:r>
              <w:rPr>
                <w:sz w:val="18"/>
              </w:rPr>
              <w:t>Interest</w:t>
            </w:r>
            <w:r>
              <w:rPr>
                <w:spacing w:val="-5"/>
                <w:sz w:val="18"/>
              </w:rPr>
              <w:t> </w:t>
            </w:r>
            <w:r>
              <w:rPr>
                <w:sz w:val="18"/>
              </w:rPr>
              <w:t>Rate</w:t>
            </w:r>
            <w:r>
              <w:rPr>
                <w:spacing w:val="-5"/>
                <w:sz w:val="18"/>
              </w:rPr>
              <w:t> </w:t>
            </w:r>
            <w:r>
              <w:rPr>
                <w:sz w:val="18"/>
              </w:rPr>
              <w:t>shall</w:t>
            </w:r>
            <w:r>
              <w:rPr>
                <w:spacing w:val="-5"/>
                <w:sz w:val="18"/>
              </w:rPr>
              <w:t> </w:t>
            </w:r>
            <w:r>
              <w:rPr>
                <w:sz w:val="18"/>
              </w:rPr>
              <w:t>be</w:t>
            </w:r>
            <w:r>
              <w:rPr>
                <w:spacing w:val="-5"/>
                <w:sz w:val="18"/>
              </w:rPr>
              <w:t> </w:t>
            </w:r>
            <w:r>
              <w:rPr>
                <w:sz w:val="18"/>
              </w:rPr>
              <w:t>calculated</w:t>
            </w:r>
            <w:r>
              <w:rPr>
                <w:spacing w:val="-5"/>
                <w:sz w:val="18"/>
              </w:rPr>
              <w:t> </w:t>
            </w:r>
            <w:r>
              <w:rPr>
                <w:sz w:val="18"/>
              </w:rPr>
              <w:t>as</w:t>
            </w:r>
            <w:r>
              <w:rPr>
                <w:spacing w:val="-5"/>
                <w:sz w:val="18"/>
              </w:rPr>
              <w:t> </w:t>
            </w:r>
            <w:r>
              <w:rPr>
                <w:sz w:val="18"/>
              </w:rPr>
              <w:t>follows: Interest Rate = DSP IBLR + Spread.</w:t>
            </w:r>
          </w:p>
          <w:p>
            <w:pPr>
              <w:pStyle w:val="TableParagraph"/>
              <w:spacing w:line="181" w:lineRule="exact"/>
              <w:rPr>
                <w:sz w:val="18"/>
              </w:rPr>
            </w:pPr>
            <w:r>
              <w:rPr>
                <w:sz w:val="18"/>
              </w:rPr>
              <w:t>The</w:t>
            </w:r>
            <w:r>
              <w:rPr>
                <w:spacing w:val="14"/>
                <w:sz w:val="18"/>
              </w:rPr>
              <w:t> </w:t>
            </w:r>
            <w:r>
              <w:rPr>
                <w:sz w:val="18"/>
              </w:rPr>
              <w:t>Interest</w:t>
            </w:r>
            <w:r>
              <w:rPr>
                <w:spacing w:val="14"/>
                <w:sz w:val="18"/>
              </w:rPr>
              <w:t> </w:t>
            </w:r>
            <w:r>
              <w:rPr>
                <w:sz w:val="18"/>
              </w:rPr>
              <w:t>Rate,</w:t>
            </w:r>
            <w:r>
              <w:rPr>
                <w:spacing w:val="14"/>
                <w:sz w:val="18"/>
              </w:rPr>
              <w:t> </w:t>
            </w:r>
            <w:r>
              <w:rPr>
                <w:sz w:val="18"/>
              </w:rPr>
              <w:t>DSP IBLR</w:t>
            </w:r>
            <w:r>
              <w:rPr>
                <w:spacing w:val="-1"/>
                <w:sz w:val="18"/>
              </w:rPr>
              <w:t> </w:t>
            </w:r>
            <w:r>
              <w:rPr>
                <w:sz w:val="18"/>
              </w:rPr>
              <w:t>and Spread</w:t>
            </w:r>
            <w:r>
              <w:rPr>
                <w:spacing w:val="-1"/>
                <w:sz w:val="18"/>
              </w:rPr>
              <w:t> </w:t>
            </w:r>
            <w:r>
              <w:rPr>
                <w:sz w:val="18"/>
              </w:rPr>
              <w:t>in relation</w:t>
            </w:r>
            <w:r>
              <w:rPr>
                <w:spacing w:val="-1"/>
                <w:sz w:val="18"/>
              </w:rPr>
              <w:t> </w:t>
            </w:r>
            <w:r>
              <w:rPr>
                <w:sz w:val="18"/>
              </w:rPr>
              <w:t>to each</w:t>
            </w:r>
            <w:r>
              <w:rPr>
                <w:spacing w:val="-1"/>
                <w:sz w:val="18"/>
              </w:rPr>
              <w:t> </w:t>
            </w:r>
            <w:r>
              <w:rPr>
                <w:sz w:val="18"/>
              </w:rPr>
              <w:t>Tranche </w:t>
            </w:r>
            <w:r>
              <w:rPr>
                <w:spacing w:val="-2"/>
                <w:sz w:val="18"/>
              </w:rPr>
              <w:t>Facility</w:t>
            </w:r>
          </w:p>
          <w:p>
            <w:pPr>
              <w:pStyle w:val="TableParagraph"/>
              <w:spacing w:line="276" w:lineRule="auto" w:before="31"/>
              <w:rPr>
                <w:sz w:val="18"/>
              </w:rPr>
            </w:pPr>
            <w:r>
              <w:rPr>
                <w:sz w:val="18"/>
              </w:rPr>
              <w:t>shall</w:t>
            </w:r>
            <w:r>
              <w:rPr>
                <w:spacing w:val="25"/>
                <w:sz w:val="18"/>
              </w:rPr>
              <w:t> </w:t>
            </w:r>
            <w:r>
              <w:rPr>
                <w:sz w:val="18"/>
              </w:rPr>
              <w:t>be</w:t>
            </w:r>
            <w:r>
              <w:rPr>
                <w:spacing w:val="25"/>
                <w:sz w:val="18"/>
              </w:rPr>
              <w:t> </w:t>
            </w:r>
            <w:r>
              <w:rPr>
                <w:sz w:val="18"/>
              </w:rPr>
              <w:t>stipulated</w:t>
            </w:r>
            <w:r>
              <w:rPr>
                <w:spacing w:val="25"/>
                <w:sz w:val="18"/>
              </w:rPr>
              <w:t> </w:t>
            </w:r>
            <w:r>
              <w:rPr>
                <w:sz w:val="18"/>
              </w:rPr>
              <w:t>in</w:t>
            </w:r>
            <w:r>
              <w:rPr>
                <w:spacing w:val="25"/>
                <w:sz w:val="18"/>
              </w:rPr>
              <w:t> </w:t>
            </w:r>
            <w:r>
              <w:rPr>
                <w:sz w:val="18"/>
              </w:rPr>
              <w:t>the</w:t>
            </w:r>
            <w:r>
              <w:rPr>
                <w:spacing w:val="25"/>
                <w:sz w:val="18"/>
              </w:rPr>
              <w:t> </w:t>
            </w:r>
            <w:r>
              <w:rPr>
                <w:sz w:val="18"/>
              </w:rPr>
              <w:t>Tranche</w:t>
            </w:r>
            <w:r>
              <w:rPr>
                <w:spacing w:val="25"/>
                <w:sz w:val="18"/>
              </w:rPr>
              <w:t> </w:t>
            </w:r>
            <w:r>
              <w:rPr>
                <w:sz w:val="18"/>
              </w:rPr>
              <w:t>Facility</w:t>
            </w:r>
            <w:r>
              <w:rPr>
                <w:spacing w:val="25"/>
                <w:sz w:val="18"/>
              </w:rPr>
              <w:t> </w:t>
            </w:r>
            <w:r>
              <w:rPr>
                <w:sz w:val="18"/>
              </w:rPr>
              <w:t>KFS</w:t>
            </w:r>
            <w:r>
              <w:rPr>
                <w:spacing w:val="25"/>
                <w:sz w:val="18"/>
              </w:rPr>
              <w:t> </w:t>
            </w:r>
            <w:r>
              <w:rPr>
                <w:sz w:val="18"/>
              </w:rPr>
              <w:t>in</w:t>
            </w:r>
            <w:r>
              <w:rPr>
                <w:spacing w:val="25"/>
                <w:sz w:val="18"/>
              </w:rPr>
              <w:t> </w:t>
            </w:r>
            <w:r>
              <w:rPr>
                <w:sz w:val="18"/>
              </w:rPr>
              <w:t>relation to such </w:t>
            </w:r>
            <w:r>
              <w:rPr>
                <w:sz w:val="18"/>
              </w:rPr>
              <w:t>Tranche </w:t>
            </w:r>
            <w:r>
              <w:rPr>
                <w:spacing w:val="-2"/>
                <w:sz w:val="18"/>
              </w:rPr>
              <w:t>Facility.</w:t>
            </w:r>
          </w:p>
          <w:p>
            <w:pPr>
              <w:pStyle w:val="TableParagraph"/>
              <w:rPr>
                <w:sz w:val="18"/>
              </w:rPr>
            </w:pPr>
            <w:r>
              <w:rPr>
                <w:sz w:val="18"/>
              </w:rPr>
              <w:t>Interest rate will be reset on a monthly </w:t>
            </w:r>
            <w:r>
              <w:rPr>
                <w:spacing w:val="-2"/>
                <w:sz w:val="18"/>
              </w:rPr>
              <w:t>basis.</w:t>
            </w:r>
          </w:p>
          <w:p>
            <w:pPr>
              <w:pStyle w:val="TableParagraph"/>
              <w:spacing w:line="276" w:lineRule="auto" w:before="31"/>
              <w:ind w:right="94"/>
              <w:jc w:val="both"/>
              <w:rPr>
                <w:rFonts w:ascii="Arial"/>
                <w:i/>
                <w:sz w:val="18"/>
              </w:rPr>
            </w:pPr>
            <w:r>
              <w:rPr>
                <w:rFonts w:ascii="Arial"/>
                <w:i/>
                <w:sz w:val="18"/>
              </w:rPr>
              <w:t>* The applicable Interest Rate shall be reset on a monthly basis or at any other frequency as may be determined by the Lender in its sole </w:t>
            </w:r>
            <w:r>
              <w:rPr>
                <w:rFonts w:ascii="Arial"/>
                <w:i/>
                <w:sz w:val="18"/>
              </w:rPr>
              <w:t>discretion; Subject to applicable law, the interest rate will vary from time to time </w:t>
            </w:r>
            <w:r>
              <w:rPr>
                <w:rFonts w:ascii="Arial"/>
                <w:i/>
                <w:sz w:val="18"/>
              </w:rPr>
              <w:t>basis, among other things, the change in the</w:t>
            </w:r>
            <w:r>
              <w:rPr>
                <w:rFonts w:ascii="Arial"/>
                <w:i/>
                <w:spacing w:val="-3"/>
                <w:sz w:val="18"/>
              </w:rPr>
              <w:t> </w:t>
            </w:r>
            <w:r>
              <w:rPr>
                <w:rFonts w:ascii="Arial"/>
                <w:i/>
                <w:sz w:val="18"/>
              </w:rPr>
              <w:t>DSP</w:t>
            </w:r>
            <w:r>
              <w:rPr>
                <w:rFonts w:ascii="Arial"/>
                <w:i/>
                <w:spacing w:val="-3"/>
                <w:sz w:val="18"/>
              </w:rPr>
              <w:t> </w:t>
            </w:r>
            <w:r>
              <w:rPr>
                <w:rFonts w:ascii="Arial"/>
                <w:i/>
                <w:sz w:val="18"/>
              </w:rPr>
              <w:t>IBLR</w:t>
            </w:r>
            <w:r>
              <w:rPr>
                <w:rFonts w:ascii="Arial"/>
                <w:i/>
                <w:spacing w:val="-3"/>
                <w:sz w:val="18"/>
              </w:rPr>
              <w:t> </w:t>
            </w:r>
            <w:r>
              <w:rPr>
                <w:rFonts w:ascii="Arial"/>
                <w:i/>
                <w:sz w:val="18"/>
              </w:rPr>
              <w:t>and</w:t>
            </w:r>
            <w:r>
              <w:rPr>
                <w:rFonts w:ascii="Arial"/>
                <w:i/>
                <w:spacing w:val="-3"/>
                <w:sz w:val="18"/>
              </w:rPr>
              <w:t> </w:t>
            </w:r>
            <w:r>
              <w:rPr>
                <w:rFonts w:ascii="Arial"/>
                <w:i/>
                <w:sz w:val="18"/>
              </w:rPr>
              <w:t>Spread;</w:t>
            </w:r>
            <w:r>
              <w:rPr>
                <w:rFonts w:ascii="Arial"/>
                <w:i/>
                <w:spacing w:val="-3"/>
                <w:sz w:val="18"/>
              </w:rPr>
              <w:t> </w:t>
            </w:r>
            <w:r>
              <w:rPr>
                <w:rFonts w:ascii="Arial"/>
                <w:i/>
                <w:sz w:val="18"/>
              </w:rPr>
              <w:t>the</w:t>
            </w:r>
            <w:r>
              <w:rPr>
                <w:rFonts w:ascii="Arial"/>
                <w:i/>
                <w:spacing w:val="-3"/>
                <w:sz w:val="18"/>
              </w:rPr>
              <w:t> </w:t>
            </w:r>
            <w:r>
              <w:rPr>
                <w:rFonts w:ascii="Arial"/>
                <w:i/>
                <w:sz w:val="18"/>
              </w:rPr>
              <w:t>directions issued by the RBI or other governmental authorities; the credit </w:t>
            </w:r>
            <w:r>
              <w:rPr>
                <w:rFonts w:ascii="Arial"/>
                <w:i/>
                <w:sz w:val="18"/>
              </w:rPr>
              <w:t>rating/credit score</w:t>
            </w:r>
            <w:r>
              <w:rPr>
                <w:rFonts w:ascii="Arial"/>
                <w:i/>
                <w:spacing w:val="28"/>
                <w:sz w:val="18"/>
              </w:rPr>
              <w:t> </w:t>
            </w:r>
            <w:r>
              <w:rPr>
                <w:rFonts w:ascii="Arial"/>
                <w:i/>
                <w:sz w:val="18"/>
              </w:rPr>
              <w:t>of</w:t>
            </w:r>
            <w:r>
              <w:rPr>
                <w:rFonts w:ascii="Arial"/>
                <w:i/>
                <w:spacing w:val="14"/>
                <w:sz w:val="18"/>
              </w:rPr>
              <w:t> </w:t>
            </w:r>
            <w:r>
              <w:rPr>
                <w:rFonts w:ascii="Arial"/>
                <w:i/>
                <w:sz w:val="18"/>
              </w:rPr>
              <w:t>the</w:t>
            </w:r>
            <w:r>
              <w:rPr>
                <w:rFonts w:ascii="Arial"/>
                <w:i/>
                <w:spacing w:val="14"/>
                <w:sz w:val="18"/>
              </w:rPr>
              <w:t> </w:t>
            </w:r>
            <w:r>
              <w:rPr>
                <w:rFonts w:ascii="Arial"/>
                <w:i/>
                <w:sz w:val="18"/>
              </w:rPr>
              <w:t>borrower(s);</w:t>
            </w:r>
            <w:r>
              <w:rPr>
                <w:rFonts w:ascii="Arial"/>
                <w:i/>
                <w:spacing w:val="14"/>
                <w:sz w:val="18"/>
              </w:rPr>
              <w:t> </w:t>
            </w:r>
            <w:r>
              <w:rPr>
                <w:rFonts w:ascii="Arial"/>
                <w:i/>
                <w:sz w:val="18"/>
              </w:rPr>
              <w:t>the</w:t>
            </w:r>
            <w:r>
              <w:rPr>
                <w:rFonts w:ascii="Arial"/>
                <w:i/>
                <w:spacing w:val="14"/>
                <w:sz w:val="18"/>
              </w:rPr>
              <w:t> </w:t>
            </w:r>
            <w:r>
              <w:rPr>
                <w:rFonts w:ascii="Arial"/>
                <w:i/>
                <w:sz w:val="18"/>
              </w:rPr>
              <w:t>behaviour,</w:t>
            </w:r>
            <w:r>
              <w:rPr>
                <w:rFonts w:ascii="Arial"/>
                <w:i/>
                <w:spacing w:val="14"/>
                <w:sz w:val="18"/>
              </w:rPr>
              <w:t> </w:t>
            </w:r>
            <w:r>
              <w:rPr>
                <w:rFonts w:ascii="Arial"/>
                <w:i/>
                <w:sz w:val="18"/>
              </w:rPr>
              <w:t>market</w:t>
            </w:r>
            <w:r>
              <w:rPr>
                <w:rFonts w:ascii="Arial"/>
                <w:i/>
                <w:spacing w:val="14"/>
                <w:sz w:val="18"/>
              </w:rPr>
              <w:t> </w:t>
            </w:r>
            <w:r>
              <w:rPr>
                <w:rFonts w:ascii="Arial"/>
                <w:i/>
                <w:sz w:val="18"/>
              </w:rPr>
              <w:t>condition,</w:t>
            </w:r>
            <w:r>
              <w:rPr>
                <w:rFonts w:ascii="Arial"/>
                <w:i/>
                <w:spacing w:val="14"/>
                <w:sz w:val="18"/>
              </w:rPr>
              <w:t> </w:t>
            </w:r>
            <w:r>
              <w:rPr>
                <w:rFonts w:ascii="Arial"/>
                <w:i/>
                <w:sz w:val="18"/>
              </w:rPr>
              <w:t>performance</w:t>
            </w:r>
            <w:r>
              <w:rPr>
                <w:rFonts w:ascii="Arial"/>
                <w:i/>
                <w:spacing w:val="14"/>
                <w:sz w:val="18"/>
              </w:rPr>
              <w:t> </w:t>
            </w:r>
            <w:r>
              <w:rPr>
                <w:rFonts w:ascii="Arial"/>
                <w:i/>
                <w:spacing w:val="-5"/>
                <w:sz w:val="18"/>
              </w:rPr>
              <w:t>and</w:t>
            </w:r>
          </w:p>
          <w:p>
            <w:pPr>
              <w:pStyle w:val="TableParagraph"/>
              <w:spacing w:line="254" w:lineRule="exact"/>
              <w:ind w:right="95"/>
              <w:jc w:val="both"/>
              <w:rPr>
                <w:rFonts w:ascii="Arial" w:hAnsi="Arial"/>
                <w:i/>
                <w:sz w:val="18"/>
              </w:rPr>
            </w:pPr>
            <w:r>
              <w:rPr>
                <w:rFonts w:ascii="Arial" w:hAnsi="Arial"/>
                <w:i/>
                <w:sz w:val="18"/>
              </w:rPr>
              <w:t>profile of the borrower(s); and the Lender’s internal policies. Any </w:t>
            </w:r>
            <w:r>
              <w:rPr>
                <w:rFonts w:ascii="Arial" w:hAnsi="Arial"/>
                <w:i/>
                <w:sz w:val="18"/>
              </w:rPr>
              <w:t>such variation</w:t>
            </w:r>
            <w:r>
              <w:rPr>
                <w:rFonts w:ascii="Arial" w:hAnsi="Arial"/>
                <w:i/>
                <w:spacing w:val="75"/>
                <w:sz w:val="18"/>
              </w:rPr>
              <w:t> </w:t>
            </w:r>
            <w:r>
              <w:rPr>
                <w:rFonts w:ascii="Arial" w:hAnsi="Arial"/>
                <w:i/>
                <w:sz w:val="18"/>
              </w:rPr>
              <w:t>or</w:t>
            </w:r>
            <w:r>
              <w:rPr>
                <w:rFonts w:ascii="Arial" w:hAnsi="Arial"/>
                <w:i/>
                <w:spacing w:val="75"/>
                <w:sz w:val="18"/>
              </w:rPr>
              <w:t> </w:t>
            </w:r>
            <w:r>
              <w:rPr>
                <w:rFonts w:ascii="Arial" w:hAnsi="Arial"/>
                <w:i/>
                <w:sz w:val="18"/>
              </w:rPr>
              <w:t>change</w:t>
            </w:r>
            <w:r>
              <w:rPr>
                <w:rFonts w:ascii="Arial" w:hAnsi="Arial"/>
                <w:i/>
                <w:spacing w:val="75"/>
                <w:sz w:val="18"/>
              </w:rPr>
              <w:t> </w:t>
            </w:r>
            <w:r>
              <w:rPr>
                <w:rFonts w:ascii="Arial" w:hAnsi="Arial"/>
                <w:i/>
                <w:sz w:val="18"/>
              </w:rPr>
              <w:t>or</w:t>
            </w:r>
            <w:r>
              <w:rPr>
                <w:rFonts w:ascii="Arial" w:hAnsi="Arial"/>
                <w:i/>
                <w:spacing w:val="75"/>
                <w:sz w:val="18"/>
              </w:rPr>
              <w:t> </w:t>
            </w:r>
            <w:r>
              <w:rPr>
                <w:rFonts w:ascii="Arial" w:hAnsi="Arial"/>
                <w:i/>
                <w:sz w:val="18"/>
              </w:rPr>
              <w:t>revision</w:t>
            </w:r>
            <w:r>
              <w:rPr>
                <w:rFonts w:ascii="Arial" w:hAnsi="Arial"/>
                <w:i/>
                <w:spacing w:val="75"/>
                <w:sz w:val="18"/>
              </w:rPr>
              <w:t> </w:t>
            </w:r>
            <w:r>
              <w:rPr>
                <w:rFonts w:ascii="Arial" w:hAnsi="Arial"/>
                <w:i/>
                <w:sz w:val="18"/>
              </w:rPr>
              <w:t>in</w:t>
            </w:r>
            <w:r>
              <w:rPr>
                <w:rFonts w:ascii="Arial" w:hAnsi="Arial"/>
                <w:i/>
                <w:spacing w:val="60"/>
                <w:sz w:val="18"/>
              </w:rPr>
              <w:t> </w:t>
            </w:r>
            <w:r>
              <w:rPr>
                <w:rFonts w:ascii="Arial" w:hAnsi="Arial"/>
                <w:i/>
                <w:sz w:val="18"/>
              </w:rPr>
              <w:t>the</w:t>
            </w:r>
            <w:r>
              <w:rPr>
                <w:rFonts w:ascii="Arial" w:hAnsi="Arial"/>
                <w:i/>
                <w:spacing w:val="60"/>
                <w:sz w:val="18"/>
              </w:rPr>
              <w:t> </w:t>
            </w:r>
            <w:r>
              <w:rPr>
                <w:rFonts w:ascii="Arial" w:hAnsi="Arial"/>
                <w:i/>
                <w:sz w:val="18"/>
              </w:rPr>
              <w:t>Interest</w:t>
            </w:r>
            <w:r>
              <w:rPr>
                <w:rFonts w:ascii="Arial" w:hAnsi="Arial"/>
                <w:i/>
                <w:spacing w:val="60"/>
                <w:sz w:val="18"/>
              </w:rPr>
              <w:t> </w:t>
            </w:r>
            <w:r>
              <w:rPr>
                <w:rFonts w:ascii="Arial" w:hAnsi="Arial"/>
                <w:i/>
                <w:sz w:val="18"/>
              </w:rPr>
              <w:t>Rate</w:t>
            </w:r>
            <w:r>
              <w:rPr>
                <w:rFonts w:ascii="Arial" w:hAnsi="Arial"/>
                <w:i/>
                <w:spacing w:val="60"/>
                <w:sz w:val="18"/>
              </w:rPr>
              <w:t> </w:t>
            </w:r>
            <w:r>
              <w:rPr>
                <w:rFonts w:ascii="Arial" w:hAnsi="Arial"/>
                <w:i/>
                <w:sz w:val="18"/>
              </w:rPr>
              <w:t>will</w:t>
            </w:r>
            <w:r>
              <w:rPr>
                <w:rFonts w:ascii="Arial" w:hAnsi="Arial"/>
                <w:i/>
                <w:spacing w:val="60"/>
                <w:sz w:val="18"/>
              </w:rPr>
              <w:t> </w:t>
            </w:r>
            <w:r>
              <w:rPr>
                <w:rFonts w:ascii="Arial" w:hAnsi="Arial"/>
                <w:i/>
                <w:sz w:val="18"/>
              </w:rPr>
              <w:t>be</w:t>
            </w:r>
            <w:r>
              <w:rPr>
                <w:rFonts w:ascii="Arial" w:hAnsi="Arial"/>
                <w:i/>
                <w:spacing w:val="60"/>
                <w:sz w:val="18"/>
              </w:rPr>
              <w:t> </w:t>
            </w:r>
            <w:r>
              <w:rPr>
                <w:rFonts w:ascii="Arial" w:hAnsi="Arial"/>
                <w:i/>
                <w:spacing w:val="-2"/>
                <w:sz w:val="18"/>
              </w:rPr>
              <w:t>applicable</w:t>
            </w:r>
          </w:p>
        </w:tc>
      </w:tr>
    </w:tbl>
    <w:p>
      <w:pPr>
        <w:pStyle w:val="TableParagraph"/>
        <w:spacing w:after="0" w:line="254" w:lineRule="exact"/>
        <w:jc w:val="both"/>
        <w:rPr>
          <w:rFonts w:ascii="Arial" w:hAnsi="Arial"/>
          <w:i/>
          <w:sz w:val="18"/>
        </w:rPr>
        <w:sectPr>
          <w:pgSz w:w="12240" w:h="15840"/>
          <w:pgMar w:header="720" w:footer="785" w:top="1400" w:bottom="980" w:left="1440" w:right="720"/>
        </w:sectPr>
      </w:pPr>
    </w:p>
    <w:p>
      <w:pPr>
        <w:pStyle w:val="BodyText"/>
        <w:spacing w:before="9"/>
        <w:rPr>
          <w:rFonts w:ascii="Arial"/>
          <w:b/>
          <w:sz w:val="6"/>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459" w:hRule="atLeast"/>
        </w:trPr>
        <w:tc>
          <w:tcPr>
            <w:tcW w:w="3480" w:type="dxa"/>
          </w:tcPr>
          <w:p>
            <w:pPr>
              <w:pStyle w:val="TableParagraph"/>
              <w:ind w:left="0"/>
              <w:rPr>
                <w:rFonts w:ascii="Times New Roman"/>
                <w:sz w:val="16"/>
              </w:rPr>
            </w:pPr>
          </w:p>
        </w:tc>
        <w:tc>
          <w:tcPr>
            <w:tcW w:w="6360" w:type="dxa"/>
          </w:tcPr>
          <w:p>
            <w:pPr>
              <w:pStyle w:val="TableParagraph"/>
              <w:spacing w:before="1"/>
              <w:rPr>
                <w:rFonts w:ascii="Arial"/>
                <w:i/>
                <w:sz w:val="18"/>
              </w:rPr>
            </w:pPr>
            <w:r>
              <w:rPr>
                <w:rFonts w:ascii="Arial"/>
                <w:i/>
                <w:sz w:val="18"/>
              </w:rPr>
              <w:t>prospectively</w:t>
            </w:r>
            <w:r>
              <w:rPr>
                <w:rFonts w:ascii="Arial"/>
                <w:i/>
                <w:spacing w:val="15"/>
                <w:sz w:val="18"/>
              </w:rPr>
              <w:t> </w:t>
            </w:r>
            <w:r>
              <w:rPr>
                <w:rFonts w:ascii="Arial"/>
                <w:i/>
                <w:sz w:val="18"/>
              </w:rPr>
              <w:t>and</w:t>
            </w:r>
            <w:r>
              <w:rPr>
                <w:rFonts w:ascii="Arial"/>
                <w:i/>
                <w:spacing w:val="15"/>
                <w:sz w:val="18"/>
              </w:rPr>
              <w:t> </w:t>
            </w:r>
            <w:r>
              <w:rPr>
                <w:rFonts w:ascii="Arial"/>
                <w:i/>
                <w:sz w:val="18"/>
              </w:rPr>
              <w:t>the</w:t>
            </w:r>
            <w:r>
              <w:rPr>
                <w:rFonts w:ascii="Arial"/>
                <w:i/>
                <w:spacing w:val="15"/>
                <w:sz w:val="18"/>
              </w:rPr>
              <w:t> </w:t>
            </w:r>
            <w:r>
              <w:rPr>
                <w:rFonts w:ascii="Arial"/>
                <w:i/>
                <w:sz w:val="18"/>
              </w:rPr>
              <w:t>Lender</w:t>
            </w:r>
            <w:r>
              <w:rPr>
                <w:rFonts w:ascii="Arial"/>
                <w:i/>
                <w:spacing w:val="15"/>
                <w:sz w:val="18"/>
              </w:rPr>
              <w:t> </w:t>
            </w:r>
            <w:r>
              <w:rPr>
                <w:rFonts w:ascii="Arial"/>
                <w:i/>
                <w:sz w:val="18"/>
              </w:rPr>
              <w:t>shall</w:t>
            </w:r>
            <w:r>
              <w:rPr>
                <w:rFonts w:ascii="Arial"/>
                <w:i/>
                <w:spacing w:val="15"/>
                <w:sz w:val="18"/>
              </w:rPr>
              <w:t> </w:t>
            </w:r>
            <w:r>
              <w:rPr>
                <w:rFonts w:ascii="Arial"/>
                <w:i/>
                <w:sz w:val="18"/>
              </w:rPr>
              <w:t>intimate</w:t>
            </w:r>
            <w:r>
              <w:rPr>
                <w:rFonts w:ascii="Arial"/>
                <w:i/>
                <w:spacing w:val="15"/>
                <w:sz w:val="18"/>
              </w:rPr>
              <w:t> </w:t>
            </w:r>
            <w:r>
              <w:rPr>
                <w:rFonts w:ascii="Arial"/>
                <w:i/>
                <w:sz w:val="18"/>
              </w:rPr>
              <w:t>the Borrower(s) in relation to </w:t>
            </w:r>
            <w:r>
              <w:rPr>
                <w:rFonts w:ascii="Arial"/>
                <w:i/>
                <w:spacing w:val="-5"/>
                <w:sz w:val="18"/>
              </w:rPr>
              <w:t>the</w:t>
            </w:r>
          </w:p>
          <w:p>
            <w:pPr>
              <w:pStyle w:val="TableParagraph"/>
              <w:spacing w:line="201" w:lineRule="exact" w:before="31"/>
              <w:rPr>
                <w:rFonts w:ascii="Arial"/>
                <w:i/>
                <w:sz w:val="18"/>
              </w:rPr>
            </w:pPr>
            <w:r>
              <w:rPr>
                <w:rFonts w:ascii="Arial"/>
                <w:i/>
                <w:sz w:val="18"/>
              </w:rPr>
              <w:t>same at least 1 (One) day prior to such </w:t>
            </w:r>
            <w:r>
              <w:rPr>
                <w:rFonts w:ascii="Arial"/>
                <w:i/>
                <w:spacing w:val="-2"/>
                <w:sz w:val="18"/>
              </w:rPr>
              <w:t>change.</w:t>
            </w:r>
          </w:p>
        </w:tc>
      </w:tr>
      <w:tr>
        <w:trPr>
          <w:trHeight w:val="5180" w:hRule="atLeast"/>
        </w:trPr>
        <w:tc>
          <w:tcPr>
            <w:tcW w:w="3480" w:type="dxa"/>
          </w:tcPr>
          <w:p>
            <w:pPr>
              <w:pStyle w:val="TableParagraph"/>
              <w:spacing w:before="12"/>
              <w:ind w:left="124"/>
              <w:rPr>
                <w:rFonts w:ascii="Arial"/>
                <w:b/>
                <w:sz w:val="18"/>
              </w:rPr>
            </w:pPr>
            <w:r>
              <w:rPr>
                <w:rFonts w:ascii="Arial"/>
                <w:b/>
                <w:sz w:val="18"/>
              </w:rPr>
              <w:t>Interest rate </w:t>
            </w:r>
            <w:r>
              <w:rPr>
                <w:rFonts w:ascii="Arial"/>
                <w:b/>
                <w:spacing w:val="-2"/>
                <w:sz w:val="18"/>
              </w:rPr>
              <w:t>methodology</w:t>
            </w:r>
          </w:p>
        </w:tc>
        <w:tc>
          <w:tcPr>
            <w:tcW w:w="6360" w:type="dxa"/>
          </w:tcPr>
          <w:p>
            <w:pPr>
              <w:pStyle w:val="TableParagraph"/>
              <w:spacing w:line="290" w:lineRule="auto" w:before="12"/>
              <w:ind w:right="94"/>
              <w:jc w:val="both"/>
              <w:rPr>
                <w:sz w:val="18"/>
              </w:rPr>
            </w:pPr>
            <w:r>
              <w:rPr>
                <w:sz w:val="18"/>
              </w:rPr>
              <w:t>The DSP IBLR represent</w:t>
            </w:r>
            <w:r>
              <w:rPr>
                <w:spacing w:val="-3"/>
                <w:sz w:val="18"/>
              </w:rPr>
              <w:t> </w:t>
            </w:r>
            <w:r>
              <w:rPr>
                <w:sz w:val="18"/>
              </w:rPr>
              <w:t>the</w:t>
            </w:r>
            <w:r>
              <w:rPr>
                <w:spacing w:val="-3"/>
                <w:sz w:val="18"/>
              </w:rPr>
              <w:t> </w:t>
            </w:r>
            <w:r>
              <w:rPr>
                <w:sz w:val="18"/>
              </w:rPr>
              <w:t>minimum</w:t>
            </w:r>
            <w:r>
              <w:rPr>
                <w:spacing w:val="-3"/>
                <w:sz w:val="18"/>
              </w:rPr>
              <w:t> </w:t>
            </w:r>
            <w:r>
              <w:rPr>
                <w:sz w:val="18"/>
              </w:rPr>
              <w:t>rate</w:t>
            </w:r>
            <w:r>
              <w:rPr>
                <w:spacing w:val="-3"/>
                <w:sz w:val="18"/>
              </w:rPr>
              <w:t> </w:t>
            </w:r>
            <w:r>
              <w:rPr>
                <w:sz w:val="18"/>
              </w:rPr>
              <w:t>chargeable</w:t>
            </w:r>
            <w:r>
              <w:rPr>
                <w:spacing w:val="-3"/>
                <w:sz w:val="18"/>
              </w:rPr>
              <w:t> </w:t>
            </w:r>
            <w:r>
              <w:rPr>
                <w:sz w:val="18"/>
              </w:rPr>
              <w:t>for</w:t>
            </w:r>
            <w:r>
              <w:rPr>
                <w:spacing w:val="-3"/>
                <w:sz w:val="18"/>
              </w:rPr>
              <w:t> </w:t>
            </w:r>
            <w:r>
              <w:rPr>
                <w:sz w:val="18"/>
              </w:rPr>
              <w:t>a</w:t>
            </w:r>
            <w:r>
              <w:rPr>
                <w:spacing w:val="-3"/>
                <w:sz w:val="18"/>
              </w:rPr>
              <w:t> </w:t>
            </w:r>
            <w:r>
              <w:rPr>
                <w:sz w:val="18"/>
              </w:rPr>
              <w:t>specific</w:t>
            </w:r>
            <w:r>
              <w:rPr>
                <w:spacing w:val="-3"/>
                <w:sz w:val="18"/>
              </w:rPr>
              <w:t> </w:t>
            </w:r>
            <w:r>
              <w:rPr>
                <w:sz w:val="18"/>
              </w:rPr>
              <w:t>product and specific customer segments, irrespective of the risk attached thereto. DSP IBLR will be arrived at after</w:t>
            </w:r>
            <w:r>
              <w:rPr>
                <w:spacing w:val="-3"/>
                <w:sz w:val="18"/>
              </w:rPr>
              <w:t> </w:t>
            </w:r>
            <w:r>
              <w:rPr>
                <w:sz w:val="18"/>
              </w:rPr>
              <w:t>considering</w:t>
            </w:r>
            <w:r>
              <w:rPr>
                <w:spacing w:val="-3"/>
                <w:sz w:val="18"/>
              </w:rPr>
              <w:t> </w:t>
            </w:r>
            <w:r>
              <w:rPr>
                <w:sz w:val="18"/>
              </w:rPr>
              <w:t>the</w:t>
            </w:r>
            <w:r>
              <w:rPr>
                <w:spacing w:val="-3"/>
                <w:sz w:val="18"/>
              </w:rPr>
              <w:t> </w:t>
            </w:r>
            <w:r>
              <w:rPr>
                <w:sz w:val="18"/>
              </w:rPr>
              <w:t>cost</w:t>
            </w:r>
            <w:r>
              <w:rPr>
                <w:spacing w:val="-3"/>
                <w:sz w:val="18"/>
              </w:rPr>
              <w:t> </w:t>
            </w:r>
            <w:r>
              <w:rPr>
                <w:sz w:val="18"/>
              </w:rPr>
              <w:t>of</w:t>
            </w:r>
            <w:r>
              <w:rPr>
                <w:spacing w:val="-3"/>
                <w:sz w:val="18"/>
              </w:rPr>
              <w:t> </w:t>
            </w:r>
            <w:r>
              <w:rPr>
                <w:sz w:val="18"/>
              </w:rPr>
              <w:t>funds,</w:t>
            </w:r>
            <w:r>
              <w:rPr>
                <w:spacing w:val="-3"/>
                <w:sz w:val="18"/>
              </w:rPr>
              <w:t> </w:t>
            </w:r>
            <w:r>
              <w:rPr>
                <w:sz w:val="18"/>
              </w:rPr>
              <w:t>the</w:t>
            </w:r>
            <w:r>
              <w:rPr>
                <w:spacing w:val="-3"/>
                <w:sz w:val="18"/>
              </w:rPr>
              <w:t> </w:t>
            </w:r>
            <w:r>
              <w:rPr>
                <w:sz w:val="18"/>
              </w:rPr>
              <w:t>return</w:t>
            </w:r>
            <w:r>
              <w:rPr>
                <w:spacing w:val="-3"/>
                <w:sz w:val="18"/>
              </w:rPr>
              <w:t> </w:t>
            </w:r>
            <w:r>
              <w:rPr>
                <w:sz w:val="18"/>
              </w:rPr>
              <w:t>on capital employed, the tenor premium and liquidity premium as per market conditions, the operating costs, the liquidity and statutory costs and ALM mismatch cost.</w:t>
            </w:r>
          </w:p>
          <w:p>
            <w:pPr>
              <w:pStyle w:val="TableParagraph"/>
              <w:spacing w:line="290" w:lineRule="auto" w:before="138"/>
              <w:ind w:right="94"/>
              <w:jc w:val="both"/>
              <w:rPr>
                <w:sz w:val="18"/>
              </w:rPr>
            </w:pPr>
            <w:r>
              <w:rPr>
                <w:sz w:val="18"/>
              </w:rPr>
              <w:t>The spread is intended to cover potential credit loss risk, and will </w:t>
            </w:r>
            <w:r>
              <w:rPr>
                <w:sz w:val="18"/>
              </w:rPr>
              <w:t>be determined based on the general economic conditions, profile of the Obligor(s), source of income, geographical location, ticket size of each Tranche Facility, tenure of the relationship, rating of the Obligor(s), credit score of the Obligor(s), past repayment track record, end use of such Tranche Facilities, repayment capacity based on income/cash flows and other financial commitments of the Obligor(s), quality of collateral, interest, default risk in related business segment and the structure of the Tranche </w:t>
            </w:r>
            <w:r>
              <w:rPr>
                <w:spacing w:val="-2"/>
                <w:sz w:val="18"/>
              </w:rPr>
              <w:t>Facilities.</w:t>
            </w:r>
          </w:p>
          <w:p>
            <w:pPr>
              <w:pStyle w:val="TableParagraph"/>
              <w:spacing w:line="290" w:lineRule="auto" w:before="136"/>
              <w:ind w:right="94"/>
              <w:jc w:val="both"/>
              <w:rPr>
                <w:sz w:val="18"/>
              </w:rPr>
            </w:pPr>
            <w:r>
              <w:rPr>
                <w:sz w:val="18"/>
              </w:rPr>
              <w:t>The interest rate for each Tranche Facility availed during same period by different borrower(s) need not be standardized and could vary for </w:t>
            </w:r>
            <w:r>
              <w:rPr>
                <w:sz w:val="18"/>
              </w:rPr>
              <w:t>different borrower(s) depending upon consideration of any or combination of above </w:t>
            </w:r>
            <w:r>
              <w:rPr>
                <w:spacing w:val="-2"/>
                <w:sz w:val="18"/>
              </w:rPr>
              <w:t>factors.</w:t>
            </w:r>
          </w:p>
        </w:tc>
      </w:tr>
      <w:tr>
        <w:trPr>
          <w:trHeight w:val="2999" w:hRule="atLeast"/>
        </w:trPr>
        <w:tc>
          <w:tcPr>
            <w:tcW w:w="3480" w:type="dxa"/>
          </w:tcPr>
          <w:p>
            <w:pPr>
              <w:pStyle w:val="TableParagraph"/>
              <w:spacing w:line="206" w:lineRule="exact"/>
              <w:ind w:left="124"/>
              <w:rPr>
                <w:rFonts w:ascii="Arial"/>
                <w:b/>
                <w:sz w:val="18"/>
              </w:rPr>
            </w:pPr>
            <w:r>
              <w:rPr>
                <w:rFonts w:ascii="Arial"/>
                <w:b/>
                <w:sz w:val="18"/>
              </w:rPr>
              <w:t>Processing </w:t>
            </w:r>
            <w:r>
              <w:rPr>
                <w:rFonts w:ascii="Arial"/>
                <w:b/>
                <w:spacing w:val="-5"/>
                <w:sz w:val="18"/>
              </w:rPr>
              <w:t>fee</w:t>
            </w:r>
          </w:p>
        </w:tc>
        <w:tc>
          <w:tcPr>
            <w:tcW w:w="6360" w:type="dxa"/>
          </w:tcPr>
          <w:p>
            <w:pPr>
              <w:pStyle w:val="TableParagraph"/>
              <w:spacing w:line="290" w:lineRule="auto"/>
              <w:ind w:right="95"/>
              <w:jc w:val="both"/>
              <w:rPr>
                <w:sz w:val="18"/>
              </w:rPr>
            </w:pPr>
            <w:r>
              <w:rPr>
                <w:sz w:val="18"/>
              </w:rPr>
              <w:t>The Borrower(s) shall pay a one-time, non-refundable processing fees </w:t>
            </w:r>
            <w:r>
              <w:rPr>
                <w:sz w:val="18"/>
              </w:rPr>
              <w:t>in relation</w:t>
            </w:r>
            <w:r>
              <w:rPr>
                <w:spacing w:val="-5"/>
                <w:sz w:val="18"/>
              </w:rPr>
              <w:t> </w:t>
            </w:r>
            <w:r>
              <w:rPr>
                <w:sz w:val="18"/>
              </w:rPr>
              <w:t>to</w:t>
            </w:r>
            <w:r>
              <w:rPr>
                <w:spacing w:val="-5"/>
                <w:sz w:val="18"/>
              </w:rPr>
              <w:t> </w:t>
            </w:r>
            <w:r>
              <w:rPr>
                <w:sz w:val="18"/>
              </w:rPr>
              <w:t>each</w:t>
            </w:r>
            <w:r>
              <w:rPr>
                <w:spacing w:val="-5"/>
                <w:sz w:val="18"/>
              </w:rPr>
              <w:t> </w:t>
            </w:r>
            <w:r>
              <w:rPr>
                <w:sz w:val="18"/>
              </w:rPr>
              <w:t>Tranche</w:t>
            </w:r>
            <w:r>
              <w:rPr>
                <w:spacing w:val="-5"/>
                <w:sz w:val="18"/>
              </w:rPr>
              <w:t> </w:t>
            </w:r>
            <w:r>
              <w:rPr>
                <w:sz w:val="18"/>
              </w:rPr>
              <w:t>Facility</w:t>
            </w:r>
            <w:r>
              <w:rPr>
                <w:spacing w:val="-5"/>
                <w:sz w:val="18"/>
              </w:rPr>
              <w:t> </w:t>
            </w:r>
            <w:r>
              <w:rPr>
                <w:sz w:val="18"/>
              </w:rPr>
              <w:t>as</w:t>
            </w:r>
            <w:r>
              <w:rPr>
                <w:spacing w:val="-5"/>
                <w:sz w:val="18"/>
              </w:rPr>
              <w:t> </w:t>
            </w:r>
            <w:r>
              <w:rPr>
                <w:sz w:val="18"/>
              </w:rPr>
              <w:t>stipulated</w:t>
            </w:r>
            <w:r>
              <w:rPr>
                <w:spacing w:val="-5"/>
                <w:sz w:val="18"/>
              </w:rPr>
              <w:t> </w:t>
            </w:r>
            <w:r>
              <w:rPr>
                <w:sz w:val="18"/>
              </w:rPr>
              <w:t>under</w:t>
            </w:r>
            <w:r>
              <w:rPr>
                <w:spacing w:val="-5"/>
                <w:sz w:val="18"/>
              </w:rPr>
              <w:t> </w:t>
            </w:r>
            <w:r>
              <w:rPr>
                <w:sz w:val="18"/>
              </w:rPr>
              <w:t>the</w:t>
            </w:r>
            <w:r>
              <w:rPr>
                <w:spacing w:val="-5"/>
                <w:sz w:val="18"/>
              </w:rPr>
              <w:t> </w:t>
            </w:r>
            <w:r>
              <w:rPr>
                <w:sz w:val="18"/>
              </w:rPr>
              <w:t>Tranche</w:t>
            </w:r>
            <w:r>
              <w:rPr>
                <w:spacing w:val="-5"/>
                <w:sz w:val="18"/>
              </w:rPr>
              <w:t> </w:t>
            </w:r>
            <w:r>
              <w:rPr>
                <w:sz w:val="18"/>
              </w:rPr>
              <w:t>Facility</w:t>
            </w:r>
            <w:r>
              <w:rPr>
                <w:spacing w:val="-5"/>
                <w:sz w:val="18"/>
              </w:rPr>
              <w:t> </w:t>
            </w:r>
            <w:r>
              <w:rPr>
                <w:sz w:val="18"/>
              </w:rPr>
              <w:t>KFS in relation to such Tranche Facility prior to the drawdown in relation</w:t>
            </w:r>
            <w:r>
              <w:rPr>
                <w:spacing w:val="-3"/>
                <w:sz w:val="18"/>
              </w:rPr>
              <w:t> </w:t>
            </w:r>
            <w:r>
              <w:rPr>
                <w:sz w:val="18"/>
              </w:rPr>
              <w:t>to</w:t>
            </w:r>
            <w:r>
              <w:rPr>
                <w:spacing w:val="-3"/>
                <w:sz w:val="18"/>
              </w:rPr>
              <w:t> </w:t>
            </w:r>
            <w:r>
              <w:rPr>
                <w:sz w:val="18"/>
              </w:rPr>
              <w:t>such Tranche Facility.</w:t>
            </w:r>
          </w:p>
          <w:p>
            <w:pPr>
              <w:pStyle w:val="TableParagraph"/>
              <w:spacing w:before="168"/>
              <w:ind w:left="0"/>
              <w:rPr>
                <w:rFonts w:ascii="Arial"/>
                <w:b/>
                <w:sz w:val="18"/>
              </w:rPr>
            </w:pPr>
          </w:p>
          <w:p>
            <w:pPr>
              <w:pStyle w:val="TableParagraph"/>
              <w:spacing w:line="290" w:lineRule="auto"/>
              <w:ind w:right="94"/>
              <w:jc w:val="both"/>
              <w:rPr>
                <w:sz w:val="18"/>
              </w:rPr>
            </w:pPr>
            <w:r>
              <w:rPr>
                <w:sz w:val="18"/>
              </w:rPr>
              <w:t>Where a drawdown of a Tranche Facility is being made to the </w:t>
            </w:r>
            <w:r>
              <w:rPr>
                <w:sz w:val="18"/>
              </w:rPr>
              <w:t>Borrower(s) without the Borrower paying the processing fees in relation</w:t>
            </w:r>
            <w:r>
              <w:rPr>
                <w:spacing w:val="-3"/>
                <w:sz w:val="18"/>
              </w:rPr>
              <w:t> </w:t>
            </w:r>
            <w:r>
              <w:rPr>
                <w:sz w:val="18"/>
              </w:rPr>
              <w:t>to</w:t>
            </w:r>
            <w:r>
              <w:rPr>
                <w:spacing w:val="-3"/>
                <w:sz w:val="18"/>
              </w:rPr>
              <w:t> </w:t>
            </w:r>
            <w:r>
              <w:rPr>
                <w:sz w:val="18"/>
              </w:rPr>
              <w:t>such</w:t>
            </w:r>
            <w:r>
              <w:rPr>
                <w:spacing w:val="-3"/>
                <w:sz w:val="18"/>
              </w:rPr>
              <w:t> </w:t>
            </w:r>
            <w:r>
              <w:rPr>
                <w:sz w:val="18"/>
              </w:rPr>
              <w:t>Tranche Facility, the Lender</w:t>
            </w:r>
            <w:r>
              <w:rPr>
                <w:spacing w:val="-3"/>
                <w:sz w:val="18"/>
              </w:rPr>
              <w:t> </w:t>
            </w:r>
            <w:r>
              <w:rPr>
                <w:sz w:val="18"/>
              </w:rPr>
              <w:t>shall</w:t>
            </w:r>
            <w:r>
              <w:rPr>
                <w:spacing w:val="-3"/>
                <w:sz w:val="18"/>
              </w:rPr>
              <w:t> </w:t>
            </w:r>
            <w:r>
              <w:rPr>
                <w:sz w:val="18"/>
              </w:rPr>
              <w:t>have</w:t>
            </w:r>
            <w:r>
              <w:rPr>
                <w:spacing w:val="-3"/>
                <w:sz w:val="18"/>
              </w:rPr>
              <w:t> </w:t>
            </w:r>
            <w:r>
              <w:rPr>
                <w:sz w:val="18"/>
              </w:rPr>
              <w:t>the</w:t>
            </w:r>
            <w:r>
              <w:rPr>
                <w:spacing w:val="-3"/>
                <w:sz w:val="18"/>
              </w:rPr>
              <w:t> </w:t>
            </w:r>
            <w:r>
              <w:rPr>
                <w:sz w:val="18"/>
              </w:rPr>
              <w:t>right</w:t>
            </w:r>
            <w:r>
              <w:rPr>
                <w:spacing w:val="-3"/>
                <w:sz w:val="18"/>
              </w:rPr>
              <w:t> </w:t>
            </w:r>
            <w:r>
              <w:rPr>
                <w:sz w:val="18"/>
              </w:rPr>
              <w:t>to</w:t>
            </w:r>
            <w:r>
              <w:rPr>
                <w:spacing w:val="-3"/>
                <w:sz w:val="18"/>
              </w:rPr>
              <w:t> </w:t>
            </w:r>
            <w:r>
              <w:rPr>
                <w:sz w:val="18"/>
              </w:rPr>
              <w:t>deduct</w:t>
            </w:r>
            <w:r>
              <w:rPr>
                <w:spacing w:val="-3"/>
                <w:sz w:val="18"/>
              </w:rPr>
              <w:t> </w:t>
            </w:r>
            <w:r>
              <w:rPr>
                <w:sz w:val="18"/>
              </w:rPr>
              <w:t>the</w:t>
            </w:r>
            <w:r>
              <w:rPr>
                <w:spacing w:val="-3"/>
                <w:sz w:val="18"/>
              </w:rPr>
              <w:t> </w:t>
            </w:r>
            <w:r>
              <w:rPr>
                <w:sz w:val="18"/>
              </w:rPr>
              <w:t>processing</w:t>
            </w:r>
            <w:r>
              <w:rPr>
                <w:spacing w:val="-3"/>
                <w:sz w:val="18"/>
              </w:rPr>
              <w:t> </w:t>
            </w:r>
            <w:r>
              <w:rPr>
                <w:sz w:val="18"/>
              </w:rPr>
              <w:t>fee</w:t>
            </w:r>
            <w:r>
              <w:rPr>
                <w:spacing w:val="-3"/>
                <w:sz w:val="18"/>
              </w:rPr>
              <w:t> </w:t>
            </w:r>
            <w:r>
              <w:rPr>
                <w:sz w:val="18"/>
              </w:rPr>
              <w:t>from</w:t>
            </w:r>
            <w:r>
              <w:rPr>
                <w:spacing w:val="-3"/>
                <w:sz w:val="18"/>
              </w:rPr>
              <w:t> </w:t>
            </w:r>
            <w:r>
              <w:rPr>
                <w:sz w:val="18"/>
              </w:rPr>
              <w:t>the principal amount to be disbursed under such Tranche Facility and disburse the net amount to (or</w:t>
            </w:r>
            <w:r>
              <w:rPr>
                <w:spacing w:val="-3"/>
                <w:sz w:val="18"/>
              </w:rPr>
              <w:t> </w:t>
            </w:r>
            <w:r>
              <w:rPr>
                <w:sz w:val="18"/>
              </w:rPr>
              <w:t>as</w:t>
            </w:r>
            <w:r>
              <w:rPr>
                <w:spacing w:val="-3"/>
                <w:sz w:val="18"/>
              </w:rPr>
              <w:t> </w:t>
            </w:r>
            <w:r>
              <w:rPr>
                <w:sz w:val="18"/>
              </w:rPr>
              <w:t>per</w:t>
            </w:r>
            <w:r>
              <w:rPr>
                <w:spacing w:val="-3"/>
                <w:sz w:val="18"/>
              </w:rPr>
              <w:t> </w:t>
            </w:r>
            <w:r>
              <w:rPr>
                <w:sz w:val="18"/>
              </w:rPr>
              <w:t>the</w:t>
            </w:r>
            <w:r>
              <w:rPr>
                <w:spacing w:val="-3"/>
                <w:sz w:val="18"/>
              </w:rPr>
              <w:t> </w:t>
            </w:r>
            <w:r>
              <w:rPr>
                <w:sz w:val="18"/>
              </w:rPr>
              <w:t>instruction</w:t>
            </w:r>
            <w:r>
              <w:rPr>
                <w:spacing w:val="-3"/>
                <w:sz w:val="18"/>
              </w:rPr>
              <w:t> </w:t>
            </w:r>
            <w:r>
              <w:rPr>
                <w:sz w:val="18"/>
              </w:rPr>
              <w:t>of)</w:t>
            </w:r>
            <w:r>
              <w:rPr>
                <w:spacing w:val="-3"/>
                <w:sz w:val="18"/>
              </w:rPr>
              <w:t> </w:t>
            </w:r>
            <w:r>
              <w:rPr>
                <w:sz w:val="18"/>
              </w:rPr>
              <w:t>the</w:t>
            </w:r>
            <w:r>
              <w:rPr>
                <w:spacing w:val="-3"/>
                <w:sz w:val="18"/>
              </w:rPr>
              <w:t> </w:t>
            </w:r>
            <w:r>
              <w:rPr>
                <w:sz w:val="18"/>
              </w:rPr>
              <w:t>Borrower(s)</w:t>
            </w:r>
            <w:r>
              <w:rPr>
                <w:spacing w:val="-3"/>
                <w:sz w:val="18"/>
              </w:rPr>
              <w:t> </w:t>
            </w:r>
            <w:r>
              <w:rPr>
                <w:sz w:val="18"/>
              </w:rPr>
              <w:t>and</w:t>
            </w:r>
            <w:r>
              <w:rPr>
                <w:spacing w:val="-3"/>
                <w:sz w:val="18"/>
              </w:rPr>
              <w:t> </w:t>
            </w:r>
            <w:r>
              <w:rPr>
                <w:sz w:val="18"/>
              </w:rPr>
              <w:t>notify</w:t>
            </w:r>
            <w:r>
              <w:rPr>
                <w:spacing w:val="-3"/>
                <w:sz w:val="18"/>
              </w:rPr>
              <w:t> </w:t>
            </w:r>
            <w:r>
              <w:rPr>
                <w:sz w:val="18"/>
              </w:rPr>
              <w:t>the same</w:t>
            </w:r>
            <w:r>
              <w:rPr>
                <w:spacing w:val="-1"/>
                <w:sz w:val="18"/>
              </w:rPr>
              <w:t> </w:t>
            </w:r>
            <w:r>
              <w:rPr>
                <w:sz w:val="18"/>
              </w:rPr>
              <w:t>to</w:t>
            </w:r>
            <w:r>
              <w:rPr>
                <w:spacing w:val="-1"/>
                <w:sz w:val="18"/>
              </w:rPr>
              <w:t> </w:t>
            </w:r>
            <w:r>
              <w:rPr>
                <w:sz w:val="18"/>
              </w:rPr>
              <w:t>the Borrower(s)</w:t>
            </w:r>
            <w:r>
              <w:rPr>
                <w:spacing w:val="-1"/>
                <w:sz w:val="18"/>
              </w:rPr>
              <w:t> </w:t>
            </w:r>
            <w:r>
              <w:rPr>
                <w:sz w:val="18"/>
              </w:rPr>
              <w:t>at the</w:t>
            </w:r>
            <w:r>
              <w:rPr>
                <w:spacing w:val="-1"/>
                <w:sz w:val="18"/>
              </w:rPr>
              <w:t> </w:t>
            </w:r>
            <w:r>
              <w:rPr>
                <w:sz w:val="18"/>
              </w:rPr>
              <w:t>time</w:t>
            </w:r>
            <w:r>
              <w:rPr>
                <w:spacing w:val="-1"/>
                <w:sz w:val="18"/>
              </w:rPr>
              <w:t> </w:t>
            </w:r>
            <w:r>
              <w:rPr>
                <w:sz w:val="18"/>
              </w:rPr>
              <w:t>of disbursement</w:t>
            </w:r>
            <w:r>
              <w:rPr>
                <w:spacing w:val="-1"/>
                <w:sz w:val="18"/>
              </w:rPr>
              <w:t> </w:t>
            </w:r>
            <w:r>
              <w:rPr>
                <w:sz w:val="18"/>
              </w:rPr>
              <w:t>of such</w:t>
            </w:r>
            <w:r>
              <w:rPr>
                <w:spacing w:val="-1"/>
                <w:sz w:val="18"/>
              </w:rPr>
              <w:t> </w:t>
            </w:r>
            <w:r>
              <w:rPr>
                <w:sz w:val="18"/>
              </w:rPr>
              <w:t>Tranche </w:t>
            </w:r>
            <w:r>
              <w:rPr>
                <w:spacing w:val="-4"/>
                <w:sz w:val="18"/>
              </w:rPr>
              <w:t>Facility.</w:t>
            </w:r>
          </w:p>
        </w:tc>
      </w:tr>
      <w:tr>
        <w:trPr>
          <w:trHeight w:val="3700" w:hRule="atLeast"/>
        </w:trPr>
        <w:tc>
          <w:tcPr>
            <w:tcW w:w="3480" w:type="dxa"/>
          </w:tcPr>
          <w:p>
            <w:pPr>
              <w:pStyle w:val="TableParagraph"/>
              <w:spacing w:before="13"/>
              <w:ind w:left="124"/>
              <w:rPr>
                <w:rFonts w:ascii="Arial"/>
                <w:b/>
                <w:sz w:val="18"/>
              </w:rPr>
            </w:pPr>
            <w:r>
              <w:rPr>
                <w:rFonts w:ascii="Arial"/>
                <w:b/>
                <w:sz w:val="18"/>
              </w:rPr>
              <w:t>Installment </w:t>
            </w:r>
            <w:r>
              <w:rPr>
                <w:rFonts w:ascii="Arial"/>
                <w:b/>
                <w:spacing w:val="-2"/>
                <w:sz w:val="18"/>
              </w:rPr>
              <w:t>details</w:t>
            </w:r>
          </w:p>
        </w:tc>
        <w:tc>
          <w:tcPr>
            <w:tcW w:w="6360" w:type="dxa"/>
          </w:tcPr>
          <w:p>
            <w:pPr>
              <w:pStyle w:val="TableParagraph"/>
              <w:spacing w:before="13"/>
              <w:rPr>
                <w:rFonts w:ascii="Arial"/>
                <w:b/>
                <w:sz w:val="18"/>
              </w:rPr>
            </w:pPr>
            <w:r>
              <w:rPr>
                <w:rFonts w:ascii="Arial"/>
                <w:b/>
                <w:sz w:val="18"/>
              </w:rPr>
              <w:t>Interest</w:t>
            </w:r>
            <w:r>
              <w:rPr>
                <w:rFonts w:ascii="Arial"/>
                <w:b/>
                <w:spacing w:val="-2"/>
                <w:sz w:val="18"/>
              </w:rPr>
              <w:t> </w:t>
            </w:r>
            <w:r>
              <w:rPr>
                <w:rFonts w:ascii="Arial"/>
                <w:b/>
                <w:sz w:val="18"/>
              </w:rPr>
              <w:t>repayment</w:t>
            </w:r>
            <w:r>
              <w:rPr>
                <w:rFonts w:ascii="Arial"/>
                <w:b/>
                <w:spacing w:val="-1"/>
                <w:sz w:val="18"/>
              </w:rPr>
              <w:t> </w:t>
            </w:r>
            <w:r>
              <w:rPr>
                <w:rFonts w:ascii="Arial"/>
                <w:b/>
                <w:sz w:val="18"/>
              </w:rPr>
              <w:t>in</w:t>
            </w:r>
            <w:r>
              <w:rPr>
                <w:rFonts w:ascii="Arial"/>
                <w:b/>
                <w:spacing w:val="-2"/>
                <w:sz w:val="18"/>
              </w:rPr>
              <w:t> </w:t>
            </w:r>
            <w:r>
              <w:rPr>
                <w:rFonts w:ascii="Arial"/>
                <w:b/>
                <w:sz w:val="18"/>
              </w:rPr>
              <w:t>relation</w:t>
            </w:r>
            <w:r>
              <w:rPr>
                <w:rFonts w:ascii="Arial"/>
                <w:b/>
                <w:spacing w:val="-1"/>
                <w:sz w:val="18"/>
              </w:rPr>
              <w:t> </w:t>
            </w:r>
            <w:r>
              <w:rPr>
                <w:rFonts w:ascii="Arial"/>
                <w:b/>
                <w:sz w:val="18"/>
              </w:rPr>
              <w:t>to</w:t>
            </w:r>
            <w:r>
              <w:rPr>
                <w:rFonts w:ascii="Arial"/>
                <w:b/>
                <w:spacing w:val="-2"/>
                <w:sz w:val="18"/>
              </w:rPr>
              <w:t> </w:t>
            </w:r>
            <w:r>
              <w:rPr>
                <w:rFonts w:ascii="Arial"/>
                <w:b/>
                <w:sz w:val="18"/>
              </w:rPr>
              <w:t>each</w:t>
            </w:r>
            <w:r>
              <w:rPr>
                <w:rFonts w:ascii="Arial"/>
                <w:b/>
                <w:spacing w:val="-1"/>
                <w:sz w:val="18"/>
              </w:rPr>
              <w:t> </w:t>
            </w:r>
            <w:r>
              <w:rPr>
                <w:rFonts w:ascii="Arial"/>
                <w:b/>
                <w:sz w:val="18"/>
              </w:rPr>
              <w:t>Tranche</w:t>
            </w:r>
            <w:r>
              <w:rPr>
                <w:rFonts w:ascii="Arial"/>
                <w:b/>
                <w:spacing w:val="-1"/>
                <w:sz w:val="18"/>
              </w:rPr>
              <w:t> </w:t>
            </w:r>
            <w:r>
              <w:rPr>
                <w:rFonts w:ascii="Arial"/>
                <w:b/>
                <w:spacing w:val="-2"/>
                <w:sz w:val="18"/>
              </w:rPr>
              <w:t>Facility:</w:t>
            </w:r>
          </w:p>
          <w:p>
            <w:pPr>
              <w:pStyle w:val="TableParagraph"/>
              <w:numPr>
                <w:ilvl w:val="0"/>
                <w:numId w:val="9"/>
              </w:numPr>
              <w:tabs>
                <w:tab w:pos="1144" w:val="left" w:leader="none"/>
              </w:tabs>
              <w:spacing w:line="290" w:lineRule="auto" w:before="183" w:after="0"/>
              <w:ind w:left="1144" w:right="120" w:hanging="675"/>
              <w:jc w:val="both"/>
              <w:rPr>
                <w:sz w:val="18"/>
              </w:rPr>
            </w:pPr>
            <w:r>
              <w:rPr>
                <w:rFonts w:ascii="Arial"/>
                <w:b/>
                <w:sz w:val="18"/>
              </w:rPr>
              <w:t>Amount:</w:t>
            </w:r>
            <w:r>
              <w:rPr>
                <w:rFonts w:ascii="Arial"/>
                <w:b/>
                <w:spacing w:val="-6"/>
                <w:sz w:val="18"/>
              </w:rPr>
              <w:t> </w:t>
            </w:r>
            <w:r>
              <w:rPr>
                <w:sz w:val="18"/>
              </w:rPr>
              <w:t>Interest</w:t>
            </w:r>
            <w:r>
              <w:rPr>
                <w:spacing w:val="-6"/>
                <w:sz w:val="18"/>
              </w:rPr>
              <w:t> </w:t>
            </w:r>
            <w:r>
              <w:rPr>
                <w:sz w:val="18"/>
              </w:rPr>
              <w:t>payable</w:t>
            </w:r>
            <w:r>
              <w:rPr>
                <w:spacing w:val="-6"/>
                <w:sz w:val="18"/>
              </w:rPr>
              <w:t> </w:t>
            </w:r>
            <w:r>
              <w:rPr>
                <w:sz w:val="18"/>
              </w:rPr>
              <w:t>is</w:t>
            </w:r>
            <w:r>
              <w:rPr>
                <w:spacing w:val="-6"/>
                <w:sz w:val="18"/>
              </w:rPr>
              <w:t> </w:t>
            </w:r>
            <w:r>
              <w:rPr>
                <w:sz w:val="18"/>
              </w:rPr>
              <w:t>calculated</w:t>
            </w:r>
            <w:r>
              <w:rPr>
                <w:spacing w:val="-6"/>
                <w:sz w:val="18"/>
              </w:rPr>
              <w:t> </w:t>
            </w:r>
            <w:r>
              <w:rPr>
                <w:sz w:val="18"/>
              </w:rPr>
              <w:t>Outstanding</w:t>
            </w:r>
            <w:r>
              <w:rPr>
                <w:spacing w:val="-6"/>
                <w:sz w:val="18"/>
              </w:rPr>
              <w:t> </w:t>
            </w:r>
            <w:r>
              <w:rPr>
                <w:sz w:val="18"/>
              </w:rPr>
              <w:t>Principal</w:t>
            </w:r>
            <w:r>
              <w:rPr>
                <w:spacing w:val="-6"/>
                <w:sz w:val="18"/>
              </w:rPr>
              <w:t> </w:t>
            </w:r>
            <w:r>
              <w:rPr>
                <w:sz w:val="18"/>
              </w:rPr>
              <w:t>of such Tranche Facility at the end of each day</w:t>
            </w:r>
          </w:p>
          <w:p>
            <w:pPr>
              <w:pStyle w:val="TableParagraph"/>
              <w:numPr>
                <w:ilvl w:val="0"/>
                <w:numId w:val="9"/>
              </w:numPr>
              <w:tabs>
                <w:tab w:pos="1144" w:val="left" w:leader="none"/>
              </w:tabs>
              <w:spacing w:line="290" w:lineRule="auto" w:before="139" w:after="0"/>
              <w:ind w:left="1144" w:right="95" w:hanging="675"/>
              <w:jc w:val="both"/>
              <w:rPr>
                <w:sz w:val="18"/>
              </w:rPr>
            </w:pPr>
            <w:r>
              <w:rPr>
                <w:rFonts w:ascii="Arial"/>
                <w:b/>
                <w:sz w:val="18"/>
              </w:rPr>
              <w:t>Frequency: </w:t>
            </w:r>
            <w:r>
              <w:rPr>
                <w:sz w:val="18"/>
              </w:rPr>
              <w:t>Monthly, or such other frequency as may </w:t>
            </w:r>
            <w:r>
              <w:rPr>
                <w:sz w:val="18"/>
              </w:rPr>
              <w:t>be communicated by the Lender to the Borrower(s) from time to </w:t>
            </w:r>
            <w:r>
              <w:rPr>
                <w:spacing w:val="-2"/>
                <w:sz w:val="18"/>
              </w:rPr>
              <w:t>time.</w:t>
            </w:r>
          </w:p>
          <w:p>
            <w:pPr>
              <w:pStyle w:val="TableParagraph"/>
              <w:numPr>
                <w:ilvl w:val="0"/>
                <w:numId w:val="9"/>
              </w:numPr>
              <w:tabs>
                <w:tab w:pos="1144" w:val="left" w:leader="none"/>
              </w:tabs>
              <w:spacing w:line="290" w:lineRule="auto" w:before="139" w:after="0"/>
              <w:ind w:left="1144" w:right="162" w:hanging="675"/>
              <w:jc w:val="left"/>
              <w:rPr>
                <w:sz w:val="18"/>
              </w:rPr>
            </w:pPr>
            <w:r>
              <w:rPr>
                <w:rFonts w:ascii="Arial"/>
                <w:b/>
                <w:sz w:val="18"/>
              </w:rPr>
              <w:t>Billing</w:t>
            </w:r>
            <w:r>
              <w:rPr>
                <w:rFonts w:ascii="Arial"/>
                <w:b/>
                <w:spacing w:val="-6"/>
                <w:sz w:val="18"/>
              </w:rPr>
              <w:t> </w:t>
            </w:r>
            <w:r>
              <w:rPr>
                <w:rFonts w:ascii="Arial"/>
                <w:b/>
                <w:sz w:val="18"/>
              </w:rPr>
              <w:t>date:</w:t>
            </w:r>
            <w:r>
              <w:rPr>
                <w:rFonts w:ascii="Arial"/>
                <w:b/>
                <w:spacing w:val="-6"/>
                <w:sz w:val="18"/>
              </w:rPr>
              <w:t> </w:t>
            </w:r>
            <w:r>
              <w:rPr>
                <w:sz w:val="18"/>
              </w:rPr>
              <w:t>{{kfsData.terms.dueDay}}</w:t>
            </w:r>
            <w:r>
              <w:rPr>
                <w:spacing w:val="-6"/>
                <w:sz w:val="18"/>
              </w:rPr>
              <w:t> </w:t>
            </w:r>
            <w:r>
              <w:rPr>
                <w:sz w:val="18"/>
              </w:rPr>
              <w:t>of</w:t>
            </w:r>
            <w:r>
              <w:rPr>
                <w:spacing w:val="-6"/>
                <w:sz w:val="18"/>
              </w:rPr>
              <w:t> </w:t>
            </w:r>
            <w:r>
              <w:rPr>
                <w:sz w:val="18"/>
              </w:rPr>
              <w:t>every</w:t>
            </w:r>
            <w:r>
              <w:rPr>
                <w:spacing w:val="-6"/>
                <w:sz w:val="18"/>
              </w:rPr>
              <w:t> </w:t>
            </w:r>
            <w:r>
              <w:rPr>
                <w:sz w:val="18"/>
              </w:rPr>
              <w:t>month,</w:t>
            </w:r>
            <w:r>
              <w:rPr>
                <w:spacing w:val="-6"/>
                <w:sz w:val="18"/>
              </w:rPr>
              <w:t> </w:t>
            </w:r>
            <w:r>
              <w:rPr>
                <w:sz w:val="18"/>
              </w:rPr>
              <w:t>or</w:t>
            </w:r>
            <w:r>
              <w:rPr>
                <w:spacing w:val="-6"/>
                <w:sz w:val="18"/>
              </w:rPr>
              <w:t> </w:t>
            </w:r>
            <w:r>
              <w:rPr>
                <w:sz w:val="18"/>
              </w:rPr>
              <w:t>such other date as may be communicated by the Lender to the Borrower(s) from time to time.</w:t>
            </w:r>
          </w:p>
          <w:p>
            <w:pPr>
              <w:pStyle w:val="TableParagraph"/>
              <w:numPr>
                <w:ilvl w:val="0"/>
                <w:numId w:val="9"/>
              </w:numPr>
              <w:tabs>
                <w:tab w:pos="1144" w:val="left" w:leader="none"/>
              </w:tabs>
              <w:spacing w:line="290" w:lineRule="auto" w:before="139" w:after="0"/>
              <w:ind w:left="1144" w:right="300" w:hanging="675"/>
              <w:jc w:val="left"/>
              <w:rPr>
                <w:sz w:val="18"/>
              </w:rPr>
            </w:pPr>
            <w:r>
              <w:rPr>
                <w:rFonts w:ascii="Arial"/>
                <w:b/>
                <w:sz w:val="18"/>
              </w:rPr>
              <w:t>Due</w:t>
            </w:r>
            <w:r>
              <w:rPr>
                <w:rFonts w:ascii="Arial"/>
                <w:b/>
                <w:spacing w:val="-5"/>
                <w:sz w:val="18"/>
              </w:rPr>
              <w:t> </w:t>
            </w:r>
            <w:r>
              <w:rPr>
                <w:rFonts w:ascii="Arial"/>
                <w:b/>
                <w:sz w:val="18"/>
              </w:rPr>
              <w:t>Date:</w:t>
            </w:r>
            <w:r>
              <w:rPr>
                <w:rFonts w:ascii="Arial"/>
                <w:b/>
                <w:spacing w:val="-5"/>
                <w:sz w:val="18"/>
              </w:rPr>
              <w:t> </w:t>
            </w:r>
            <w:r>
              <w:rPr>
                <w:sz w:val="18"/>
              </w:rPr>
              <w:t>{{kfsData.terms.dueDay}}</w:t>
            </w:r>
            <w:r>
              <w:rPr>
                <w:spacing w:val="40"/>
                <w:sz w:val="18"/>
              </w:rPr>
              <w:t> </w:t>
            </w:r>
            <w:r>
              <w:rPr>
                <w:sz w:val="18"/>
              </w:rPr>
              <w:t>of</w:t>
            </w:r>
            <w:r>
              <w:rPr>
                <w:spacing w:val="-5"/>
                <w:sz w:val="18"/>
              </w:rPr>
              <w:t> </w:t>
            </w:r>
            <w:r>
              <w:rPr>
                <w:sz w:val="18"/>
              </w:rPr>
              <w:t>every</w:t>
            </w:r>
            <w:r>
              <w:rPr>
                <w:spacing w:val="-5"/>
                <w:sz w:val="18"/>
              </w:rPr>
              <w:t> </w:t>
            </w:r>
            <w:r>
              <w:rPr>
                <w:sz w:val="18"/>
              </w:rPr>
              <w:t>month,</w:t>
            </w:r>
            <w:r>
              <w:rPr>
                <w:spacing w:val="-5"/>
                <w:sz w:val="18"/>
              </w:rPr>
              <w:t> </w:t>
            </w:r>
            <w:r>
              <w:rPr>
                <w:sz w:val="18"/>
              </w:rPr>
              <w:t>or</w:t>
            </w:r>
            <w:r>
              <w:rPr>
                <w:spacing w:val="-5"/>
                <w:sz w:val="18"/>
              </w:rPr>
              <w:t> </w:t>
            </w:r>
            <w:r>
              <w:rPr>
                <w:sz w:val="18"/>
              </w:rPr>
              <w:t>such other date as may be communicated by the Lender to the Borrower(s) from time to time.</w:t>
            </w:r>
          </w:p>
        </w:tc>
      </w:tr>
    </w:tbl>
    <w:p>
      <w:pPr>
        <w:pStyle w:val="TableParagraph"/>
        <w:spacing w:after="0" w:line="290" w:lineRule="auto"/>
        <w:jc w:val="left"/>
        <w:rPr>
          <w:sz w:val="18"/>
        </w:rPr>
        <w:sectPr>
          <w:pgSz w:w="12240" w:h="15840"/>
          <w:pgMar w:header="720" w:footer="785" w:top="1400" w:bottom="980" w:left="1440" w:right="720"/>
        </w:sectPr>
      </w:pPr>
    </w:p>
    <w:p>
      <w:pPr>
        <w:pStyle w:val="BodyText"/>
        <w:spacing w:before="9"/>
        <w:rPr>
          <w:rFonts w:ascii="Arial"/>
          <w:b/>
          <w:sz w:val="6"/>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4040"/>
        <w:gridCol w:w="2320"/>
      </w:tblGrid>
      <w:tr>
        <w:trPr>
          <w:trHeight w:val="1780" w:hRule="atLeast"/>
        </w:trPr>
        <w:tc>
          <w:tcPr>
            <w:tcW w:w="3480" w:type="dxa"/>
            <w:vMerge w:val="restart"/>
          </w:tcPr>
          <w:p>
            <w:pPr>
              <w:pStyle w:val="TableParagraph"/>
              <w:ind w:left="0"/>
              <w:rPr>
                <w:rFonts w:ascii="Times New Roman"/>
                <w:sz w:val="16"/>
              </w:rPr>
            </w:pPr>
          </w:p>
        </w:tc>
        <w:tc>
          <w:tcPr>
            <w:tcW w:w="6360" w:type="dxa"/>
            <w:gridSpan w:val="2"/>
          </w:tcPr>
          <w:p>
            <w:pPr>
              <w:pStyle w:val="TableParagraph"/>
              <w:tabs>
                <w:tab w:pos="1144" w:val="left" w:leader="none"/>
              </w:tabs>
              <w:spacing w:line="290" w:lineRule="auto" w:before="1"/>
              <w:ind w:left="1144" w:right="231" w:hanging="675"/>
              <w:rPr>
                <w:sz w:val="18"/>
              </w:rPr>
            </w:pPr>
            <w:r>
              <w:rPr>
                <w:spacing w:val="-4"/>
                <w:sz w:val="18"/>
              </w:rPr>
              <w:t>(v)</w:t>
            </w:r>
            <w:r>
              <w:rPr>
                <w:sz w:val="18"/>
              </w:rPr>
              <w:tab/>
            </w:r>
            <w:r>
              <w:rPr>
                <w:rFonts w:ascii="Arial"/>
                <w:b/>
                <w:sz w:val="18"/>
              </w:rPr>
              <w:t>No.</w:t>
            </w:r>
            <w:r>
              <w:rPr>
                <w:rFonts w:ascii="Arial"/>
                <w:b/>
                <w:spacing w:val="-5"/>
                <w:sz w:val="18"/>
              </w:rPr>
              <w:t> </w:t>
            </w:r>
            <w:r>
              <w:rPr>
                <w:rFonts w:ascii="Arial"/>
                <w:b/>
                <w:sz w:val="18"/>
              </w:rPr>
              <w:t>of</w:t>
            </w:r>
            <w:r>
              <w:rPr>
                <w:rFonts w:ascii="Arial"/>
                <w:b/>
                <w:spacing w:val="-5"/>
                <w:sz w:val="18"/>
              </w:rPr>
              <w:t> </w:t>
            </w:r>
            <w:r>
              <w:rPr>
                <w:rFonts w:ascii="Arial"/>
                <w:b/>
                <w:sz w:val="18"/>
              </w:rPr>
              <w:t>instalments:</w:t>
            </w:r>
            <w:r>
              <w:rPr>
                <w:rFonts w:ascii="Arial"/>
                <w:b/>
                <w:spacing w:val="-5"/>
                <w:sz w:val="18"/>
              </w:rPr>
              <w:t> </w:t>
            </w:r>
            <w:r>
              <w:rPr>
                <w:sz w:val="18"/>
              </w:rPr>
              <w:t>Such</w:t>
            </w:r>
            <w:r>
              <w:rPr>
                <w:spacing w:val="-5"/>
                <w:sz w:val="18"/>
              </w:rPr>
              <w:t> </w:t>
            </w:r>
            <w:r>
              <w:rPr>
                <w:sz w:val="18"/>
              </w:rPr>
              <w:t>number</w:t>
            </w:r>
            <w:r>
              <w:rPr>
                <w:spacing w:val="-5"/>
                <w:sz w:val="18"/>
              </w:rPr>
              <w:t> </w:t>
            </w:r>
            <w:r>
              <w:rPr>
                <w:sz w:val="18"/>
              </w:rPr>
              <w:t>of</w:t>
            </w:r>
            <w:r>
              <w:rPr>
                <w:spacing w:val="-5"/>
                <w:sz w:val="18"/>
              </w:rPr>
              <w:t> </w:t>
            </w:r>
            <w:r>
              <w:rPr>
                <w:sz w:val="18"/>
              </w:rPr>
              <w:t>instalments</w:t>
            </w:r>
            <w:r>
              <w:rPr>
                <w:spacing w:val="-5"/>
                <w:sz w:val="18"/>
              </w:rPr>
              <w:t> </w:t>
            </w:r>
            <w:r>
              <w:rPr>
                <w:sz w:val="18"/>
              </w:rPr>
              <w:t>as</w:t>
            </w:r>
            <w:r>
              <w:rPr>
                <w:spacing w:val="-5"/>
                <w:sz w:val="18"/>
              </w:rPr>
              <w:t> </w:t>
            </w:r>
            <w:r>
              <w:rPr>
                <w:sz w:val="18"/>
              </w:rPr>
              <w:t>stipulated under the Tranche Facility Key Fact Statement.</w:t>
            </w:r>
          </w:p>
          <w:p>
            <w:pPr>
              <w:pStyle w:val="TableParagraph"/>
              <w:spacing w:line="290" w:lineRule="auto" w:before="139"/>
              <w:ind w:right="99"/>
              <w:jc w:val="both"/>
              <w:rPr>
                <w:sz w:val="18"/>
              </w:rPr>
            </w:pPr>
            <w:r>
              <w:rPr>
                <w:color w:val="000000"/>
                <w:sz w:val="18"/>
                <w:highlight w:val="yellow"/>
              </w:rPr>
              <w:t>Commencement of repayment: </w:t>
            </w:r>
            <w:r>
              <w:rPr>
                <w:color w:val="000000"/>
                <w:sz w:val="18"/>
              </w:rPr>
              <w:t>{{kfsData.terms.dueDay}}</w:t>
            </w:r>
            <w:r>
              <w:rPr>
                <w:rFonts w:ascii="Times New Roman"/>
                <w:color w:val="000000"/>
                <w:sz w:val="18"/>
                <w:highlight w:val="yellow"/>
              </w:rPr>
              <w:t> </w:t>
            </w:r>
            <w:r>
              <w:rPr>
                <w:color w:val="000000"/>
                <w:sz w:val="18"/>
                <w:highlight w:val="yellow"/>
              </w:rPr>
              <w:t>day of the </w:t>
            </w:r>
            <w:r>
              <w:rPr>
                <w:color w:val="000000"/>
                <w:sz w:val="18"/>
                <w:highlight w:val="yellow"/>
              </w:rPr>
              <w:t>month</w:t>
            </w:r>
            <w:r>
              <w:rPr>
                <w:color w:val="000000"/>
                <w:sz w:val="18"/>
              </w:rPr>
              <w:t> </w:t>
            </w:r>
            <w:r>
              <w:rPr>
                <w:color w:val="000000"/>
                <w:sz w:val="18"/>
                <w:highlight w:val="yellow"/>
              </w:rPr>
              <w:t>immediately following the date</w:t>
            </w:r>
            <w:r>
              <w:rPr>
                <w:color w:val="000000"/>
                <w:spacing w:val="-5"/>
                <w:sz w:val="18"/>
                <w:highlight w:val="yellow"/>
              </w:rPr>
              <w:t> </w:t>
            </w:r>
            <w:r>
              <w:rPr>
                <w:color w:val="000000"/>
                <w:sz w:val="18"/>
                <w:highlight w:val="yellow"/>
              </w:rPr>
              <w:t>of</w:t>
            </w:r>
            <w:r>
              <w:rPr>
                <w:color w:val="000000"/>
                <w:spacing w:val="-5"/>
                <w:sz w:val="18"/>
                <w:highlight w:val="yellow"/>
              </w:rPr>
              <w:t> </w:t>
            </w:r>
            <w:r>
              <w:rPr>
                <w:color w:val="000000"/>
                <w:sz w:val="18"/>
                <w:highlight w:val="yellow"/>
              </w:rPr>
              <w:t>disbursement</w:t>
            </w:r>
            <w:r>
              <w:rPr>
                <w:color w:val="000000"/>
                <w:spacing w:val="-5"/>
                <w:sz w:val="18"/>
                <w:highlight w:val="yellow"/>
              </w:rPr>
              <w:t> </w:t>
            </w:r>
            <w:r>
              <w:rPr>
                <w:color w:val="000000"/>
                <w:sz w:val="18"/>
                <w:highlight w:val="yellow"/>
              </w:rPr>
              <w:t>of</w:t>
            </w:r>
            <w:r>
              <w:rPr>
                <w:color w:val="000000"/>
                <w:spacing w:val="-5"/>
                <w:sz w:val="18"/>
                <w:highlight w:val="yellow"/>
              </w:rPr>
              <w:t> </w:t>
            </w:r>
            <w:r>
              <w:rPr>
                <w:color w:val="000000"/>
                <w:sz w:val="18"/>
                <w:highlight w:val="yellow"/>
              </w:rPr>
              <w:t>a</w:t>
            </w:r>
            <w:r>
              <w:rPr>
                <w:color w:val="000000"/>
                <w:spacing w:val="-5"/>
                <w:sz w:val="18"/>
                <w:highlight w:val="yellow"/>
              </w:rPr>
              <w:t> </w:t>
            </w:r>
            <w:r>
              <w:rPr>
                <w:color w:val="000000"/>
                <w:sz w:val="18"/>
                <w:highlight w:val="yellow"/>
              </w:rPr>
              <w:t>Tranche</w:t>
            </w:r>
            <w:r>
              <w:rPr>
                <w:color w:val="000000"/>
                <w:spacing w:val="-5"/>
                <w:sz w:val="18"/>
                <w:highlight w:val="yellow"/>
              </w:rPr>
              <w:t> </w:t>
            </w:r>
            <w:r>
              <w:rPr>
                <w:color w:val="000000"/>
                <w:sz w:val="18"/>
                <w:highlight w:val="yellow"/>
              </w:rPr>
              <w:t>Facility,</w:t>
            </w:r>
            <w:r>
              <w:rPr>
                <w:color w:val="000000"/>
                <w:spacing w:val="-5"/>
                <w:sz w:val="18"/>
                <w:highlight w:val="yellow"/>
              </w:rPr>
              <w:t> </w:t>
            </w:r>
            <w:r>
              <w:rPr>
                <w:color w:val="000000"/>
                <w:sz w:val="18"/>
                <w:highlight w:val="yellow"/>
              </w:rPr>
              <w:t>or</w:t>
            </w:r>
            <w:r>
              <w:rPr>
                <w:color w:val="000000"/>
                <w:spacing w:val="-5"/>
                <w:sz w:val="18"/>
                <w:highlight w:val="yellow"/>
              </w:rPr>
              <w:t> </w:t>
            </w:r>
            <w:r>
              <w:rPr>
                <w:color w:val="000000"/>
                <w:sz w:val="18"/>
                <w:highlight w:val="yellow"/>
              </w:rPr>
              <w:t>such</w:t>
            </w:r>
            <w:r>
              <w:rPr>
                <w:color w:val="000000"/>
                <w:sz w:val="18"/>
              </w:rPr>
              <w:t> </w:t>
            </w:r>
            <w:r>
              <w:rPr>
                <w:color w:val="000000"/>
                <w:sz w:val="18"/>
                <w:highlight w:val="yellow"/>
              </w:rPr>
              <w:t>other date as may be communicated by the Lender to the Borrower(s)</w:t>
            </w:r>
            <w:r>
              <w:rPr>
                <w:color w:val="000000"/>
                <w:spacing w:val="-3"/>
                <w:sz w:val="18"/>
                <w:highlight w:val="yellow"/>
              </w:rPr>
              <w:t> </w:t>
            </w:r>
            <w:r>
              <w:rPr>
                <w:color w:val="000000"/>
                <w:sz w:val="18"/>
                <w:highlight w:val="yellow"/>
              </w:rPr>
              <w:t>from</w:t>
            </w:r>
            <w:r>
              <w:rPr>
                <w:color w:val="000000"/>
                <w:sz w:val="18"/>
              </w:rPr>
              <w:t> </w:t>
            </w:r>
            <w:r>
              <w:rPr>
                <w:color w:val="000000"/>
                <w:sz w:val="18"/>
                <w:highlight w:val="yellow"/>
              </w:rPr>
              <w:t>time to time.</w:t>
            </w:r>
          </w:p>
        </w:tc>
      </w:tr>
      <w:tr>
        <w:trPr>
          <w:trHeight w:val="1520" w:hRule="atLeast"/>
        </w:trPr>
        <w:tc>
          <w:tcPr>
            <w:tcW w:w="3480" w:type="dxa"/>
            <w:vMerge/>
            <w:tcBorders>
              <w:top w:val="nil"/>
            </w:tcBorders>
          </w:tcPr>
          <w:p>
            <w:pPr>
              <w:rPr>
                <w:sz w:val="2"/>
                <w:szCs w:val="2"/>
              </w:rPr>
            </w:pPr>
          </w:p>
        </w:tc>
        <w:tc>
          <w:tcPr>
            <w:tcW w:w="6360" w:type="dxa"/>
            <w:gridSpan w:val="2"/>
          </w:tcPr>
          <w:p>
            <w:pPr>
              <w:pStyle w:val="TableParagraph"/>
              <w:spacing w:line="204" w:lineRule="exact"/>
              <w:jc w:val="both"/>
              <w:rPr>
                <w:rFonts w:ascii="Arial"/>
                <w:b/>
                <w:sz w:val="18"/>
              </w:rPr>
            </w:pPr>
            <w:r>
              <w:rPr>
                <w:rFonts w:ascii="Arial"/>
                <w:b/>
                <w:sz w:val="18"/>
              </w:rPr>
              <w:t>Principal </w:t>
            </w:r>
            <w:r>
              <w:rPr>
                <w:rFonts w:ascii="Arial"/>
                <w:b/>
                <w:spacing w:val="-2"/>
                <w:sz w:val="18"/>
              </w:rPr>
              <w:t>repayment:</w:t>
            </w:r>
          </w:p>
          <w:p>
            <w:pPr>
              <w:pStyle w:val="TableParagraph"/>
              <w:spacing w:line="290" w:lineRule="auto" w:before="183"/>
              <w:ind w:right="101"/>
              <w:jc w:val="both"/>
              <w:rPr>
                <w:sz w:val="18"/>
              </w:rPr>
            </w:pPr>
            <w:r>
              <w:rPr>
                <w:sz w:val="18"/>
              </w:rPr>
              <w:t>The Outstanding Principal in relation to a</w:t>
            </w:r>
            <w:r>
              <w:rPr>
                <w:spacing w:val="-4"/>
                <w:sz w:val="18"/>
              </w:rPr>
              <w:t> </w:t>
            </w:r>
            <w:r>
              <w:rPr>
                <w:sz w:val="18"/>
              </w:rPr>
              <w:t>Tranche</w:t>
            </w:r>
            <w:r>
              <w:rPr>
                <w:spacing w:val="-4"/>
                <w:sz w:val="18"/>
              </w:rPr>
              <w:t> </w:t>
            </w:r>
            <w:r>
              <w:rPr>
                <w:sz w:val="18"/>
              </w:rPr>
              <w:t>Facility</w:t>
            </w:r>
            <w:r>
              <w:rPr>
                <w:spacing w:val="-4"/>
                <w:sz w:val="18"/>
              </w:rPr>
              <w:t> </w:t>
            </w:r>
            <w:r>
              <w:rPr>
                <w:sz w:val="18"/>
              </w:rPr>
              <w:t>shall</w:t>
            </w:r>
            <w:r>
              <w:rPr>
                <w:spacing w:val="-4"/>
                <w:sz w:val="18"/>
              </w:rPr>
              <w:t> </w:t>
            </w:r>
            <w:r>
              <w:rPr>
                <w:sz w:val="18"/>
              </w:rPr>
              <w:t>be</w:t>
            </w:r>
            <w:r>
              <w:rPr>
                <w:spacing w:val="-4"/>
                <w:sz w:val="18"/>
              </w:rPr>
              <w:t> </w:t>
            </w:r>
            <w:r>
              <w:rPr>
                <w:sz w:val="18"/>
              </w:rPr>
              <w:t>repaid</w:t>
            </w:r>
            <w:r>
              <w:rPr>
                <w:spacing w:val="-4"/>
                <w:sz w:val="18"/>
              </w:rPr>
              <w:t> </w:t>
            </w:r>
            <w:r>
              <w:rPr>
                <w:sz w:val="18"/>
              </w:rPr>
              <w:t>on the Due Dates in accordance with repayment schedule specified in the Tranche Facility KFS in relation to such Tranche Facility and</w:t>
            </w:r>
            <w:r>
              <w:rPr>
                <w:spacing w:val="-4"/>
                <w:sz w:val="18"/>
              </w:rPr>
              <w:t> </w:t>
            </w:r>
            <w:r>
              <w:rPr>
                <w:sz w:val="18"/>
              </w:rPr>
              <w:t>the</w:t>
            </w:r>
            <w:r>
              <w:rPr>
                <w:spacing w:val="-4"/>
                <w:sz w:val="18"/>
              </w:rPr>
              <w:t> </w:t>
            </w:r>
            <w:r>
              <w:rPr>
                <w:sz w:val="18"/>
              </w:rPr>
              <w:t>Drawdown Advice in relation to such Tranche Facility.</w:t>
            </w:r>
          </w:p>
        </w:tc>
      </w:tr>
      <w:tr>
        <w:trPr>
          <w:trHeight w:val="465" w:hRule="atLeast"/>
        </w:trPr>
        <w:tc>
          <w:tcPr>
            <w:tcW w:w="3480" w:type="dxa"/>
            <w:tcBorders>
              <w:bottom w:val="nil"/>
            </w:tcBorders>
          </w:tcPr>
          <w:p>
            <w:pPr>
              <w:pStyle w:val="TableParagraph"/>
              <w:spacing w:before="98"/>
              <w:ind w:left="124"/>
              <w:rPr>
                <w:rFonts w:ascii="Arial"/>
                <w:b/>
                <w:sz w:val="18"/>
              </w:rPr>
            </w:pPr>
            <w:r>
              <w:rPr>
                <w:rFonts w:ascii="Arial"/>
                <w:b/>
                <w:sz w:val="18"/>
              </w:rPr>
              <w:t>Penal </w:t>
            </w:r>
            <w:r>
              <w:rPr>
                <w:rFonts w:ascii="Arial"/>
                <w:b/>
                <w:spacing w:val="-2"/>
                <w:sz w:val="18"/>
              </w:rPr>
              <w:t>Charges</w:t>
            </w:r>
          </w:p>
        </w:tc>
        <w:tc>
          <w:tcPr>
            <w:tcW w:w="6360" w:type="dxa"/>
            <w:gridSpan w:val="2"/>
            <w:tcBorders>
              <w:bottom w:val="nil"/>
            </w:tcBorders>
          </w:tcPr>
          <w:p>
            <w:pPr>
              <w:pStyle w:val="TableParagraph"/>
              <w:spacing w:before="2"/>
              <w:rPr>
                <w:rFonts w:ascii="Arial"/>
                <w:b/>
                <w:sz w:val="18"/>
              </w:rPr>
            </w:pPr>
            <w:r>
              <w:rPr>
                <w:rFonts w:ascii="Arial"/>
                <w:b/>
                <w:sz w:val="18"/>
              </w:rPr>
              <w:t>In</w:t>
            </w:r>
            <w:r>
              <w:rPr>
                <w:rFonts w:ascii="Arial"/>
                <w:b/>
                <w:spacing w:val="60"/>
                <w:sz w:val="18"/>
              </w:rPr>
              <w:t> </w:t>
            </w:r>
            <w:r>
              <w:rPr>
                <w:rFonts w:ascii="Arial"/>
                <w:b/>
                <w:sz w:val="18"/>
              </w:rPr>
              <w:t>case</w:t>
            </w:r>
            <w:r>
              <w:rPr>
                <w:rFonts w:ascii="Arial"/>
                <w:b/>
                <w:spacing w:val="60"/>
                <w:sz w:val="18"/>
              </w:rPr>
              <w:t> </w:t>
            </w:r>
            <w:r>
              <w:rPr>
                <w:rFonts w:ascii="Arial"/>
                <w:b/>
                <w:sz w:val="18"/>
              </w:rPr>
              <w:t>of</w:t>
            </w:r>
            <w:r>
              <w:rPr>
                <w:rFonts w:ascii="Arial"/>
                <w:b/>
                <w:spacing w:val="60"/>
                <w:sz w:val="18"/>
              </w:rPr>
              <w:t> </w:t>
            </w:r>
            <w:r>
              <w:rPr>
                <w:rFonts w:ascii="Arial"/>
                <w:b/>
                <w:sz w:val="18"/>
              </w:rPr>
              <w:t>non-payment</w:t>
            </w:r>
            <w:r>
              <w:rPr>
                <w:rFonts w:ascii="Arial"/>
                <w:b/>
                <w:spacing w:val="60"/>
                <w:sz w:val="18"/>
              </w:rPr>
              <w:t> </w:t>
            </w:r>
            <w:r>
              <w:rPr>
                <w:rFonts w:ascii="Arial"/>
                <w:b/>
                <w:sz w:val="18"/>
              </w:rPr>
              <w:t>or</w:t>
            </w:r>
            <w:r>
              <w:rPr>
                <w:rFonts w:ascii="Arial"/>
                <w:b/>
                <w:spacing w:val="45"/>
                <w:sz w:val="18"/>
              </w:rPr>
              <w:t> </w:t>
            </w:r>
            <w:r>
              <w:rPr>
                <w:rFonts w:ascii="Arial"/>
                <w:b/>
                <w:sz w:val="18"/>
              </w:rPr>
              <w:t>partial</w:t>
            </w:r>
            <w:r>
              <w:rPr>
                <w:rFonts w:ascii="Arial"/>
                <w:b/>
                <w:spacing w:val="45"/>
                <w:sz w:val="18"/>
              </w:rPr>
              <w:t> </w:t>
            </w:r>
            <w:r>
              <w:rPr>
                <w:rFonts w:ascii="Arial"/>
                <w:b/>
                <w:sz w:val="18"/>
              </w:rPr>
              <w:t>payment</w:t>
            </w:r>
            <w:r>
              <w:rPr>
                <w:rFonts w:ascii="Arial"/>
                <w:b/>
                <w:spacing w:val="45"/>
                <w:sz w:val="18"/>
              </w:rPr>
              <w:t> </w:t>
            </w:r>
            <w:r>
              <w:rPr>
                <w:rFonts w:ascii="Arial"/>
                <w:b/>
                <w:sz w:val="18"/>
              </w:rPr>
              <w:t>of</w:t>
            </w:r>
            <w:r>
              <w:rPr>
                <w:rFonts w:ascii="Arial"/>
                <w:b/>
                <w:spacing w:val="45"/>
                <w:sz w:val="18"/>
              </w:rPr>
              <w:t> </w:t>
            </w:r>
            <w:r>
              <w:rPr>
                <w:rFonts w:ascii="Arial"/>
                <w:b/>
                <w:sz w:val="18"/>
              </w:rPr>
              <w:t>the</w:t>
            </w:r>
            <w:r>
              <w:rPr>
                <w:rFonts w:ascii="Arial"/>
                <w:b/>
                <w:spacing w:val="45"/>
                <w:sz w:val="18"/>
              </w:rPr>
              <w:t> </w:t>
            </w:r>
            <w:r>
              <w:rPr>
                <w:rFonts w:ascii="Arial"/>
                <w:b/>
                <w:sz w:val="18"/>
              </w:rPr>
              <w:t>outstanding</w:t>
            </w:r>
            <w:r>
              <w:rPr>
                <w:rFonts w:ascii="Arial"/>
                <w:b/>
                <w:spacing w:val="45"/>
                <w:sz w:val="18"/>
              </w:rPr>
              <w:t> </w:t>
            </w:r>
            <w:r>
              <w:rPr>
                <w:rFonts w:ascii="Arial"/>
                <w:b/>
                <w:spacing w:val="-5"/>
                <w:sz w:val="18"/>
              </w:rPr>
              <w:t>due</w:t>
            </w:r>
          </w:p>
          <w:p>
            <w:pPr>
              <w:pStyle w:val="TableParagraph"/>
              <w:spacing w:line="205" w:lineRule="exact" w:before="31"/>
              <w:rPr>
                <w:rFonts w:ascii="Arial"/>
                <w:b/>
                <w:sz w:val="18"/>
              </w:rPr>
            </w:pPr>
            <w:r>
              <w:rPr>
                <w:rFonts w:ascii="Arial"/>
                <w:b/>
                <w:sz w:val="18"/>
              </w:rPr>
              <w:t>under</w:t>
            </w:r>
            <w:r>
              <w:rPr>
                <w:rFonts w:ascii="Arial"/>
                <w:b/>
                <w:spacing w:val="14"/>
                <w:sz w:val="18"/>
              </w:rPr>
              <w:t> </w:t>
            </w:r>
            <w:r>
              <w:rPr>
                <w:rFonts w:ascii="Arial"/>
                <w:b/>
                <w:sz w:val="18"/>
              </w:rPr>
              <w:t>any</w:t>
            </w:r>
            <w:r>
              <w:rPr>
                <w:rFonts w:ascii="Arial"/>
                <w:b/>
                <w:spacing w:val="14"/>
                <w:sz w:val="18"/>
              </w:rPr>
              <w:t> </w:t>
            </w:r>
            <w:r>
              <w:rPr>
                <w:rFonts w:ascii="Arial"/>
                <w:b/>
                <w:sz w:val="18"/>
              </w:rPr>
              <w:t>Tranche</w:t>
            </w:r>
            <w:r>
              <w:rPr>
                <w:rFonts w:ascii="Arial"/>
                <w:b/>
                <w:spacing w:val="14"/>
                <w:sz w:val="18"/>
              </w:rPr>
              <w:t> </w:t>
            </w:r>
            <w:r>
              <w:rPr>
                <w:rFonts w:ascii="Arial"/>
                <w:b/>
                <w:sz w:val="18"/>
              </w:rPr>
              <w:t>Facility</w:t>
            </w:r>
            <w:r>
              <w:rPr>
                <w:rFonts w:ascii="Arial"/>
                <w:b/>
                <w:spacing w:val="14"/>
                <w:sz w:val="18"/>
              </w:rPr>
              <w:t> </w:t>
            </w:r>
            <w:r>
              <w:rPr>
                <w:rFonts w:ascii="Arial"/>
                <w:b/>
                <w:sz w:val="18"/>
              </w:rPr>
              <w:t>on</w:t>
            </w:r>
            <w:r>
              <w:rPr>
                <w:rFonts w:ascii="Arial"/>
                <w:b/>
                <w:spacing w:val="14"/>
                <w:sz w:val="18"/>
              </w:rPr>
              <w:t> </w:t>
            </w:r>
            <w:r>
              <w:rPr>
                <w:rFonts w:ascii="Arial"/>
                <w:b/>
                <w:sz w:val="18"/>
              </w:rPr>
              <w:t>the</w:t>
            </w:r>
            <w:r>
              <w:rPr>
                <w:rFonts w:ascii="Arial"/>
                <w:b/>
                <w:spacing w:val="14"/>
                <w:sz w:val="18"/>
              </w:rPr>
              <w:t> </w:t>
            </w:r>
            <w:r>
              <w:rPr>
                <w:rFonts w:ascii="Arial"/>
                <w:b/>
                <w:sz w:val="18"/>
              </w:rPr>
              <w:t>relevant</w:t>
            </w:r>
            <w:r>
              <w:rPr>
                <w:rFonts w:ascii="Arial"/>
                <w:b/>
                <w:spacing w:val="14"/>
                <w:sz w:val="18"/>
              </w:rPr>
              <w:t> </w:t>
            </w:r>
            <w:r>
              <w:rPr>
                <w:rFonts w:ascii="Arial"/>
                <w:b/>
                <w:sz w:val="18"/>
              </w:rPr>
              <w:t>Due</w:t>
            </w:r>
            <w:r>
              <w:rPr>
                <w:rFonts w:ascii="Arial"/>
                <w:b/>
                <w:spacing w:val="14"/>
                <w:sz w:val="18"/>
              </w:rPr>
              <w:t> </w:t>
            </w:r>
            <w:r>
              <w:rPr>
                <w:rFonts w:ascii="Arial"/>
                <w:b/>
                <w:sz w:val="18"/>
              </w:rPr>
              <w:t>Date,</w:t>
            </w:r>
            <w:r>
              <w:rPr>
                <w:rFonts w:ascii="Arial"/>
                <w:b/>
                <w:spacing w:val="14"/>
                <w:sz w:val="18"/>
              </w:rPr>
              <w:t> </w:t>
            </w:r>
            <w:r>
              <w:rPr>
                <w:rFonts w:ascii="Arial"/>
                <w:b/>
                <w:sz w:val="18"/>
              </w:rPr>
              <w:t>penal</w:t>
            </w:r>
            <w:r>
              <w:rPr>
                <w:rFonts w:ascii="Arial"/>
                <w:b/>
                <w:spacing w:val="-1"/>
                <w:sz w:val="18"/>
              </w:rPr>
              <w:t> </w:t>
            </w:r>
            <w:r>
              <w:rPr>
                <w:rFonts w:ascii="Arial"/>
                <w:b/>
                <w:sz w:val="18"/>
              </w:rPr>
              <w:t>charges </w:t>
            </w:r>
            <w:r>
              <w:rPr>
                <w:rFonts w:ascii="Arial"/>
                <w:b/>
                <w:spacing w:val="-5"/>
                <w:sz w:val="18"/>
              </w:rPr>
              <w:t>as</w:t>
            </w:r>
          </w:p>
        </w:tc>
      </w:tr>
      <w:tr>
        <w:trPr>
          <w:trHeight w:val="23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2"/>
              <w:rPr>
                <w:rFonts w:ascii="Arial"/>
                <w:b/>
                <w:sz w:val="18"/>
              </w:rPr>
            </w:pPr>
            <w:r>
              <w:rPr>
                <w:rFonts w:ascii="Arial"/>
                <w:b/>
                <w:sz w:val="18"/>
              </w:rPr>
              <w:t>set</w:t>
            </w:r>
            <w:r>
              <w:rPr>
                <w:rFonts w:ascii="Arial"/>
                <w:b/>
                <w:spacing w:val="43"/>
                <w:sz w:val="18"/>
              </w:rPr>
              <w:t> </w:t>
            </w:r>
            <w:r>
              <w:rPr>
                <w:rFonts w:ascii="Arial"/>
                <w:b/>
                <w:sz w:val="18"/>
              </w:rPr>
              <w:t>out</w:t>
            </w:r>
            <w:r>
              <w:rPr>
                <w:rFonts w:ascii="Arial"/>
                <w:b/>
                <w:spacing w:val="45"/>
                <w:sz w:val="18"/>
              </w:rPr>
              <w:t> </w:t>
            </w:r>
            <w:r>
              <w:rPr>
                <w:rFonts w:ascii="Arial"/>
                <w:b/>
                <w:sz w:val="18"/>
              </w:rPr>
              <w:t>in</w:t>
            </w:r>
            <w:r>
              <w:rPr>
                <w:rFonts w:ascii="Arial"/>
                <w:b/>
                <w:spacing w:val="30"/>
                <w:sz w:val="18"/>
              </w:rPr>
              <w:t> </w:t>
            </w:r>
            <w:r>
              <w:rPr>
                <w:rFonts w:ascii="Arial"/>
                <w:b/>
                <w:sz w:val="18"/>
              </w:rPr>
              <w:t>the</w:t>
            </w:r>
            <w:r>
              <w:rPr>
                <w:rFonts w:ascii="Arial"/>
                <w:b/>
                <w:spacing w:val="30"/>
                <w:sz w:val="18"/>
              </w:rPr>
              <w:t> </w:t>
            </w:r>
            <w:r>
              <w:rPr>
                <w:rFonts w:ascii="Arial"/>
                <w:b/>
                <w:sz w:val="18"/>
              </w:rPr>
              <w:t>table</w:t>
            </w:r>
            <w:r>
              <w:rPr>
                <w:rFonts w:ascii="Arial"/>
                <w:b/>
                <w:spacing w:val="30"/>
                <w:sz w:val="18"/>
              </w:rPr>
              <w:t> </w:t>
            </w:r>
            <w:r>
              <w:rPr>
                <w:rFonts w:ascii="Arial"/>
                <w:b/>
                <w:sz w:val="18"/>
              </w:rPr>
              <w:t>below</w:t>
            </w:r>
            <w:r>
              <w:rPr>
                <w:rFonts w:ascii="Arial"/>
                <w:b/>
                <w:spacing w:val="30"/>
                <w:sz w:val="18"/>
              </w:rPr>
              <w:t> </w:t>
            </w:r>
            <w:r>
              <w:rPr>
                <w:rFonts w:ascii="Arial"/>
                <w:b/>
                <w:sz w:val="18"/>
              </w:rPr>
              <w:t>and</w:t>
            </w:r>
            <w:r>
              <w:rPr>
                <w:rFonts w:ascii="Arial"/>
                <w:b/>
                <w:spacing w:val="30"/>
                <w:sz w:val="18"/>
              </w:rPr>
              <w:t> </w:t>
            </w:r>
            <w:r>
              <w:rPr>
                <w:rFonts w:ascii="Arial"/>
                <w:b/>
                <w:sz w:val="18"/>
              </w:rPr>
              <w:t>as</w:t>
            </w:r>
            <w:r>
              <w:rPr>
                <w:rFonts w:ascii="Arial"/>
                <w:b/>
                <w:spacing w:val="30"/>
                <w:sz w:val="18"/>
              </w:rPr>
              <w:t> </w:t>
            </w:r>
            <w:r>
              <w:rPr>
                <w:rFonts w:ascii="Arial"/>
                <w:b/>
                <w:sz w:val="18"/>
              </w:rPr>
              <w:t>mentioned</w:t>
            </w:r>
            <w:r>
              <w:rPr>
                <w:rFonts w:ascii="Arial"/>
                <w:b/>
                <w:spacing w:val="30"/>
                <w:sz w:val="18"/>
              </w:rPr>
              <w:t> </w:t>
            </w:r>
            <w:r>
              <w:rPr>
                <w:rFonts w:ascii="Arial"/>
                <w:b/>
                <w:sz w:val="18"/>
              </w:rPr>
              <w:t>in</w:t>
            </w:r>
            <w:r>
              <w:rPr>
                <w:rFonts w:ascii="Arial"/>
                <w:b/>
                <w:spacing w:val="30"/>
                <w:sz w:val="18"/>
              </w:rPr>
              <w:t> </w:t>
            </w:r>
            <w:r>
              <w:rPr>
                <w:rFonts w:ascii="Arial"/>
                <w:b/>
                <w:sz w:val="18"/>
              </w:rPr>
              <w:t>the</w:t>
            </w:r>
            <w:r>
              <w:rPr>
                <w:rFonts w:ascii="Arial"/>
                <w:b/>
                <w:spacing w:val="30"/>
                <w:sz w:val="18"/>
              </w:rPr>
              <w:t> </w:t>
            </w:r>
            <w:r>
              <w:rPr>
                <w:rFonts w:ascii="Arial"/>
                <w:b/>
                <w:sz w:val="18"/>
              </w:rPr>
              <w:t>relevant</w:t>
            </w:r>
            <w:r>
              <w:rPr>
                <w:rFonts w:ascii="Arial"/>
                <w:b/>
                <w:spacing w:val="30"/>
                <w:sz w:val="18"/>
              </w:rPr>
              <w:t> </w:t>
            </w:r>
            <w:r>
              <w:rPr>
                <w:rFonts w:ascii="Arial"/>
                <w:b/>
                <w:spacing w:val="-2"/>
                <w:sz w:val="18"/>
              </w:rPr>
              <w:t>Tranche</w:t>
            </w:r>
          </w:p>
        </w:tc>
      </w:tr>
      <w:tr>
        <w:trPr>
          <w:trHeight w:val="23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2"/>
              <w:rPr>
                <w:rFonts w:ascii="Arial"/>
                <w:b/>
                <w:sz w:val="18"/>
              </w:rPr>
            </w:pPr>
            <w:r>
              <w:rPr>
                <w:rFonts w:ascii="Arial"/>
                <w:b/>
                <w:sz w:val="18"/>
              </w:rPr>
              <w:t>Facility</w:t>
            </w:r>
            <w:r>
              <w:rPr>
                <w:rFonts w:ascii="Arial"/>
                <w:b/>
                <w:spacing w:val="34"/>
                <w:sz w:val="18"/>
              </w:rPr>
              <w:t>  </w:t>
            </w:r>
            <w:r>
              <w:rPr>
                <w:rFonts w:ascii="Arial"/>
                <w:b/>
                <w:sz w:val="18"/>
              </w:rPr>
              <w:t>KFS</w:t>
            </w:r>
            <w:r>
              <w:rPr>
                <w:rFonts w:ascii="Arial"/>
                <w:b/>
                <w:spacing w:val="35"/>
                <w:sz w:val="18"/>
              </w:rPr>
              <w:t>  </w:t>
            </w:r>
            <w:r>
              <w:rPr>
                <w:rFonts w:ascii="Arial"/>
                <w:b/>
                <w:sz w:val="18"/>
              </w:rPr>
              <w:t>plus</w:t>
            </w:r>
            <w:r>
              <w:rPr>
                <w:rFonts w:ascii="Arial"/>
                <w:b/>
                <w:spacing w:val="34"/>
                <w:sz w:val="18"/>
              </w:rPr>
              <w:t>  </w:t>
            </w:r>
            <w:r>
              <w:rPr>
                <w:rFonts w:ascii="Arial"/>
                <w:b/>
                <w:sz w:val="18"/>
              </w:rPr>
              <w:t>applicable</w:t>
            </w:r>
            <w:r>
              <w:rPr>
                <w:rFonts w:ascii="Arial"/>
                <w:b/>
                <w:spacing w:val="34"/>
                <w:sz w:val="18"/>
              </w:rPr>
              <w:t>  </w:t>
            </w:r>
            <w:r>
              <w:rPr>
                <w:rFonts w:ascii="Arial"/>
                <w:b/>
                <w:sz w:val="18"/>
              </w:rPr>
              <w:t>taxes</w:t>
            </w:r>
            <w:r>
              <w:rPr>
                <w:rFonts w:ascii="Arial"/>
                <w:b/>
                <w:spacing w:val="35"/>
                <w:sz w:val="18"/>
              </w:rPr>
              <w:t>  </w:t>
            </w:r>
            <w:r>
              <w:rPr>
                <w:rFonts w:ascii="Arial"/>
                <w:b/>
                <w:sz w:val="18"/>
              </w:rPr>
              <w:t>may</w:t>
            </w:r>
            <w:r>
              <w:rPr>
                <w:rFonts w:ascii="Arial"/>
                <w:b/>
                <w:spacing w:val="34"/>
                <w:sz w:val="18"/>
              </w:rPr>
              <w:t>  </w:t>
            </w:r>
            <w:r>
              <w:rPr>
                <w:rFonts w:ascii="Arial"/>
                <w:b/>
                <w:sz w:val="18"/>
              </w:rPr>
              <w:t>be</w:t>
            </w:r>
            <w:r>
              <w:rPr>
                <w:rFonts w:ascii="Arial"/>
                <w:b/>
                <w:spacing w:val="35"/>
                <w:sz w:val="18"/>
              </w:rPr>
              <w:t>  </w:t>
            </w:r>
            <w:r>
              <w:rPr>
                <w:rFonts w:ascii="Arial"/>
                <w:b/>
                <w:sz w:val="18"/>
              </w:rPr>
              <w:t>charged</w:t>
            </w:r>
            <w:r>
              <w:rPr>
                <w:rFonts w:ascii="Arial"/>
                <w:b/>
                <w:spacing w:val="34"/>
                <w:sz w:val="18"/>
              </w:rPr>
              <w:t>  </w:t>
            </w:r>
            <w:r>
              <w:rPr>
                <w:rFonts w:ascii="Arial"/>
                <w:b/>
                <w:sz w:val="18"/>
              </w:rPr>
              <w:t>on</w:t>
            </w:r>
            <w:r>
              <w:rPr>
                <w:rFonts w:ascii="Arial"/>
                <w:b/>
                <w:spacing w:val="35"/>
                <w:sz w:val="18"/>
              </w:rPr>
              <w:t>  </w:t>
            </w:r>
            <w:r>
              <w:rPr>
                <w:rFonts w:ascii="Arial"/>
                <w:b/>
                <w:spacing w:val="-4"/>
                <w:sz w:val="18"/>
              </w:rPr>
              <w:t>such</w:t>
            </w:r>
          </w:p>
        </w:tc>
      </w:tr>
      <w:tr>
        <w:trPr>
          <w:trHeight w:val="30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before="12"/>
              <w:rPr>
                <w:rFonts w:ascii="Arial"/>
                <w:b/>
                <w:sz w:val="18"/>
              </w:rPr>
            </w:pPr>
            <w:r>
              <w:rPr>
                <w:rFonts w:ascii="Arial"/>
                <w:b/>
                <w:sz w:val="18"/>
              </w:rPr>
              <w:t>outstanding</w:t>
            </w:r>
            <w:r>
              <w:rPr>
                <w:rFonts w:ascii="Arial"/>
                <w:b/>
                <w:spacing w:val="-2"/>
                <w:sz w:val="18"/>
              </w:rPr>
              <w:t> </w:t>
            </w:r>
            <w:r>
              <w:rPr>
                <w:rFonts w:ascii="Arial"/>
                <w:b/>
                <w:sz w:val="18"/>
              </w:rPr>
              <w:t>due</w:t>
            </w:r>
            <w:r>
              <w:rPr>
                <w:rFonts w:ascii="Arial"/>
                <w:b/>
                <w:spacing w:val="-2"/>
                <w:sz w:val="18"/>
              </w:rPr>
              <w:t> </w:t>
            </w:r>
            <w:r>
              <w:rPr>
                <w:rFonts w:ascii="Arial"/>
                <w:b/>
                <w:sz w:val="18"/>
              </w:rPr>
              <w:t>under</w:t>
            </w:r>
            <w:r>
              <w:rPr>
                <w:rFonts w:ascii="Arial"/>
                <w:b/>
                <w:spacing w:val="-2"/>
                <w:sz w:val="18"/>
              </w:rPr>
              <w:t> </w:t>
            </w:r>
            <w:r>
              <w:rPr>
                <w:rFonts w:ascii="Arial"/>
                <w:b/>
                <w:sz w:val="18"/>
              </w:rPr>
              <w:t>such</w:t>
            </w:r>
            <w:r>
              <w:rPr>
                <w:rFonts w:ascii="Arial"/>
                <w:b/>
                <w:spacing w:val="-2"/>
                <w:sz w:val="18"/>
              </w:rPr>
              <w:t> </w:t>
            </w:r>
            <w:r>
              <w:rPr>
                <w:rFonts w:ascii="Arial"/>
                <w:b/>
                <w:sz w:val="18"/>
              </w:rPr>
              <w:t>Tranche</w:t>
            </w:r>
            <w:r>
              <w:rPr>
                <w:rFonts w:ascii="Arial"/>
                <w:b/>
                <w:spacing w:val="-2"/>
                <w:sz w:val="18"/>
              </w:rPr>
              <w:t> Facility.</w:t>
            </w:r>
          </w:p>
        </w:tc>
      </w:tr>
      <w:tr>
        <w:trPr>
          <w:trHeight w:val="30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82"/>
              <w:rPr>
                <w:rFonts w:ascii="Arial"/>
                <w:b/>
                <w:sz w:val="18"/>
              </w:rPr>
            </w:pPr>
            <w:r>
              <w:rPr>
                <w:rFonts w:ascii="Arial"/>
                <w:b/>
                <w:sz w:val="18"/>
              </w:rPr>
              <w:t>For</w:t>
            </w:r>
            <w:r>
              <w:rPr>
                <w:rFonts w:ascii="Arial"/>
                <w:b/>
                <w:spacing w:val="15"/>
                <w:sz w:val="18"/>
              </w:rPr>
              <w:t> </w:t>
            </w:r>
            <w:r>
              <w:rPr>
                <w:rFonts w:ascii="Arial"/>
                <w:b/>
                <w:sz w:val="18"/>
              </w:rPr>
              <w:t>the</w:t>
            </w:r>
            <w:r>
              <w:rPr>
                <w:rFonts w:ascii="Arial"/>
                <w:b/>
                <w:spacing w:val="15"/>
                <w:sz w:val="18"/>
              </w:rPr>
              <w:t> </w:t>
            </w:r>
            <w:r>
              <w:rPr>
                <w:rFonts w:ascii="Arial"/>
                <w:b/>
                <w:sz w:val="18"/>
              </w:rPr>
              <w:t>purposes</w:t>
            </w:r>
            <w:r>
              <w:rPr>
                <w:rFonts w:ascii="Arial"/>
                <w:b/>
                <w:spacing w:val="15"/>
                <w:sz w:val="18"/>
              </w:rPr>
              <w:t> </w:t>
            </w:r>
            <w:r>
              <w:rPr>
                <w:rFonts w:ascii="Arial"/>
                <w:b/>
                <w:sz w:val="18"/>
              </w:rPr>
              <w:t>of</w:t>
            </w:r>
            <w:r>
              <w:rPr>
                <w:rFonts w:ascii="Arial"/>
                <w:b/>
                <w:spacing w:val="15"/>
                <w:sz w:val="18"/>
              </w:rPr>
              <w:t> </w:t>
            </w:r>
            <w:r>
              <w:rPr>
                <w:rFonts w:ascii="Arial"/>
                <w:b/>
                <w:sz w:val="18"/>
              </w:rPr>
              <w:t>calculation</w:t>
            </w:r>
            <w:r>
              <w:rPr>
                <w:rFonts w:ascii="Arial"/>
                <w:b/>
                <w:spacing w:val="15"/>
                <w:sz w:val="18"/>
              </w:rPr>
              <w:t> </w:t>
            </w:r>
            <w:r>
              <w:rPr>
                <w:rFonts w:ascii="Arial"/>
                <w:b/>
                <w:sz w:val="18"/>
              </w:rPr>
              <w:t>of</w:t>
            </w:r>
            <w:r>
              <w:rPr>
                <w:rFonts w:ascii="Arial"/>
                <w:b/>
                <w:spacing w:val="15"/>
                <w:sz w:val="18"/>
              </w:rPr>
              <w:t> </w:t>
            </w:r>
            <w:r>
              <w:rPr>
                <w:rFonts w:ascii="Arial"/>
                <w:b/>
                <w:sz w:val="18"/>
              </w:rPr>
              <w:t>penal</w:t>
            </w:r>
            <w:r>
              <w:rPr>
                <w:rFonts w:ascii="Arial"/>
                <w:b/>
                <w:spacing w:val="15"/>
                <w:sz w:val="18"/>
              </w:rPr>
              <w:t> </w:t>
            </w:r>
            <w:r>
              <w:rPr>
                <w:rFonts w:ascii="Arial"/>
                <w:b/>
                <w:sz w:val="18"/>
              </w:rPr>
              <w:t>charges,</w:t>
            </w:r>
            <w:r>
              <w:rPr>
                <w:rFonts w:ascii="Arial"/>
                <w:b/>
                <w:spacing w:val="15"/>
                <w:sz w:val="18"/>
              </w:rPr>
              <w:t> </w:t>
            </w:r>
            <w:r>
              <w:rPr>
                <w:rFonts w:ascii="Arial"/>
                <w:b/>
                <w:sz w:val="18"/>
              </w:rPr>
              <w:t>the</w:t>
            </w:r>
            <w:r>
              <w:rPr>
                <w:rFonts w:ascii="Arial"/>
                <w:b/>
                <w:spacing w:val="15"/>
                <w:sz w:val="18"/>
              </w:rPr>
              <w:t> </w:t>
            </w:r>
            <w:r>
              <w:rPr>
                <w:rFonts w:ascii="Arial"/>
                <w:b/>
                <w:sz w:val="18"/>
              </w:rPr>
              <w:t>outstanding</w:t>
            </w:r>
            <w:r>
              <w:rPr>
                <w:rFonts w:ascii="Arial"/>
                <w:b/>
                <w:spacing w:val="15"/>
                <w:sz w:val="18"/>
              </w:rPr>
              <w:t> </w:t>
            </w:r>
            <w:r>
              <w:rPr>
                <w:rFonts w:ascii="Arial"/>
                <w:b/>
                <w:spacing w:val="-5"/>
                <w:sz w:val="18"/>
              </w:rPr>
              <w:t>due</w:t>
            </w:r>
          </w:p>
        </w:tc>
      </w:tr>
      <w:tr>
        <w:trPr>
          <w:trHeight w:val="382"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tcBorders>
          </w:tcPr>
          <w:p>
            <w:pPr>
              <w:pStyle w:val="TableParagraph"/>
              <w:spacing w:before="12"/>
              <w:rPr>
                <w:rFonts w:ascii="Arial"/>
                <w:b/>
                <w:sz w:val="18"/>
              </w:rPr>
            </w:pPr>
            <w:r>
              <w:rPr>
                <w:rFonts w:ascii="Arial"/>
                <w:b/>
                <w:sz w:val="18"/>
              </w:rPr>
              <w:t>shall exclude any penal charges due or </w:t>
            </w:r>
            <w:r>
              <w:rPr>
                <w:rFonts w:ascii="Arial"/>
                <w:b/>
                <w:spacing w:val="-2"/>
                <w:sz w:val="18"/>
              </w:rPr>
              <w:t>payable.</w:t>
            </w:r>
          </w:p>
        </w:tc>
      </w:tr>
      <w:tr>
        <w:trPr>
          <w:trHeight w:val="840"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line="276" w:lineRule="auto" w:before="3"/>
              <w:ind w:right="103"/>
              <w:jc w:val="both"/>
              <w:rPr>
                <w:rFonts w:ascii="Arial"/>
                <w:b/>
                <w:sz w:val="18"/>
              </w:rPr>
            </w:pPr>
            <w:r>
              <w:rPr>
                <w:rFonts w:ascii="Arial"/>
                <w:b/>
                <w:sz w:val="18"/>
              </w:rPr>
              <w:t>Amount of outstanding due under </w:t>
            </w:r>
            <w:r>
              <w:rPr>
                <w:rFonts w:ascii="Arial"/>
                <w:b/>
                <w:sz w:val="18"/>
              </w:rPr>
              <w:t>the Tranche Facility that continues to remain unpaid at the end of each day</w:t>
            </w:r>
          </w:p>
        </w:tc>
        <w:tc>
          <w:tcPr>
            <w:tcW w:w="2320" w:type="dxa"/>
          </w:tcPr>
          <w:p>
            <w:pPr>
              <w:pStyle w:val="TableParagraph"/>
              <w:spacing w:line="276" w:lineRule="auto" w:before="3"/>
              <w:ind w:left="119" w:right="102"/>
              <w:jc w:val="both"/>
              <w:rPr>
                <w:rFonts w:ascii="Arial"/>
                <w:b/>
                <w:sz w:val="18"/>
              </w:rPr>
            </w:pPr>
            <w:r>
              <w:rPr>
                <w:rFonts w:ascii="Arial"/>
                <w:b/>
                <w:sz w:val="18"/>
              </w:rPr>
              <w:t>Penal charges (to </w:t>
            </w:r>
            <w:r>
              <w:rPr>
                <w:rFonts w:ascii="Arial"/>
                <w:b/>
                <w:sz w:val="18"/>
              </w:rPr>
              <w:t>be calculated on a daily basis)(excl. of GST)</w:t>
            </w:r>
          </w:p>
        </w:tc>
      </w:tr>
      <w:tr>
        <w:trPr>
          <w:trHeight w:val="379"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12"/>
              <w:rPr>
                <w:rFonts w:ascii="Arial" w:hAnsi="Arial"/>
                <w:b/>
                <w:sz w:val="18"/>
              </w:rPr>
            </w:pPr>
            <w:r>
              <w:rPr>
                <w:rFonts w:ascii="Arial" w:hAnsi="Arial"/>
                <w:b/>
                <w:sz w:val="18"/>
              </w:rPr>
              <w:t>Up to </w:t>
            </w:r>
            <w:r>
              <w:rPr>
                <w:rFonts w:ascii="Arial" w:hAnsi="Arial"/>
                <w:b/>
                <w:spacing w:val="-2"/>
                <w:sz w:val="18"/>
              </w:rPr>
              <w:t>₹25,000</w:t>
            </w:r>
          </w:p>
        </w:tc>
        <w:tc>
          <w:tcPr>
            <w:tcW w:w="2320" w:type="dxa"/>
          </w:tcPr>
          <w:p>
            <w:pPr>
              <w:pStyle w:val="TableParagraph"/>
              <w:spacing w:before="12"/>
              <w:ind w:left="119"/>
              <w:rPr>
                <w:rFonts w:ascii="Arial" w:hAnsi="Arial"/>
                <w:b/>
                <w:sz w:val="18"/>
              </w:rPr>
            </w:pPr>
            <w:r>
              <w:rPr>
                <w:rFonts w:ascii="Arial" w:hAnsi="Arial"/>
                <w:b/>
                <w:spacing w:val="-5"/>
                <w:sz w:val="18"/>
              </w:rPr>
              <w:t>₹10</w:t>
            </w:r>
          </w:p>
        </w:tc>
      </w:tr>
      <w:tr>
        <w:trPr>
          <w:trHeight w:val="380"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5"/>
              <w:rPr>
                <w:rFonts w:ascii="Arial" w:hAnsi="Arial"/>
                <w:b/>
                <w:sz w:val="18"/>
              </w:rPr>
            </w:pPr>
            <w:r>
              <w:rPr>
                <w:rFonts w:ascii="Arial" w:hAnsi="Arial"/>
                <w:b/>
                <w:sz w:val="18"/>
              </w:rPr>
              <w:t>₹25,001 - </w:t>
            </w:r>
            <w:r>
              <w:rPr>
                <w:rFonts w:ascii="Arial" w:hAnsi="Arial"/>
                <w:b/>
                <w:spacing w:val="-2"/>
                <w:sz w:val="18"/>
              </w:rPr>
              <w:t>₹50,000</w:t>
            </w:r>
          </w:p>
        </w:tc>
        <w:tc>
          <w:tcPr>
            <w:tcW w:w="2320" w:type="dxa"/>
          </w:tcPr>
          <w:p>
            <w:pPr>
              <w:pStyle w:val="TableParagraph"/>
              <w:spacing w:before="5"/>
              <w:ind w:left="119"/>
              <w:rPr>
                <w:rFonts w:ascii="Arial" w:hAnsi="Arial"/>
                <w:b/>
                <w:sz w:val="18"/>
              </w:rPr>
            </w:pPr>
            <w:r>
              <w:rPr>
                <w:rFonts w:ascii="Arial" w:hAnsi="Arial"/>
                <w:b/>
                <w:spacing w:val="-5"/>
                <w:sz w:val="18"/>
              </w:rPr>
              <w:t>₹25</w:t>
            </w:r>
          </w:p>
        </w:tc>
      </w:tr>
      <w:tr>
        <w:trPr>
          <w:trHeight w:val="359"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line="205" w:lineRule="exact"/>
              <w:rPr>
                <w:rFonts w:ascii="Arial" w:hAnsi="Arial"/>
                <w:b/>
                <w:sz w:val="18"/>
              </w:rPr>
            </w:pPr>
            <w:r>
              <w:rPr>
                <w:rFonts w:ascii="Arial" w:hAnsi="Arial"/>
                <w:b/>
                <w:sz w:val="18"/>
              </w:rPr>
              <w:t>₹50,001 - </w:t>
            </w:r>
            <w:r>
              <w:rPr>
                <w:rFonts w:ascii="Arial" w:hAnsi="Arial"/>
                <w:b/>
                <w:spacing w:val="-2"/>
                <w:sz w:val="18"/>
              </w:rPr>
              <w:t>₹1,00,000</w:t>
            </w:r>
          </w:p>
        </w:tc>
        <w:tc>
          <w:tcPr>
            <w:tcW w:w="2320" w:type="dxa"/>
          </w:tcPr>
          <w:p>
            <w:pPr>
              <w:pStyle w:val="TableParagraph"/>
              <w:spacing w:line="205" w:lineRule="exact"/>
              <w:ind w:left="119"/>
              <w:rPr>
                <w:rFonts w:ascii="Arial" w:hAnsi="Arial"/>
                <w:b/>
                <w:sz w:val="18"/>
              </w:rPr>
            </w:pPr>
            <w:r>
              <w:rPr>
                <w:rFonts w:ascii="Arial" w:hAnsi="Arial"/>
                <w:b/>
                <w:spacing w:val="-5"/>
                <w:sz w:val="18"/>
              </w:rPr>
              <w:t>₹50</w:t>
            </w:r>
          </w:p>
        </w:tc>
      </w:tr>
      <w:tr>
        <w:trPr>
          <w:trHeight w:val="379"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11"/>
              <w:rPr>
                <w:rFonts w:ascii="Arial" w:hAnsi="Arial"/>
                <w:b/>
                <w:sz w:val="18"/>
              </w:rPr>
            </w:pPr>
            <w:r>
              <w:rPr>
                <w:rFonts w:ascii="Arial" w:hAnsi="Arial"/>
                <w:b/>
                <w:sz w:val="18"/>
              </w:rPr>
              <w:t>₹1,00,001 - </w:t>
            </w:r>
            <w:r>
              <w:rPr>
                <w:rFonts w:ascii="Arial" w:hAnsi="Arial"/>
                <w:b/>
                <w:spacing w:val="-2"/>
                <w:sz w:val="18"/>
              </w:rPr>
              <w:t>₹2,50,000</w:t>
            </w:r>
          </w:p>
        </w:tc>
        <w:tc>
          <w:tcPr>
            <w:tcW w:w="2320" w:type="dxa"/>
          </w:tcPr>
          <w:p>
            <w:pPr>
              <w:pStyle w:val="TableParagraph"/>
              <w:spacing w:before="11"/>
              <w:ind w:left="119"/>
              <w:rPr>
                <w:rFonts w:ascii="Arial" w:hAnsi="Arial"/>
                <w:b/>
                <w:sz w:val="18"/>
              </w:rPr>
            </w:pPr>
            <w:r>
              <w:rPr>
                <w:rFonts w:ascii="Arial" w:hAnsi="Arial"/>
                <w:b/>
                <w:spacing w:val="-4"/>
                <w:sz w:val="18"/>
              </w:rPr>
              <w:t>₹100</w:t>
            </w:r>
          </w:p>
        </w:tc>
      </w:tr>
      <w:tr>
        <w:trPr>
          <w:trHeight w:val="380"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4"/>
              <w:rPr>
                <w:rFonts w:ascii="Arial" w:hAnsi="Arial"/>
                <w:b/>
                <w:sz w:val="18"/>
              </w:rPr>
            </w:pPr>
            <w:r>
              <w:rPr>
                <w:rFonts w:ascii="Arial" w:hAnsi="Arial"/>
                <w:b/>
                <w:sz w:val="18"/>
              </w:rPr>
              <w:t>₹2,50,001 - </w:t>
            </w:r>
            <w:r>
              <w:rPr>
                <w:rFonts w:ascii="Arial" w:hAnsi="Arial"/>
                <w:b/>
                <w:spacing w:val="-2"/>
                <w:sz w:val="18"/>
              </w:rPr>
              <w:t>₹5,00,000</w:t>
            </w:r>
          </w:p>
        </w:tc>
        <w:tc>
          <w:tcPr>
            <w:tcW w:w="2320" w:type="dxa"/>
          </w:tcPr>
          <w:p>
            <w:pPr>
              <w:pStyle w:val="TableParagraph"/>
              <w:spacing w:before="4"/>
              <w:ind w:left="119"/>
              <w:rPr>
                <w:rFonts w:ascii="Arial" w:hAnsi="Arial"/>
                <w:b/>
                <w:sz w:val="18"/>
              </w:rPr>
            </w:pPr>
            <w:r>
              <w:rPr>
                <w:rFonts w:ascii="Arial" w:hAnsi="Arial"/>
                <w:b/>
                <w:spacing w:val="-4"/>
                <w:sz w:val="18"/>
              </w:rPr>
              <w:t>₹250</w:t>
            </w:r>
          </w:p>
        </w:tc>
      </w:tr>
      <w:tr>
        <w:trPr>
          <w:trHeight w:val="359"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line="204" w:lineRule="exact"/>
              <w:rPr>
                <w:rFonts w:ascii="Arial" w:hAnsi="Arial"/>
                <w:b/>
                <w:sz w:val="18"/>
              </w:rPr>
            </w:pPr>
            <w:r>
              <w:rPr>
                <w:rFonts w:ascii="Arial" w:hAnsi="Arial"/>
                <w:b/>
                <w:sz w:val="18"/>
              </w:rPr>
              <w:t>₹5,00,001 - </w:t>
            </w:r>
            <w:r>
              <w:rPr>
                <w:rFonts w:ascii="Arial" w:hAnsi="Arial"/>
                <w:b/>
                <w:spacing w:val="-2"/>
                <w:sz w:val="18"/>
              </w:rPr>
              <w:t>₹10,00,000</w:t>
            </w:r>
          </w:p>
        </w:tc>
        <w:tc>
          <w:tcPr>
            <w:tcW w:w="2320" w:type="dxa"/>
          </w:tcPr>
          <w:p>
            <w:pPr>
              <w:pStyle w:val="TableParagraph"/>
              <w:spacing w:line="204" w:lineRule="exact"/>
              <w:ind w:left="119"/>
              <w:rPr>
                <w:rFonts w:ascii="Arial" w:hAnsi="Arial"/>
                <w:b/>
                <w:sz w:val="18"/>
              </w:rPr>
            </w:pPr>
            <w:r>
              <w:rPr>
                <w:rFonts w:ascii="Arial" w:hAnsi="Arial"/>
                <w:b/>
                <w:spacing w:val="-4"/>
                <w:sz w:val="18"/>
              </w:rPr>
              <w:t>₹500</w:t>
            </w:r>
          </w:p>
        </w:tc>
      </w:tr>
      <w:tr>
        <w:trPr>
          <w:trHeight w:val="380"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10"/>
              <w:rPr>
                <w:rFonts w:ascii="Arial" w:hAnsi="Arial"/>
                <w:b/>
                <w:sz w:val="18"/>
              </w:rPr>
            </w:pPr>
            <w:r>
              <w:rPr>
                <w:rFonts w:ascii="Arial" w:hAnsi="Arial"/>
                <w:b/>
                <w:sz w:val="18"/>
              </w:rPr>
              <w:t>₹10,00,001 - </w:t>
            </w:r>
            <w:r>
              <w:rPr>
                <w:rFonts w:ascii="Arial" w:hAnsi="Arial"/>
                <w:b/>
                <w:spacing w:val="-2"/>
                <w:sz w:val="18"/>
              </w:rPr>
              <w:t>₹25,00,000</w:t>
            </w:r>
          </w:p>
        </w:tc>
        <w:tc>
          <w:tcPr>
            <w:tcW w:w="2320" w:type="dxa"/>
          </w:tcPr>
          <w:p>
            <w:pPr>
              <w:pStyle w:val="TableParagraph"/>
              <w:spacing w:before="10"/>
              <w:ind w:left="119"/>
              <w:rPr>
                <w:rFonts w:ascii="Arial" w:hAnsi="Arial"/>
                <w:b/>
                <w:sz w:val="18"/>
              </w:rPr>
            </w:pPr>
            <w:r>
              <w:rPr>
                <w:rFonts w:ascii="Arial" w:hAnsi="Arial"/>
                <w:b/>
                <w:spacing w:val="-2"/>
                <w:sz w:val="18"/>
              </w:rPr>
              <w:t>₹1,000</w:t>
            </w:r>
          </w:p>
        </w:tc>
      </w:tr>
      <w:tr>
        <w:trPr>
          <w:trHeight w:val="380"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before="3"/>
              <w:rPr>
                <w:rFonts w:ascii="Arial" w:hAnsi="Arial"/>
                <w:b/>
                <w:sz w:val="18"/>
              </w:rPr>
            </w:pPr>
            <w:r>
              <w:rPr>
                <w:rFonts w:ascii="Arial" w:hAnsi="Arial"/>
                <w:b/>
                <w:sz w:val="18"/>
              </w:rPr>
              <w:t>₹25,00,001 - </w:t>
            </w:r>
            <w:r>
              <w:rPr>
                <w:rFonts w:ascii="Arial" w:hAnsi="Arial"/>
                <w:b/>
                <w:spacing w:val="-2"/>
                <w:sz w:val="18"/>
              </w:rPr>
              <w:t>₹50,00,000</w:t>
            </w:r>
          </w:p>
        </w:tc>
        <w:tc>
          <w:tcPr>
            <w:tcW w:w="2320" w:type="dxa"/>
          </w:tcPr>
          <w:p>
            <w:pPr>
              <w:pStyle w:val="TableParagraph"/>
              <w:spacing w:before="3"/>
              <w:ind w:left="119"/>
              <w:rPr>
                <w:rFonts w:ascii="Arial" w:hAnsi="Arial"/>
                <w:b/>
                <w:sz w:val="18"/>
              </w:rPr>
            </w:pPr>
            <w:r>
              <w:rPr>
                <w:rFonts w:ascii="Arial" w:hAnsi="Arial"/>
                <w:b/>
                <w:spacing w:val="-2"/>
                <w:sz w:val="18"/>
              </w:rPr>
              <w:t>₹2,500</w:t>
            </w:r>
          </w:p>
        </w:tc>
      </w:tr>
      <w:tr>
        <w:trPr>
          <w:trHeight w:val="359" w:hRule="atLeast"/>
        </w:trPr>
        <w:tc>
          <w:tcPr>
            <w:tcW w:w="3480" w:type="dxa"/>
            <w:tcBorders>
              <w:top w:val="nil"/>
              <w:bottom w:val="nil"/>
            </w:tcBorders>
          </w:tcPr>
          <w:p>
            <w:pPr>
              <w:pStyle w:val="TableParagraph"/>
              <w:ind w:left="0"/>
              <w:rPr>
                <w:rFonts w:ascii="Times New Roman"/>
                <w:sz w:val="16"/>
              </w:rPr>
            </w:pPr>
          </w:p>
        </w:tc>
        <w:tc>
          <w:tcPr>
            <w:tcW w:w="4040" w:type="dxa"/>
          </w:tcPr>
          <w:p>
            <w:pPr>
              <w:pStyle w:val="TableParagraph"/>
              <w:spacing w:line="204" w:lineRule="exact"/>
              <w:rPr>
                <w:rFonts w:ascii="Arial" w:hAnsi="Arial"/>
                <w:b/>
                <w:sz w:val="18"/>
              </w:rPr>
            </w:pPr>
            <w:r>
              <w:rPr>
                <w:rFonts w:ascii="Arial" w:hAnsi="Arial"/>
                <w:b/>
                <w:sz w:val="18"/>
              </w:rPr>
              <w:t>₹50,00,001 - </w:t>
            </w:r>
            <w:r>
              <w:rPr>
                <w:rFonts w:ascii="Arial" w:hAnsi="Arial"/>
                <w:b/>
                <w:spacing w:val="-2"/>
                <w:sz w:val="18"/>
              </w:rPr>
              <w:t>₹1,00,00,000</w:t>
            </w:r>
          </w:p>
        </w:tc>
        <w:tc>
          <w:tcPr>
            <w:tcW w:w="2320" w:type="dxa"/>
          </w:tcPr>
          <w:p>
            <w:pPr>
              <w:pStyle w:val="TableParagraph"/>
              <w:spacing w:line="204" w:lineRule="exact"/>
              <w:ind w:left="119"/>
              <w:rPr>
                <w:rFonts w:ascii="Arial" w:hAnsi="Arial"/>
                <w:b/>
                <w:sz w:val="18"/>
              </w:rPr>
            </w:pPr>
            <w:r>
              <w:rPr>
                <w:rFonts w:ascii="Arial" w:hAnsi="Arial"/>
                <w:b/>
                <w:spacing w:val="-2"/>
                <w:sz w:val="18"/>
              </w:rPr>
              <w:t>₹5,000</w:t>
            </w:r>
          </w:p>
        </w:tc>
      </w:tr>
      <w:tr>
        <w:trPr>
          <w:trHeight w:val="560" w:hRule="atLeast"/>
        </w:trPr>
        <w:tc>
          <w:tcPr>
            <w:tcW w:w="3480" w:type="dxa"/>
            <w:tcBorders>
              <w:top w:val="nil"/>
            </w:tcBorders>
          </w:tcPr>
          <w:p>
            <w:pPr>
              <w:pStyle w:val="TableParagraph"/>
              <w:ind w:left="0"/>
              <w:rPr>
                <w:rFonts w:ascii="Times New Roman"/>
                <w:sz w:val="16"/>
              </w:rPr>
            </w:pPr>
          </w:p>
        </w:tc>
        <w:tc>
          <w:tcPr>
            <w:tcW w:w="4040" w:type="dxa"/>
          </w:tcPr>
          <w:p>
            <w:pPr>
              <w:pStyle w:val="TableParagraph"/>
              <w:spacing w:before="9"/>
              <w:rPr>
                <w:rFonts w:ascii="Arial" w:hAnsi="Arial"/>
                <w:b/>
                <w:sz w:val="18"/>
              </w:rPr>
            </w:pPr>
            <w:r>
              <w:rPr>
                <w:rFonts w:ascii="Arial" w:hAnsi="Arial"/>
                <w:b/>
                <w:sz w:val="18"/>
              </w:rPr>
              <w:t>More than </w:t>
            </w:r>
            <w:r>
              <w:rPr>
                <w:rFonts w:ascii="Arial" w:hAnsi="Arial"/>
                <w:b/>
                <w:spacing w:val="-2"/>
                <w:sz w:val="18"/>
              </w:rPr>
              <w:t>₹1,00,00,000</w:t>
            </w:r>
          </w:p>
        </w:tc>
        <w:tc>
          <w:tcPr>
            <w:tcW w:w="2320" w:type="dxa"/>
          </w:tcPr>
          <w:p>
            <w:pPr>
              <w:pStyle w:val="TableParagraph"/>
              <w:spacing w:before="9"/>
              <w:ind w:left="119"/>
              <w:rPr>
                <w:rFonts w:ascii="Arial" w:hAnsi="Arial"/>
                <w:b/>
                <w:sz w:val="18"/>
              </w:rPr>
            </w:pPr>
            <w:r>
              <w:rPr>
                <w:rFonts w:ascii="Arial" w:hAnsi="Arial"/>
                <w:b/>
                <w:spacing w:val="-2"/>
                <w:sz w:val="18"/>
              </w:rPr>
              <w:t>₹10,000</w:t>
            </w:r>
          </w:p>
        </w:tc>
      </w:tr>
      <w:tr>
        <w:trPr>
          <w:trHeight w:val="379" w:hRule="atLeast"/>
        </w:trPr>
        <w:tc>
          <w:tcPr>
            <w:tcW w:w="3480" w:type="dxa"/>
          </w:tcPr>
          <w:p>
            <w:pPr>
              <w:pStyle w:val="TableParagraph"/>
              <w:spacing w:line="207" w:lineRule="exact"/>
              <w:ind w:left="124"/>
              <w:rPr>
                <w:rFonts w:ascii="Arial"/>
                <w:b/>
                <w:sz w:val="18"/>
              </w:rPr>
            </w:pPr>
            <w:r>
              <w:rPr>
                <w:rFonts w:ascii="Arial"/>
                <w:b/>
                <w:sz w:val="18"/>
              </w:rPr>
              <w:t>Charges &amp; Contingent </w:t>
            </w:r>
            <w:r>
              <w:rPr>
                <w:rFonts w:ascii="Arial"/>
                <w:b/>
                <w:spacing w:val="-2"/>
                <w:sz w:val="18"/>
              </w:rPr>
              <w:t>Charges</w:t>
            </w:r>
          </w:p>
        </w:tc>
        <w:tc>
          <w:tcPr>
            <w:tcW w:w="6360" w:type="dxa"/>
            <w:gridSpan w:val="2"/>
          </w:tcPr>
          <w:p>
            <w:pPr>
              <w:pStyle w:val="TableParagraph"/>
              <w:spacing w:line="207" w:lineRule="exact"/>
              <w:rPr>
                <w:sz w:val="18"/>
              </w:rPr>
            </w:pPr>
            <w:r>
              <w:rPr>
                <w:sz w:val="18"/>
              </w:rPr>
              <w:t>As</w:t>
            </w:r>
            <w:r>
              <w:rPr>
                <w:spacing w:val="-1"/>
                <w:sz w:val="18"/>
              </w:rPr>
              <w:t> </w:t>
            </w:r>
            <w:r>
              <w:rPr>
                <w:sz w:val="18"/>
              </w:rPr>
              <w:t>specified</w:t>
            </w:r>
            <w:r>
              <w:rPr>
                <w:spacing w:val="-1"/>
                <w:sz w:val="18"/>
              </w:rPr>
              <w:t> </w:t>
            </w:r>
            <w:r>
              <w:rPr>
                <w:sz w:val="18"/>
              </w:rPr>
              <w:t>in</w:t>
            </w:r>
            <w:r>
              <w:rPr>
                <w:spacing w:val="-1"/>
                <w:sz w:val="18"/>
              </w:rPr>
              <w:t> </w:t>
            </w:r>
            <w:r>
              <w:rPr>
                <w:sz w:val="18"/>
              </w:rPr>
              <w:t>the</w:t>
            </w:r>
            <w:r>
              <w:rPr>
                <w:spacing w:val="-1"/>
                <w:sz w:val="18"/>
              </w:rPr>
              <w:t> </w:t>
            </w:r>
            <w:r>
              <w:rPr>
                <w:sz w:val="18"/>
              </w:rPr>
              <w:t>relevant</w:t>
            </w:r>
            <w:r>
              <w:rPr>
                <w:spacing w:val="-1"/>
                <w:sz w:val="18"/>
              </w:rPr>
              <w:t> </w:t>
            </w:r>
            <w:r>
              <w:rPr>
                <w:sz w:val="18"/>
              </w:rPr>
              <w:t>Tranche</w:t>
            </w:r>
            <w:r>
              <w:rPr>
                <w:spacing w:val="-1"/>
                <w:sz w:val="18"/>
              </w:rPr>
              <w:t> </w:t>
            </w:r>
            <w:r>
              <w:rPr>
                <w:sz w:val="18"/>
              </w:rPr>
              <w:t>Facility</w:t>
            </w:r>
            <w:r>
              <w:rPr>
                <w:spacing w:val="-1"/>
                <w:sz w:val="18"/>
              </w:rPr>
              <w:t> </w:t>
            </w:r>
            <w:r>
              <w:rPr>
                <w:spacing w:val="-5"/>
                <w:sz w:val="18"/>
              </w:rPr>
              <w:t>KFS</w:t>
            </w:r>
          </w:p>
        </w:tc>
      </w:tr>
      <w:tr>
        <w:trPr>
          <w:trHeight w:val="945" w:hRule="atLeast"/>
        </w:trPr>
        <w:tc>
          <w:tcPr>
            <w:tcW w:w="3480" w:type="dxa"/>
            <w:tcBorders>
              <w:bottom w:val="nil"/>
            </w:tcBorders>
            <w:shd w:val="clear" w:color="auto" w:fill="FFFF00"/>
          </w:tcPr>
          <w:p>
            <w:pPr>
              <w:pStyle w:val="TableParagraph"/>
              <w:spacing w:line="200" w:lineRule="atLeast" w:before="97"/>
              <w:ind w:left="124" w:right="112"/>
              <w:jc w:val="both"/>
              <w:rPr>
                <w:rFonts w:ascii="Arial"/>
                <w:b/>
                <w:sz w:val="18"/>
              </w:rPr>
            </w:pPr>
            <w:r>
              <w:rPr>
                <w:rFonts w:ascii="Arial"/>
                <w:b/>
                <w:sz w:val="18"/>
              </w:rPr>
              <mc:AlternateContent>
                <mc:Choice Requires="wps">
                  <w:drawing>
                    <wp:anchor distT="0" distB="0" distL="0" distR="0" allowOverlap="1" layoutInCell="1" locked="0" behindDoc="1" simplePos="0" relativeHeight="487294976">
                      <wp:simplePos x="0" y="0"/>
                      <wp:positionH relativeFrom="column">
                        <wp:posOffset>79374</wp:posOffset>
                      </wp:positionH>
                      <wp:positionV relativeFrom="paragraph">
                        <wp:posOffset>63451</wp:posOffset>
                      </wp:positionV>
                      <wp:extent cx="2045335" cy="5257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045335" cy="525780"/>
                                <a:chExt cx="2045335" cy="525780"/>
                              </a:xfrm>
                            </wpg:grpSpPr>
                            <wps:wsp>
                              <wps:cNvPr id="6" name="Graphic 6"/>
                              <wps:cNvSpPr/>
                              <wps:spPr>
                                <a:xfrm>
                                  <a:off x="0" y="6"/>
                                  <a:ext cx="2045335" cy="525780"/>
                                </a:xfrm>
                                <a:custGeom>
                                  <a:avLst/>
                                  <a:gdLst/>
                                  <a:ahLst/>
                                  <a:cxnLst/>
                                  <a:rect l="l" t="t" r="r" b="b"/>
                                  <a:pathLst>
                                    <a:path w="2045335" h="525780">
                                      <a:moveTo>
                                        <a:pt x="2044954" y="0"/>
                                      </a:moveTo>
                                      <a:lnTo>
                                        <a:pt x="0" y="0"/>
                                      </a:lnTo>
                                      <a:lnTo>
                                        <a:pt x="0" y="131432"/>
                                      </a:lnTo>
                                      <a:lnTo>
                                        <a:pt x="2044954" y="131432"/>
                                      </a:lnTo>
                                      <a:lnTo>
                                        <a:pt x="2044954" y="0"/>
                                      </a:lnTo>
                                      <a:close/>
                                    </a:path>
                                    <a:path w="2045335" h="525780">
                                      <a:moveTo>
                                        <a:pt x="2045055" y="394309"/>
                                      </a:moveTo>
                                      <a:lnTo>
                                        <a:pt x="2038654" y="394309"/>
                                      </a:lnTo>
                                      <a:lnTo>
                                        <a:pt x="2038654" y="262902"/>
                                      </a:lnTo>
                                      <a:lnTo>
                                        <a:pt x="2039073" y="262902"/>
                                      </a:lnTo>
                                      <a:lnTo>
                                        <a:pt x="2039073" y="131470"/>
                                      </a:lnTo>
                                      <a:lnTo>
                                        <a:pt x="0" y="131470"/>
                                      </a:lnTo>
                                      <a:lnTo>
                                        <a:pt x="0" y="262890"/>
                                      </a:lnTo>
                                      <a:lnTo>
                                        <a:pt x="0" y="394309"/>
                                      </a:lnTo>
                                      <a:lnTo>
                                        <a:pt x="0" y="525741"/>
                                      </a:lnTo>
                                      <a:lnTo>
                                        <a:pt x="2045055" y="525741"/>
                                      </a:lnTo>
                                      <a:lnTo>
                                        <a:pt x="2045055" y="394309"/>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6.25pt;margin-top:4.996192pt;width:161.050pt;height:41.4pt;mso-position-horizontal-relative:column;mso-position-vertical-relative:paragraph;z-index:-16021504" id="docshapegroup4" coordorigin="125,100" coordsize="3221,828">
                      <v:shape style="position:absolute;left:125;top:99;width:3221;height:828" id="docshape5" coordorigin="125,100" coordsize="3221,828" path="m3345,100l125,100,125,307,3345,307,3345,100xm3346,721l3335,721,3335,514,3336,514,3336,307,125,307,125,514,125,514,125,721,125,721,125,928,3346,928,3346,721xe" filled="true" fillcolor="#ffff00" stroked="false">
                        <v:path arrowok="t"/>
                        <v:fill type="solid"/>
                      </v:shape>
                      <w10:wrap type="none"/>
                    </v:group>
                  </w:pict>
                </mc:Fallback>
              </mc:AlternateContent>
            </w:r>
            <w:r>
              <w:rPr>
                <w:rFonts w:ascii="Arial"/>
                <w:b/>
                <w:sz w:val="18"/>
              </w:rPr>
              <w:t>Minimum prior notice for </w:t>
            </w:r>
            <w:r>
              <w:rPr>
                <w:rFonts w:ascii="Arial"/>
                <w:b/>
                <w:sz w:val="18"/>
              </w:rPr>
              <w:t>early repayment / foreclosure and early repayment charges and cooling-off period and cancellation of the </w:t>
            </w:r>
            <w:r>
              <w:rPr>
                <w:rFonts w:ascii="Arial"/>
                <w:b/>
                <w:spacing w:val="-2"/>
                <w:sz w:val="18"/>
              </w:rPr>
              <w:t>Facility</w:t>
            </w:r>
          </w:p>
        </w:tc>
        <w:tc>
          <w:tcPr>
            <w:tcW w:w="6360" w:type="dxa"/>
            <w:gridSpan w:val="2"/>
            <w:tcBorders>
              <w:bottom w:val="nil"/>
            </w:tcBorders>
          </w:tcPr>
          <w:p>
            <w:pPr>
              <w:pStyle w:val="TableParagraph"/>
              <w:spacing w:line="276" w:lineRule="auto" w:before="4"/>
              <w:rPr>
                <w:sz w:val="18"/>
              </w:rPr>
            </w:pPr>
            <w:r>
              <w:rPr>
                <w:color w:val="000000"/>
                <w:sz w:val="18"/>
                <w:highlight w:val="yellow"/>
              </w:rPr>
              <w:t>Each</w:t>
            </w:r>
            <w:r>
              <w:rPr>
                <w:color w:val="000000"/>
                <w:spacing w:val="25"/>
                <w:sz w:val="18"/>
                <w:highlight w:val="yellow"/>
              </w:rPr>
              <w:t> </w:t>
            </w:r>
            <w:r>
              <w:rPr>
                <w:color w:val="000000"/>
                <w:sz w:val="18"/>
                <w:highlight w:val="yellow"/>
              </w:rPr>
              <w:t>Tranche</w:t>
            </w:r>
            <w:r>
              <w:rPr>
                <w:color w:val="000000"/>
                <w:spacing w:val="25"/>
                <w:sz w:val="18"/>
                <w:highlight w:val="yellow"/>
              </w:rPr>
              <w:t> </w:t>
            </w:r>
            <w:r>
              <w:rPr>
                <w:color w:val="000000"/>
                <w:sz w:val="18"/>
                <w:highlight w:val="yellow"/>
              </w:rPr>
              <w:t>Facility</w:t>
            </w:r>
            <w:r>
              <w:rPr>
                <w:color w:val="000000"/>
                <w:spacing w:val="25"/>
                <w:sz w:val="18"/>
                <w:highlight w:val="yellow"/>
              </w:rPr>
              <w:t> </w:t>
            </w:r>
            <w:r>
              <w:rPr>
                <w:color w:val="000000"/>
                <w:sz w:val="18"/>
                <w:highlight w:val="yellow"/>
              </w:rPr>
              <w:t>will</w:t>
            </w:r>
            <w:r>
              <w:rPr>
                <w:color w:val="000000"/>
                <w:spacing w:val="25"/>
                <w:sz w:val="18"/>
                <w:highlight w:val="yellow"/>
              </w:rPr>
              <w:t> </w:t>
            </w:r>
            <w:r>
              <w:rPr>
                <w:color w:val="000000"/>
                <w:sz w:val="18"/>
                <w:highlight w:val="yellow"/>
              </w:rPr>
              <w:t>have</w:t>
            </w:r>
            <w:r>
              <w:rPr>
                <w:color w:val="000000"/>
                <w:spacing w:val="25"/>
                <w:sz w:val="18"/>
                <w:highlight w:val="yellow"/>
              </w:rPr>
              <w:t> </w:t>
            </w:r>
            <w:r>
              <w:rPr>
                <w:color w:val="000000"/>
                <w:sz w:val="18"/>
                <w:highlight w:val="yellow"/>
              </w:rPr>
              <w:t>a cooling-off period of 3 (Three) days </w:t>
            </w:r>
            <w:r>
              <w:rPr>
                <w:color w:val="000000"/>
                <w:sz w:val="18"/>
                <w:highlight w:val="yellow"/>
              </w:rPr>
              <w:t>from</w:t>
            </w:r>
            <w:r>
              <w:rPr>
                <w:color w:val="000000"/>
                <w:sz w:val="18"/>
              </w:rPr>
              <w:t> </w:t>
            </w:r>
            <w:r>
              <w:rPr>
                <w:color w:val="000000"/>
                <w:sz w:val="18"/>
                <w:highlight w:val="yellow"/>
              </w:rPr>
              <w:t>the date of the of the disbursement under the said Tranche Facility.</w:t>
            </w:r>
          </w:p>
          <w:p>
            <w:pPr>
              <w:pStyle w:val="TableParagraph"/>
              <w:spacing w:before="31"/>
              <w:ind w:left="0"/>
              <w:rPr>
                <w:rFonts w:ascii="Arial"/>
                <w:b/>
                <w:sz w:val="18"/>
              </w:rPr>
            </w:pPr>
          </w:p>
          <w:p>
            <w:pPr>
              <w:pStyle w:val="TableParagraph"/>
              <w:rPr>
                <w:sz w:val="18"/>
              </w:rPr>
            </w:pPr>
            <w:r>
              <w:rPr>
                <w:color w:val="000000"/>
                <w:sz w:val="18"/>
                <w:highlight w:val="yellow"/>
              </w:rPr>
              <w:t>During</w:t>
            </w:r>
            <w:r>
              <w:rPr>
                <w:color w:val="000000"/>
                <w:spacing w:val="14"/>
                <w:sz w:val="18"/>
                <w:highlight w:val="yellow"/>
              </w:rPr>
              <w:t> </w:t>
            </w:r>
            <w:r>
              <w:rPr>
                <w:color w:val="000000"/>
                <w:sz w:val="18"/>
                <w:highlight w:val="yellow"/>
              </w:rPr>
              <w:t>the</w:t>
            </w:r>
            <w:r>
              <w:rPr>
                <w:color w:val="000000"/>
                <w:spacing w:val="15"/>
                <w:sz w:val="18"/>
                <w:highlight w:val="yellow"/>
              </w:rPr>
              <w:t> </w:t>
            </w:r>
            <w:r>
              <w:rPr>
                <w:color w:val="000000"/>
                <w:sz w:val="18"/>
                <w:highlight w:val="yellow"/>
              </w:rPr>
              <w:t>aforesaid</w:t>
            </w:r>
            <w:r>
              <w:rPr>
                <w:color w:val="000000"/>
                <w:spacing w:val="14"/>
                <w:sz w:val="18"/>
                <w:highlight w:val="yellow"/>
              </w:rPr>
              <w:t> </w:t>
            </w:r>
            <w:r>
              <w:rPr>
                <w:color w:val="000000"/>
                <w:sz w:val="18"/>
                <w:highlight w:val="yellow"/>
              </w:rPr>
              <w:t>cooling-off</w:t>
            </w:r>
            <w:r>
              <w:rPr>
                <w:color w:val="000000"/>
                <w:spacing w:val="15"/>
                <w:sz w:val="18"/>
                <w:highlight w:val="yellow"/>
              </w:rPr>
              <w:t> </w:t>
            </w:r>
            <w:r>
              <w:rPr>
                <w:color w:val="000000"/>
                <w:sz w:val="18"/>
                <w:highlight w:val="yellow"/>
              </w:rPr>
              <w:t>period,</w:t>
            </w:r>
            <w:r>
              <w:rPr>
                <w:color w:val="000000"/>
                <w:spacing w:val="14"/>
                <w:sz w:val="18"/>
                <w:highlight w:val="yellow"/>
              </w:rPr>
              <w:t> </w:t>
            </w:r>
            <w:r>
              <w:rPr>
                <w:color w:val="000000"/>
                <w:sz w:val="18"/>
                <w:highlight w:val="yellow"/>
              </w:rPr>
              <w:t>any repayment or</w:t>
            </w:r>
            <w:r>
              <w:rPr>
                <w:color w:val="000000"/>
                <w:spacing w:val="-1"/>
                <w:sz w:val="18"/>
                <w:highlight w:val="yellow"/>
              </w:rPr>
              <w:t> </w:t>
            </w:r>
            <w:r>
              <w:rPr>
                <w:color w:val="000000"/>
                <w:sz w:val="18"/>
                <w:highlight w:val="yellow"/>
              </w:rPr>
              <w:t>cancellation of </w:t>
            </w:r>
            <w:r>
              <w:rPr>
                <w:color w:val="000000"/>
                <w:spacing w:val="-5"/>
                <w:sz w:val="18"/>
                <w:highlight w:val="yellow"/>
              </w:rPr>
              <w:t>the</w:t>
            </w:r>
          </w:p>
        </w:tc>
      </w:tr>
      <w:tr>
        <w:trPr>
          <w:trHeight w:val="236"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1"/>
              <w:rPr>
                <w:sz w:val="18"/>
              </w:rPr>
            </w:pPr>
            <w:r>
              <w:rPr>
                <w:color w:val="000000"/>
                <w:sz w:val="18"/>
                <w:highlight w:val="yellow"/>
              </w:rPr>
              <w:t>Tranche</w:t>
            </w:r>
            <w:r>
              <w:rPr>
                <w:color w:val="000000"/>
                <w:spacing w:val="59"/>
                <w:sz w:val="18"/>
                <w:highlight w:val="yellow"/>
              </w:rPr>
              <w:t> </w:t>
            </w:r>
            <w:r>
              <w:rPr>
                <w:color w:val="000000"/>
                <w:sz w:val="18"/>
                <w:highlight w:val="yellow"/>
              </w:rPr>
              <w:t>Facility</w:t>
            </w:r>
            <w:r>
              <w:rPr>
                <w:color w:val="000000"/>
                <w:spacing w:val="59"/>
                <w:sz w:val="18"/>
                <w:highlight w:val="yellow"/>
              </w:rPr>
              <w:t> </w:t>
            </w:r>
            <w:r>
              <w:rPr>
                <w:color w:val="000000"/>
                <w:sz w:val="18"/>
                <w:highlight w:val="yellow"/>
              </w:rPr>
              <w:t>will</w:t>
            </w:r>
            <w:r>
              <w:rPr>
                <w:color w:val="000000"/>
                <w:spacing w:val="44"/>
                <w:sz w:val="18"/>
                <w:highlight w:val="yellow"/>
              </w:rPr>
              <w:t> </w:t>
            </w:r>
            <w:r>
              <w:rPr>
                <w:color w:val="000000"/>
                <w:sz w:val="18"/>
                <w:highlight w:val="yellow"/>
              </w:rPr>
              <w:t>only</w:t>
            </w:r>
            <w:r>
              <w:rPr>
                <w:color w:val="000000"/>
                <w:spacing w:val="45"/>
                <w:sz w:val="18"/>
                <w:highlight w:val="yellow"/>
              </w:rPr>
              <w:t> </w:t>
            </w:r>
            <w:r>
              <w:rPr>
                <w:color w:val="000000"/>
                <w:sz w:val="18"/>
                <w:highlight w:val="yellow"/>
              </w:rPr>
              <w:t>require</w:t>
            </w:r>
            <w:r>
              <w:rPr>
                <w:color w:val="000000"/>
                <w:spacing w:val="44"/>
                <w:sz w:val="18"/>
                <w:highlight w:val="yellow"/>
              </w:rPr>
              <w:t> </w:t>
            </w:r>
            <w:r>
              <w:rPr>
                <w:color w:val="000000"/>
                <w:sz w:val="18"/>
                <w:highlight w:val="yellow"/>
              </w:rPr>
              <w:t>the</w:t>
            </w:r>
            <w:r>
              <w:rPr>
                <w:color w:val="000000"/>
                <w:spacing w:val="44"/>
                <w:sz w:val="18"/>
                <w:highlight w:val="yellow"/>
              </w:rPr>
              <w:t> </w:t>
            </w:r>
            <w:r>
              <w:rPr>
                <w:color w:val="000000"/>
                <w:sz w:val="18"/>
                <w:highlight w:val="yellow"/>
              </w:rPr>
              <w:t>borrower(s)</w:t>
            </w:r>
            <w:r>
              <w:rPr>
                <w:color w:val="000000"/>
                <w:spacing w:val="45"/>
                <w:sz w:val="18"/>
                <w:highlight w:val="yellow"/>
              </w:rPr>
              <w:t> </w:t>
            </w:r>
            <w:r>
              <w:rPr>
                <w:color w:val="000000"/>
                <w:sz w:val="18"/>
                <w:highlight w:val="yellow"/>
              </w:rPr>
              <w:t>to</w:t>
            </w:r>
            <w:r>
              <w:rPr>
                <w:color w:val="000000"/>
                <w:spacing w:val="44"/>
                <w:sz w:val="18"/>
                <w:highlight w:val="yellow"/>
              </w:rPr>
              <w:t> </w:t>
            </w:r>
            <w:r>
              <w:rPr>
                <w:color w:val="000000"/>
                <w:sz w:val="18"/>
                <w:highlight w:val="yellow"/>
              </w:rPr>
              <w:t>pay</w:t>
            </w:r>
            <w:r>
              <w:rPr>
                <w:color w:val="000000"/>
                <w:spacing w:val="44"/>
                <w:sz w:val="18"/>
                <w:highlight w:val="yellow"/>
              </w:rPr>
              <w:t> </w:t>
            </w:r>
            <w:r>
              <w:rPr>
                <w:color w:val="000000"/>
                <w:sz w:val="18"/>
                <w:highlight w:val="yellow"/>
              </w:rPr>
              <w:t>the</w:t>
            </w:r>
            <w:r>
              <w:rPr>
                <w:color w:val="000000"/>
                <w:spacing w:val="45"/>
                <w:sz w:val="18"/>
                <w:highlight w:val="yellow"/>
              </w:rPr>
              <w:t> </w:t>
            </w:r>
            <w:r>
              <w:rPr>
                <w:color w:val="000000"/>
                <w:spacing w:val="-2"/>
                <w:sz w:val="18"/>
                <w:highlight w:val="yellow"/>
              </w:rPr>
              <w:t>outstanding</w:t>
            </w:r>
          </w:p>
        </w:tc>
      </w:tr>
      <w:tr>
        <w:trPr>
          <w:trHeight w:val="23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2"/>
              <w:rPr>
                <w:sz w:val="18"/>
              </w:rPr>
            </w:pPr>
            <w:r>
              <w:rPr>
                <w:color w:val="000000"/>
                <w:sz w:val="18"/>
                <w:highlight w:val="yellow"/>
              </w:rPr>
              <w:t>principal</w:t>
            </w:r>
            <w:r>
              <w:rPr>
                <w:color w:val="000000"/>
                <w:spacing w:val="15"/>
                <w:sz w:val="18"/>
                <w:highlight w:val="yellow"/>
              </w:rPr>
              <w:t> </w:t>
            </w:r>
            <w:r>
              <w:rPr>
                <w:color w:val="000000"/>
                <w:sz w:val="18"/>
                <w:highlight w:val="yellow"/>
              </w:rPr>
              <w:t>amount</w:t>
            </w:r>
            <w:r>
              <w:rPr>
                <w:color w:val="000000"/>
                <w:spacing w:val="15"/>
                <w:sz w:val="18"/>
                <w:highlight w:val="yellow"/>
              </w:rPr>
              <w:t> </w:t>
            </w:r>
            <w:r>
              <w:rPr>
                <w:color w:val="000000"/>
                <w:sz w:val="18"/>
                <w:highlight w:val="yellow"/>
              </w:rPr>
              <w:t>without any early repayment charges / foreclosure </w:t>
            </w:r>
            <w:r>
              <w:rPr>
                <w:color w:val="000000"/>
                <w:spacing w:val="-2"/>
                <w:sz w:val="18"/>
                <w:highlight w:val="yellow"/>
              </w:rPr>
              <w:t>charges.</w:t>
            </w:r>
          </w:p>
        </w:tc>
      </w:tr>
      <w:tr>
        <w:trPr>
          <w:trHeight w:val="23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2"/>
              <w:rPr>
                <w:sz w:val="18"/>
              </w:rPr>
            </w:pPr>
            <w:r>
              <w:rPr>
                <w:color w:val="000000"/>
                <w:sz w:val="18"/>
                <w:highlight w:val="yellow"/>
              </w:rPr>
              <w:t>However,</w:t>
            </w:r>
            <w:r>
              <w:rPr>
                <w:color w:val="000000"/>
                <w:spacing w:val="43"/>
                <w:sz w:val="18"/>
                <w:highlight w:val="yellow"/>
              </w:rPr>
              <w:t> </w:t>
            </w:r>
            <w:r>
              <w:rPr>
                <w:color w:val="000000"/>
                <w:sz w:val="18"/>
                <w:highlight w:val="yellow"/>
              </w:rPr>
              <w:t>the</w:t>
            </w:r>
            <w:r>
              <w:rPr>
                <w:color w:val="000000"/>
                <w:spacing w:val="44"/>
                <w:sz w:val="18"/>
                <w:highlight w:val="yellow"/>
              </w:rPr>
              <w:t> </w:t>
            </w:r>
            <w:r>
              <w:rPr>
                <w:color w:val="000000"/>
                <w:sz w:val="18"/>
                <w:highlight w:val="yellow"/>
              </w:rPr>
              <w:t>Borrower(s)</w:t>
            </w:r>
            <w:r>
              <w:rPr>
                <w:color w:val="000000"/>
                <w:spacing w:val="44"/>
                <w:sz w:val="18"/>
                <w:highlight w:val="yellow"/>
              </w:rPr>
              <w:t> </w:t>
            </w:r>
            <w:r>
              <w:rPr>
                <w:color w:val="000000"/>
                <w:sz w:val="18"/>
                <w:highlight w:val="yellow"/>
              </w:rPr>
              <w:t>shall</w:t>
            </w:r>
            <w:r>
              <w:rPr>
                <w:color w:val="000000"/>
                <w:spacing w:val="29"/>
                <w:sz w:val="18"/>
                <w:highlight w:val="yellow"/>
              </w:rPr>
              <w:t> </w:t>
            </w:r>
            <w:r>
              <w:rPr>
                <w:color w:val="000000"/>
                <w:sz w:val="18"/>
                <w:highlight w:val="yellow"/>
              </w:rPr>
              <w:t>be</w:t>
            </w:r>
            <w:r>
              <w:rPr>
                <w:color w:val="000000"/>
                <w:spacing w:val="29"/>
                <w:sz w:val="18"/>
                <w:highlight w:val="yellow"/>
              </w:rPr>
              <w:t> </w:t>
            </w:r>
            <w:r>
              <w:rPr>
                <w:color w:val="000000"/>
                <w:sz w:val="18"/>
                <w:highlight w:val="yellow"/>
              </w:rPr>
              <w:t>liable</w:t>
            </w:r>
            <w:r>
              <w:rPr>
                <w:color w:val="000000"/>
                <w:spacing w:val="29"/>
                <w:sz w:val="18"/>
                <w:highlight w:val="yellow"/>
              </w:rPr>
              <w:t> </w:t>
            </w:r>
            <w:r>
              <w:rPr>
                <w:color w:val="000000"/>
                <w:sz w:val="18"/>
                <w:highlight w:val="yellow"/>
              </w:rPr>
              <w:t>to</w:t>
            </w:r>
            <w:r>
              <w:rPr>
                <w:color w:val="000000"/>
                <w:spacing w:val="29"/>
                <w:sz w:val="18"/>
                <w:highlight w:val="yellow"/>
              </w:rPr>
              <w:t> </w:t>
            </w:r>
            <w:r>
              <w:rPr>
                <w:color w:val="000000"/>
                <w:sz w:val="18"/>
                <w:highlight w:val="yellow"/>
              </w:rPr>
              <w:t>pay</w:t>
            </w:r>
            <w:r>
              <w:rPr>
                <w:color w:val="000000"/>
                <w:spacing w:val="29"/>
                <w:sz w:val="18"/>
                <w:highlight w:val="yellow"/>
              </w:rPr>
              <w:t> </w:t>
            </w:r>
            <w:r>
              <w:rPr>
                <w:color w:val="000000"/>
                <w:sz w:val="18"/>
                <w:highlight w:val="yellow"/>
              </w:rPr>
              <w:t>the</w:t>
            </w:r>
            <w:r>
              <w:rPr>
                <w:color w:val="000000"/>
                <w:spacing w:val="29"/>
                <w:sz w:val="18"/>
                <w:highlight w:val="yellow"/>
              </w:rPr>
              <w:t> </w:t>
            </w:r>
            <w:r>
              <w:rPr>
                <w:color w:val="000000"/>
                <w:sz w:val="18"/>
                <w:highlight w:val="yellow"/>
              </w:rPr>
              <w:t>Outstanding</w:t>
            </w:r>
            <w:r>
              <w:rPr>
                <w:color w:val="000000"/>
                <w:spacing w:val="30"/>
                <w:sz w:val="18"/>
                <w:highlight w:val="yellow"/>
              </w:rPr>
              <w:t> </w:t>
            </w:r>
            <w:r>
              <w:rPr>
                <w:color w:val="000000"/>
                <w:spacing w:val="-2"/>
                <w:sz w:val="18"/>
                <w:highlight w:val="yellow"/>
              </w:rPr>
              <w:t>Principal</w:t>
            </w:r>
          </w:p>
        </w:tc>
      </w:tr>
      <w:tr>
        <w:trPr>
          <w:trHeight w:val="238" w:hRule="atLeast"/>
        </w:trPr>
        <w:tc>
          <w:tcPr>
            <w:tcW w:w="3480" w:type="dxa"/>
            <w:tcBorders>
              <w:top w:val="nil"/>
              <w:bottom w:val="nil"/>
            </w:tcBorders>
          </w:tcPr>
          <w:p>
            <w:pPr>
              <w:pStyle w:val="TableParagraph"/>
              <w:ind w:left="0"/>
              <w:rPr>
                <w:rFonts w:ascii="Times New Roman"/>
                <w:sz w:val="16"/>
              </w:rPr>
            </w:pPr>
          </w:p>
        </w:tc>
        <w:tc>
          <w:tcPr>
            <w:tcW w:w="6360" w:type="dxa"/>
            <w:gridSpan w:val="2"/>
            <w:tcBorders>
              <w:top w:val="nil"/>
              <w:bottom w:val="nil"/>
            </w:tcBorders>
          </w:tcPr>
          <w:p>
            <w:pPr>
              <w:pStyle w:val="TableParagraph"/>
              <w:spacing w:line="205" w:lineRule="exact" w:before="12"/>
              <w:rPr>
                <w:sz w:val="18"/>
              </w:rPr>
            </w:pPr>
            <w:r>
              <w:rPr>
                <w:color w:val="000000"/>
                <w:sz w:val="18"/>
                <w:highlight w:val="yellow"/>
              </w:rPr>
              <w:t>amount</w:t>
            </w:r>
            <w:r>
              <w:rPr>
                <w:color w:val="000000"/>
                <w:spacing w:val="-3"/>
                <w:sz w:val="18"/>
                <w:highlight w:val="yellow"/>
              </w:rPr>
              <w:t> </w:t>
            </w:r>
            <w:r>
              <w:rPr>
                <w:color w:val="000000"/>
                <w:sz w:val="18"/>
                <w:highlight w:val="yellow"/>
              </w:rPr>
              <w:t>under</w:t>
            </w:r>
            <w:r>
              <w:rPr>
                <w:color w:val="000000"/>
                <w:spacing w:val="-2"/>
                <w:sz w:val="18"/>
                <w:highlight w:val="yellow"/>
              </w:rPr>
              <w:t> </w:t>
            </w:r>
            <w:r>
              <w:rPr>
                <w:color w:val="000000"/>
                <w:sz w:val="18"/>
                <w:highlight w:val="yellow"/>
              </w:rPr>
              <w:t>such</w:t>
            </w:r>
            <w:r>
              <w:rPr>
                <w:color w:val="000000"/>
                <w:spacing w:val="-2"/>
                <w:sz w:val="18"/>
                <w:highlight w:val="yellow"/>
              </w:rPr>
              <w:t> </w:t>
            </w:r>
            <w:r>
              <w:rPr>
                <w:color w:val="000000"/>
                <w:sz w:val="18"/>
                <w:highlight w:val="yellow"/>
              </w:rPr>
              <w:t>Tranche</w:t>
            </w:r>
            <w:r>
              <w:rPr>
                <w:color w:val="000000"/>
                <w:spacing w:val="-2"/>
                <w:sz w:val="18"/>
                <w:highlight w:val="yellow"/>
              </w:rPr>
              <w:t> </w:t>
            </w:r>
            <w:r>
              <w:rPr>
                <w:color w:val="000000"/>
                <w:sz w:val="18"/>
                <w:highlight w:val="yellow"/>
              </w:rPr>
              <w:t>Facility.</w:t>
            </w:r>
            <w:r>
              <w:rPr>
                <w:color w:val="000000"/>
                <w:spacing w:val="-2"/>
                <w:sz w:val="18"/>
                <w:highlight w:val="yellow"/>
              </w:rPr>
              <w:t> </w:t>
            </w:r>
            <w:r>
              <w:rPr>
                <w:color w:val="000000"/>
                <w:sz w:val="18"/>
                <w:highlight w:val="yellow"/>
              </w:rPr>
              <w:t>Upon</w:t>
            </w:r>
            <w:r>
              <w:rPr>
                <w:color w:val="000000"/>
                <w:spacing w:val="-2"/>
                <w:sz w:val="18"/>
                <w:highlight w:val="yellow"/>
              </w:rPr>
              <w:t> </w:t>
            </w:r>
            <w:r>
              <w:rPr>
                <w:color w:val="000000"/>
                <w:sz w:val="18"/>
                <w:highlight w:val="yellow"/>
              </w:rPr>
              <w:t>such</w:t>
            </w:r>
            <w:r>
              <w:rPr>
                <w:color w:val="000000"/>
                <w:spacing w:val="-2"/>
                <w:sz w:val="18"/>
                <w:highlight w:val="yellow"/>
              </w:rPr>
              <w:t> </w:t>
            </w:r>
            <w:r>
              <w:rPr>
                <w:color w:val="000000"/>
                <w:sz w:val="18"/>
                <w:highlight w:val="yellow"/>
              </w:rPr>
              <w:t>payment</w:t>
            </w:r>
            <w:r>
              <w:rPr>
                <w:color w:val="000000"/>
                <w:spacing w:val="-2"/>
                <w:sz w:val="18"/>
                <w:highlight w:val="yellow"/>
              </w:rPr>
              <w:t> </w:t>
            </w:r>
            <w:r>
              <w:rPr>
                <w:color w:val="000000"/>
                <w:sz w:val="18"/>
                <w:highlight w:val="yellow"/>
              </w:rPr>
              <w:t>by</w:t>
            </w:r>
            <w:r>
              <w:rPr>
                <w:color w:val="000000"/>
                <w:spacing w:val="-2"/>
                <w:sz w:val="18"/>
                <w:highlight w:val="yellow"/>
              </w:rPr>
              <w:t> </w:t>
            </w:r>
            <w:r>
              <w:rPr>
                <w:color w:val="000000"/>
                <w:sz w:val="18"/>
                <w:highlight w:val="yellow"/>
              </w:rPr>
              <w:t>the</w:t>
            </w:r>
            <w:r>
              <w:rPr>
                <w:color w:val="000000"/>
                <w:spacing w:val="-2"/>
                <w:sz w:val="18"/>
                <w:highlight w:val="yellow"/>
              </w:rPr>
              <w:t> Borrower(s),</w:t>
            </w:r>
          </w:p>
        </w:tc>
      </w:tr>
      <w:tr>
        <w:trPr>
          <w:trHeight w:val="243" w:hRule="atLeast"/>
        </w:trPr>
        <w:tc>
          <w:tcPr>
            <w:tcW w:w="3480" w:type="dxa"/>
            <w:tcBorders>
              <w:top w:val="nil"/>
            </w:tcBorders>
          </w:tcPr>
          <w:p>
            <w:pPr>
              <w:pStyle w:val="TableParagraph"/>
              <w:ind w:left="0"/>
              <w:rPr>
                <w:rFonts w:ascii="Times New Roman"/>
                <w:sz w:val="16"/>
              </w:rPr>
            </w:pPr>
          </w:p>
        </w:tc>
        <w:tc>
          <w:tcPr>
            <w:tcW w:w="6360" w:type="dxa"/>
            <w:gridSpan w:val="2"/>
            <w:tcBorders>
              <w:top w:val="nil"/>
            </w:tcBorders>
          </w:tcPr>
          <w:p>
            <w:pPr>
              <w:pStyle w:val="TableParagraph"/>
              <w:spacing w:before="12"/>
              <w:rPr>
                <w:sz w:val="18"/>
              </w:rPr>
            </w:pPr>
            <w:r>
              <w:rPr>
                <w:color w:val="000000"/>
                <w:sz w:val="18"/>
                <w:highlight w:val="yellow"/>
              </w:rPr>
              <w:t>such</w:t>
            </w:r>
            <w:r>
              <w:rPr>
                <w:color w:val="000000"/>
                <w:spacing w:val="12"/>
                <w:sz w:val="18"/>
                <w:highlight w:val="yellow"/>
              </w:rPr>
              <w:t> </w:t>
            </w:r>
            <w:r>
              <w:rPr>
                <w:color w:val="000000"/>
                <w:sz w:val="18"/>
                <w:highlight w:val="yellow"/>
              </w:rPr>
              <w:t>Tranche</w:t>
            </w:r>
            <w:r>
              <w:rPr>
                <w:color w:val="000000"/>
                <w:spacing w:val="14"/>
                <w:sz w:val="18"/>
                <w:highlight w:val="yellow"/>
              </w:rPr>
              <w:t> </w:t>
            </w:r>
            <w:r>
              <w:rPr>
                <w:color w:val="000000"/>
                <w:sz w:val="18"/>
                <w:highlight w:val="yellow"/>
              </w:rPr>
              <w:t>Facility</w:t>
            </w:r>
            <w:r>
              <w:rPr>
                <w:color w:val="000000"/>
                <w:spacing w:val="14"/>
                <w:sz w:val="18"/>
                <w:highlight w:val="yellow"/>
              </w:rPr>
              <w:t> </w:t>
            </w:r>
            <w:r>
              <w:rPr>
                <w:color w:val="000000"/>
                <w:sz w:val="18"/>
                <w:highlight w:val="yellow"/>
              </w:rPr>
              <w:t>shall cease</w:t>
            </w:r>
            <w:r>
              <w:rPr>
                <w:color w:val="000000"/>
                <w:spacing w:val="-1"/>
                <w:sz w:val="18"/>
                <w:highlight w:val="yellow"/>
              </w:rPr>
              <w:t> </w:t>
            </w:r>
            <w:r>
              <w:rPr>
                <w:color w:val="000000"/>
                <w:sz w:val="18"/>
                <w:highlight w:val="yellow"/>
              </w:rPr>
              <w:t>to</w:t>
            </w:r>
            <w:r>
              <w:rPr>
                <w:color w:val="000000"/>
                <w:spacing w:val="-1"/>
                <w:sz w:val="18"/>
                <w:highlight w:val="yellow"/>
              </w:rPr>
              <w:t> </w:t>
            </w:r>
            <w:r>
              <w:rPr>
                <w:color w:val="000000"/>
                <w:sz w:val="18"/>
                <w:highlight w:val="yellow"/>
              </w:rPr>
              <w:t>be available</w:t>
            </w:r>
            <w:r>
              <w:rPr>
                <w:color w:val="000000"/>
                <w:spacing w:val="-1"/>
                <w:sz w:val="18"/>
                <w:highlight w:val="yellow"/>
              </w:rPr>
              <w:t> </w:t>
            </w:r>
            <w:r>
              <w:rPr>
                <w:color w:val="000000"/>
                <w:sz w:val="18"/>
                <w:highlight w:val="yellow"/>
              </w:rPr>
              <w:t>and the</w:t>
            </w:r>
            <w:r>
              <w:rPr>
                <w:color w:val="000000"/>
                <w:spacing w:val="-1"/>
                <w:sz w:val="18"/>
                <w:highlight w:val="yellow"/>
              </w:rPr>
              <w:t> </w:t>
            </w:r>
            <w:r>
              <w:rPr>
                <w:color w:val="000000"/>
                <w:sz w:val="18"/>
                <w:highlight w:val="yellow"/>
              </w:rPr>
              <w:t>Facility </w:t>
            </w:r>
            <w:r>
              <w:rPr>
                <w:color w:val="000000"/>
                <w:spacing w:val="-2"/>
                <w:sz w:val="18"/>
                <w:highlight w:val="yellow"/>
              </w:rPr>
              <w:t>Documents</w:t>
            </w:r>
          </w:p>
        </w:tc>
      </w:tr>
    </w:tbl>
    <w:p>
      <w:pPr>
        <w:pStyle w:val="TableParagraph"/>
        <w:spacing w:after="0"/>
        <w:rPr>
          <w:sz w:val="18"/>
        </w:rPr>
        <w:sectPr>
          <w:pgSz w:w="12240" w:h="15840"/>
          <w:pgMar w:header="720" w:footer="785" w:top="1400" w:bottom="980" w:left="1440" w:right="720"/>
        </w:sectPr>
      </w:pPr>
    </w:p>
    <w:p>
      <w:pPr>
        <w:pStyle w:val="BodyText"/>
        <w:spacing w:before="9"/>
        <w:rPr>
          <w:rFonts w:ascii="Arial"/>
          <w:b/>
          <w:sz w:val="6"/>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4040" w:hRule="atLeast"/>
        </w:trPr>
        <w:tc>
          <w:tcPr>
            <w:tcW w:w="3480" w:type="dxa"/>
          </w:tcPr>
          <w:p>
            <w:pPr>
              <w:pStyle w:val="TableParagraph"/>
              <w:ind w:left="0"/>
              <w:rPr>
                <w:rFonts w:ascii="Times New Roman"/>
                <w:sz w:val="18"/>
              </w:rPr>
            </w:pPr>
          </w:p>
        </w:tc>
        <w:tc>
          <w:tcPr>
            <w:tcW w:w="6360" w:type="dxa"/>
          </w:tcPr>
          <w:p>
            <w:pPr>
              <w:pStyle w:val="TableParagraph"/>
              <w:spacing w:line="276" w:lineRule="auto" w:before="1"/>
              <w:ind w:right="96"/>
              <w:jc w:val="both"/>
              <w:rPr>
                <w:sz w:val="18"/>
              </w:rPr>
            </w:pPr>
            <w:r>
              <w:rPr>
                <w:sz w:val="18"/>
              </w:rPr>
              <mc:AlternateContent>
                <mc:Choice Requires="wps">
                  <w:drawing>
                    <wp:anchor distT="0" distB="0" distL="0" distR="0" allowOverlap="1" layoutInCell="1" locked="0" behindDoc="1" simplePos="0" relativeHeight="487296000">
                      <wp:simplePos x="0" y="0"/>
                      <wp:positionH relativeFrom="column">
                        <wp:posOffset>69849</wp:posOffset>
                      </wp:positionH>
                      <wp:positionV relativeFrom="paragraph">
                        <wp:posOffset>635</wp:posOffset>
                      </wp:positionV>
                      <wp:extent cx="3893820" cy="1314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893820" cy="131445"/>
                                <a:chExt cx="3893820" cy="131445"/>
                              </a:xfrm>
                            </wpg:grpSpPr>
                            <wps:wsp>
                              <wps:cNvPr id="8" name="Graphic 8"/>
                              <wps:cNvSpPr/>
                              <wps:spPr>
                                <a:xfrm>
                                  <a:off x="0" y="0"/>
                                  <a:ext cx="3893820" cy="131445"/>
                                </a:xfrm>
                                <a:custGeom>
                                  <a:avLst/>
                                  <a:gdLst/>
                                  <a:ahLst/>
                                  <a:cxnLst/>
                                  <a:rect l="l" t="t" r="r" b="b"/>
                                  <a:pathLst>
                                    <a:path w="3893820" h="131445">
                                      <a:moveTo>
                                        <a:pt x="3893194" y="131433"/>
                                      </a:moveTo>
                                      <a:lnTo>
                                        <a:pt x="0" y="131433"/>
                                      </a:lnTo>
                                      <a:lnTo>
                                        <a:pt x="0" y="0"/>
                                      </a:lnTo>
                                      <a:lnTo>
                                        <a:pt x="3893194" y="0"/>
                                      </a:lnTo>
                                      <a:lnTo>
                                        <a:pt x="3893194" y="131433"/>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499998pt;margin-top:.05pt;width:306.6pt;height:10.35pt;mso-position-horizontal-relative:column;mso-position-vertical-relative:paragraph;z-index:-16020480" id="docshapegroup6" coordorigin="110,1" coordsize="6132,207">
                      <v:rect style="position:absolute;left:110;top:1;width:6132;height:207" id="docshape7" filled="true" fillcolor="#ffff00" stroked="false">
                        <v:fill type="solid"/>
                      </v:rect>
                      <w10:wrap type="none"/>
                    </v:group>
                  </w:pict>
                </mc:Fallback>
              </mc:AlternateContent>
            </w:r>
            <w:r>
              <w:rPr>
                <w:sz w:val="18"/>
              </w:rPr>
              <w:t>shall not govern such Tranche Facility. In the event such Tranche </w:t>
            </w:r>
            <w:r>
              <w:rPr>
                <w:sz w:val="18"/>
              </w:rPr>
              <w:t>Facility </w:t>
            </w:r>
            <w:r>
              <w:rPr>
                <w:color w:val="000000"/>
                <w:sz w:val="18"/>
                <w:highlight w:val="yellow"/>
              </w:rPr>
              <w:t>was the only Tranche Facility being made available under the Facility, the</w:t>
            </w:r>
            <w:r>
              <w:rPr>
                <w:color w:val="000000"/>
                <w:sz w:val="18"/>
              </w:rPr>
              <w:t> </w:t>
            </w:r>
            <w:r>
              <w:rPr>
                <w:color w:val="000000"/>
                <w:sz w:val="18"/>
                <w:highlight w:val="yellow"/>
              </w:rPr>
              <w:t>Facility Documents shall stand terminated.</w:t>
            </w:r>
          </w:p>
          <w:p>
            <w:pPr>
              <w:pStyle w:val="TableParagraph"/>
              <w:spacing w:before="30"/>
              <w:ind w:left="0"/>
              <w:rPr>
                <w:rFonts w:ascii="Arial"/>
                <w:b/>
                <w:sz w:val="18"/>
              </w:rPr>
            </w:pPr>
          </w:p>
          <w:p>
            <w:pPr>
              <w:pStyle w:val="TableParagraph"/>
              <w:spacing w:line="276" w:lineRule="auto" w:before="1"/>
              <w:ind w:right="94"/>
              <w:jc w:val="both"/>
              <w:rPr>
                <w:sz w:val="18"/>
              </w:rPr>
            </w:pPr>
            <w:r>
              <w:rPr>
                <w:color w:val="000000"/>
                <w:sz w:val="18"/>
                <w:highlight w:val="yellow"/>
              </w:rPr>
              <w:t>The Obligor shall not be entitled to cancel or refuse to</w:t>
            </w:r>
            <w:r>
              <w:rPr>
                <w:color w:val="000000"/>
                <w:spacing w:val="-3"/>
                <w:sz w:val="18"/>
                <w:highlight w:val="yellow"/>
              </w:rPr>
              <w:t> </w:t>
            </w:r>
            <w:r>
              <w:rPr>
                <w:color w:val="000000"/>
                <w:sz w:val="18"/>
                <w:highlight w:val="yellow"/>
              </w:rPr>
              <w:t>accept</w:t>
            </w:r>
            <w:r>
              <w:rPr>
                <w:color w:val="000000"/>
                <w:spacing w:val="-3"/>
                <w:sz w:val="18"/>
                <w:highlight w:val="yellow"/>
              </w:rPr>
              <w:t> </w:t>
            </w:r>
            <w:r>
              <w:rPr>
                <w:color w:val="000000"/>
                <w:sz w:val="18"/>
                <w:highlight w:val="yellow"/>
              </w:rPr>
              <w:t>disbursement</w:t>
            </w:r>
            <w:r>
              <w:rPr>
                <w:color w:val="000000"/>
                <w:sz w:val="18"/>
              </w:rPr>
              <w:t> </w:t>
            </w:r>
            <w:r>
              <w:rPr>
                <w:color w:val="000000"/>
                <w:sz w:val="18"/>
                <w:highlight w:val="yellow"/>
              </w:rPr>
              <w:t>of any Tranche Facility, once it has issued a Disbursement Request</w:t>
            </w:r>
            <w:r>
              <w:rPr>
                <w:color w:val="000000"/>
                <w:sz w:val="18"/>
              </w:rPr>
              <w:t> </w:t>
            </w:r>
            <w:r>
              <w:rPr>
                <w:color w:val="000000"/>
                <w:sz w:val="18"/>
                <w:highlight w:val="yellow"/>
              </w:rPr>
              <w:t>requesting</w:t>
            </w:r>
            <w:r>
              <w:rPr>
                <w:color w:val="000000"/>
                <w:spacing w:val="-5"/>
                <w:sz w:val="18"/>
                <w:highlight w:val="yellow"/>
              </w:rPr>
              <w:t> </w:t>
            </w:r>
            <w:r>
              <w:rPr>
                <w:color w:val="000000"/>
                <w:sz w:val="18"/>
                <w:highlight w:val="yellow"/>
              </w:rPr>
              <w:t>the</w:t>
            </w:r>
            <w:r>
              <w:rPr>
                <w:color w:val="000000"/>
                <w:spacing w:val="-5"/>
                <w:sz w:val="18"/>
                <w:highlight w:val="yellow"/>
              </w:rPr>
              <w:t> </w:t>
            </w:r>
            <w:r>
              <w:rPr>
                <w:color w:val="000000"/>
                <w:sz w:val="18"/>
                <w:highlight w:val="yellow"/>
              </w:rPr>
              <w:t>Lender</w:t>
            </w:r>
            <w:r>
              <w:rPr>
                <w:color w:val="000000"/>
                <w:spacing w:val="-5"/>
                <w:sz w:val="18"/>
                <w:highlight w:val="yellow"/>
              </w:rPr>
              <w:t> </w:t>
            </w:r>
            <w:r>
              <w:rPr>
                <w:color w:val="000000"/>
                <w:sz w:val="18"/>
                <w:highlight w:val="yellow"/>
              </w:rPr>
              <w:t>for</w:t>
            </w:r>
            <w:r>
              <w:rPr>
                <w:color w:val="000000"/>
                <w:spacing w:val="-5"/>
                <w:sz w:val="18"/>
                <w:highlight w:val="yellow"/>
              </w:rPr>
              <w:t> </w:t>
            </w:r>
            <w:r>
              <w:rPr>
                <w:color w:val="000000"/>
                <w:sz w:val="18"/>
                <w:highlight w:val="yellow"/>
              </w:rPr>
              <w:t>disbursal</w:t>
            </w:r>
            <w:r>
              <w:rPr>
                <w:color w:val="000000"/>
                <w:spacing w:val="-5"/>
                <w:sz w:val="18"/>
                <w:highlight w:val="yellow"/>
              </w:rPr>
              <w:t> </w:t>
            </w:r>
            <w:r>
              <w:rPr>
                <w:color w:val="000000"/>
                <w:sz w:val="18"/>
                <w:highlight w:val="yellow"/>
              </w:rPr>
              <w:t>of</w:t>
            </w:r>
            <w:r>
              <w:rPr>
                <w:color w:val="000000"/>
                <w:spacing w:val="-5"/>
                <w:sz w:val="18"/>
                <w:highlight w:val="yellow"/>
              </w:rPr>
              <w:t> </w:t>
            </w:r>
            <w:r>
              <w:rPr>
                <w:color w:val="000000"/>
                <w:sz w:val="18"/>
                <w:highlight w:val="yellow"/>
              </w:rPr>
              <w:t>such</w:t>
            </w:r>
            <w:r>
              <w:rPr>
                <w:color w:val="000000"/>
                <w:spacing w:val="-5"/>
                <w:sz w:val="18"/>
                <w:highlight w:val="yellow"/>
              </w:rPr>
              <w:t> </w:t>
            </w:r>
            <w:r>
              <w:rPr>
                <w:color w:val="000000"/>
                <w:sz w:val="18"/>
                <w:highlight w:val="yellow"/>
              </w:rPr>
              <w:t>Tranche</w:t>
            </w:r>
            <w:r>
              <w:rPr>
                <w:color w:val="000000"/>
                <w:spacing w:val="-5"/>
                <w:sz w:val="18"/>
                <w:highlight w:val="yellow"/>
              </w:rPr>
              <w:t> </w:t>
            </w:r>
            <w:r>
              <w:rPr>
                <w:color w:val="000000"/>
                <w:sz w:val="18"/>
                <w:highlight w:val="yellow"/>
              </w:rPr>
              <w:t>Facility,</w:t>
            </w:r>
            <w:r>
              <w:rPr>
                <w:color w:val="000000"/>
                <w:spacing w:val="-5"/>
                <w:sz w:val="18"/>
                <w:highlight w:val="yellow"/>
              </w:rPr>
              <w:t> </w:t>
            </w:r>
            <w:r>
              <w:rPr>
                <w:color w:val="000000"/>
                <w:sz w:val="18"/>
                <w:highlight w:val="yellow"/>
              </w:rPr>
              <w:t>except</w:t>
            </w:r>
            <w:r>
              <w:rPr>
                <w:color w:val="000000"/>
                <w:spacing w:val="-5"/>
                <w:sz w:val="18"/>
                <w:highlight w:val="yellow"/>
              </w:rPr>
              <w:t> </w:t>
            </w:r>
            <w:r>
              <w:rPr>
                <w:color w:val="000000"/>
                <w:sz w:val="18"/>
                <w:highlight w:val="yellow"/>
              </w:rPr>
              <w:t>with</w:t>
            </w:r>
            <w:r>
              <w:rPr>
                <w:color w:val="000000"/>
                <w:spacing w:val="-5"/>
                <w:sz w:val="18"/>
                <w:highlight w:val="yellow"/>
              </w:rPr>
              <w:t> </w:t>
            </w:r>
            <w:r>
              <w:rPr>
                <w:color w:val="000000"/>
                <w:sz w:val="18"/>
                <w:highlight w:val="yellow"/>
              </w:rPr>
              <w:t>prior</w:t>
            </w:r>
            <w:r>
              <w:rPr>
                <w:color w:val="000000"/>
                <w:sz w:val="18"/>
              </w:rPr>
              <w:t> </w:t>
            </w:r>
            <w:r>
              <w:rPr>
                <w:color w:val="000000"/>
                <w:sz w:val="18"/>
                <w:highlight w:val="yellow"/>
              </w:rPr>
              <w:t>written approval of the Lender and upon payment of such cancellation</w:t>
            </w:r>
            <w:r>
              <w:rPr>
                <w:color w:val="000000"/>
                <w:sz w:val="18"/>
              </w:rPr>
              <w:t> </w:t>
            </w:r>
            <w:r>
              <w:rPr>
                <w:color w:val="000000"/>
                <w:sz w:val="18"/>
                <w:highlight w:val="yellow"/>
              </w:rPr>
              <w:t>charges as set out in the relevant Tranche Facility KFS. Further, such</w:t>
            </w:r>
            <w:r>
              <w:rPr>
                <w:color w:val="000000"/>
                <w:sz w:val="18"/>
              </w:rPr>
              <w:t> </w:t>
            </w:r>
            <w:r>
              <w:rPr>
                <w:color w:val="000000"/>
                <w:sz w:val="18"/>
                <w:highlight w:val="yellow"/>
              </w:rPr>
              <w:t>cancellation shall take effect only</w:t>
            </w:r>
            <w:r>
              <w:rPr>
                <w:color w:val="000000"/>
                <w:spacing w:val="-3"/>
                <w:sz w:val="18"/>
                <w:highlight w:val="yellow"/>
              </w:rPr>
              <w:t> </w:t>
            </w:r>
            <w:r>
              <w:rPr>
                <w:color w:val="000000"/>
                <w:sz w:val="18"/>
                <w:highlight w:val="yellow"/>
              </w:rPr>
              <w:t>when</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Obligors</w:t>
            </w:r>
            <w:r>
              <w:rPr>
                <w:color w:val="000000"/>
                <w:spacing w:val="-3"/>
                <w:sz w:val="18"/>
                <w:highlight w:val="yellow"/>
              </w:rPr>
              <w:t> </w:t>
            </w:r>
            <w:r>
              <w:rPr>
                <w:color w:val="000000"/>
                <w:sz w:val="18"/>
                <w:highlight w:val="yellow"/>
              </w:rPr>
              <w:t>have</w:t>
            </w:r>
            <w:r>
              <w:rPr>
                <w:color w:val="000000"/>
                <w:spacing w:val="-3"/>
                <w:sz w:val="18"/>
                <w:highlight w:val="yellow"/>
              </w:rPr>
              <w:t> </w:t>
            </w:r>
            <w:r>
              <w:rPr>
                <w:color w:val="000000"/>
                <w:sz w:val="18"/>
                <w:highlight w:val="yellow"/>
              </w:rPr>
              <w:t>paid</w:t>
            </w:r>
            <w:r>
              <w:rPr>
                <w:color w:val="000000"/>
                <w:spacing w:val="-3"/>
                <w:sz w:val="18"/>
                <w:highlight w:val="yellow"/>
              </w:rPr>
              <w:t> </w:t>
            </w:r>
            <w:r>
              <w:rPr>
                <w:color w:val="000000"/>
                <w:sz w:val="18"/>
                <w:highlight w:val="yellow"/>
              </w:rPr>
              <w:t>to</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Lender</w:t>
            </w:r>
            <w:r>
              <w:rPr>
                <w:color w:val="000000"/>
                <w:sz w:val="18"/>
              </w:rPr>
              <w:t> </w:t>
            </w:r>
            <w:r>
              <w:rPr>
                <w:color w:val="000000"/>
                <w:sz w:val="18"/>
                <w:highlight w:val="yellow"/>
              </w:rPr>
              <w:t>the Outstandings in full to the Lender’s satisfaction. Notwithstanding</w:t>
            </w:r>
            <w:r>
              <w:rPr>
                <w:color w:val="000000"/>
                <w:spacing w:val="80"/>
                <w:sz w:val="18"/>
              </w:rPr>
              <w:t> </w:t>
            </w:r>
            <w:r>
              <w:rPr>
                <w:color w:val="000000"/>
                <w:sz w:val="18"/>
                <w:highlight w:val="yellow"/>
              </w:rPr>
              <w:t>anything contained hereinabove, no cancellation charges shall be levied if</w:t>
            </w:r>
            <w:r>
              <w:rPr>
                <w:color w:val="000000"/>
                <w:spacing w:val="40"/>
                <w:sz w:val="18"/>
              </w:rPr>
              <w:t> </w:t>
            </w:r>
            <w:r>
              <w:rPr>
                <w:color w:val="000000"/>
                <w:sz w:val="18"/>
                <w:highlight w:val="yellow"/>
              </w:rPr>
              <w:t>the relevant Tranche Facility is cancelled during the Cooling-Off Period.</w:t>
            </w:r>
          </w:p>
          <w:p>
            <w:pPr>
              <w:pStyle w:val="TableParagraph"/>
              <w:spacing w:before="8"/>
              <w:ind w:left="0"/>
              <w:rPr>
                <w:rFonts w:ascii="Arial"/>
                <w:b/>
                <w:sz w:val="18"/>
              </w:rPr>
            </w:pPr>
          </w:p>
          <w:p>
            <w:pPr>
              <w:pStyle w:val="TableParagraph"/>
              <w:spacing w:line="230" w:lineRule="atLeast"/>
              <w:ind w:right="96"/>
              <w:jc w:val="both"/>
              <w:rPr>
                <w:sz w:val="18"/>
              </w:rPr>
            </w:pPr>
            <w:r>
              <w:rPr>
                <w:color w:val="000000"/>
                <w:sz w:val="18"/>
                <w:highlight w:val="yellow"/>
              </w:rPr>
              <w:t>It is clarified that the Processing Fee charged</w:t>
            </w:r>
            <w:r>
              <w:rPr>
                <w:color w:val="000000"/>
                <w:spacing w:val="-3"/>
                <w:sz w:val="18"/>
                <w:highlight w:val="yellow"/>
              </w:rPr>
              <w:t> </w:t>
            </w:r>
            <w:r>
              <w:rPr>
                <w:color w:val="000000"/>
                <w:sz w:val="18"/>
                <w:highlight w:val="yellow"/>
              </w:rPr>
              <w:t>at</w:t>
            </w:r>
            <w:r>
              <w:rPr>
                <w:color w:val="000000"/>
                <w:spacing w:val="-3"/>
                <w:sz w:val="18"/>
                <w:highlight w:val="yellow"/>
              </w:rPr>
              <w:t> </w:t>
            </w:r>
            <w:r>
              <w:rPr>
                <w:color w:val="000000"/>
                <w:sz w:val="18"/>
                <w:highlight w:val="yellow"/>
              </w:rPr>
              <w:t>the</w:t>
            </w:r>
            <w:r>
              <w:rPr>
                <w:color w:val="000000"/>
                <w:spacing w:val="-3"/>
                <w:sz w:val="18"/>
                <w:highlight w:val="yellow"/>
              </w:rPr>
              <w:t> </w:t>
            </w:r>
            <w:r>
              <w:rPr>
                <w:color w:val="000000"/>
                <w:sz w:val="18"/>
                <w:highlight w:val="yellow"/>
              </w:rPr>
              <w:t>time</w:t>
            </w:r>
            <w:r>
              <w:rPr>
                <w:color w:val="000000"/>
                <w:spacing w:val="-3"/>
                <w:sz w:val="18"/>
                <w:highlight w:val="yellow"/>
              </w:rPr>
              <w:t> </w:t>
            </w:r>
            <w:r>
              <w:rPr>
                <w:color w:val="000000"/>
                <w:sz w:val="18"/>
                <w:highlight w:val="yellow"/>
              </w:rPr>
              <w:t>of</w:t>
            </w:r>
            <w:r>
              <w:rPr>
                <w:color w:val="000000"/>
                <w:spacing w:val="-3"/>
                <w:sz w:val="18"/>
                <w:highlight w:val="yellow"/>
              </w:rPr>
              <w:t> </w:t>
            </w:r>
            <w:r>
              <w:rPr>
                <w:color w:val="000000"/>
                <w:sz w:val="18"/>
                <w:highlight w:val="yellow"/>
              </w:rPr>
              <w:t>disbursement</w:t>
            </w:r>
            <w:r>
              <w:rPr>
                <w:color w:val="000000"/>
                <w:spacing w:val="-3"/>
                <w:sz w:val="18"/>
                <w:highlight w:val="yellow"/>
              </w:rPr>
              <w:t> </w:t>
            </w:r>
            <w:r>
              <w:rPr>
                <w:color w:val="000000"/>
                <w:sz w:val="18"/>
                <w:highlight w:val="yellow"/>
              </w:rPr>
              <w:t>of</w:t>
            </w:r>
            <w:r>
              <w:rPr>
                <w:color w:val="000000"/>
                <w:sz w:val="18"/>
              </w:rPr>
              <w:t> </w:t>
            </w:r>
            <w:r>
              <w:rPr>
                <w:color w:val="000000"/>
                <w:sz w:val="18"/>
                <w:highlight w:val="yellow"/>
              </w:rPr>
              <w:t>such Tranche Facility shall not be refunded if the Borrower exercises the</w:t>
            </w:r>
            <w:r>
              <w:rPr>
                <w:color w:val="000000"/>
                <w:sz w:val="18"/>
              </w:rPr>
              <w:t> </w:t>
            </w:r>
            <w:r>
              <w:rPr>
                <w:color w:val="000000"/>
                <w:sz w:val="18"/>
                <w:highlight w:val="yellow"/>
              </w:rPr>
              <w:t>aforesaid option.</w:t>
            </w:r>
          </w:p>
        </w:tc>
      </w:tr>
      <w:tr>
        <w:trPr>
          <w:trHeight w:val="2560" w:hRule="atLeast"/>
        </w:trPr>
        <w:tc>
          <w:tcPr>
            <w:tcW w:w="3480" w:type="dxa"/>
          </w:tcPr>
          <w:p>
            <w:pPr>
              <w:pStyle w:val="TableParagraph"/>
              <w:spacing w:before="2"/>
              <w:ind w:left="124"/>
              <w:rPr>
                <w:rFonts w:ascii="Arial"/>
                <w:b/>
                <w:sz w:val="18"/>
              </w:rPr>
            </w:pPr>
            <w:r>
              <w:rPr>
                <w:rFonts w:ascii="Arial"/>
                <w:b/>
                <w:spacing w:val="-2"/>
                <w:sz w:val="18"/>
              </w:rPr>
              <w:t>Security/Collateral</w:t>
            </w:r>
          </w:p>
        </w:tc>
        <w:tc>
          <w:tcPr>
            <w:tcW w:w="6360" w:type="dxa"/>
          </w:tcPr>
          <w:p>
            <w:pPr>
              <w:pStyle w:val="TableParagraph"/>
              <w:spacing w:line="276" w:lineRule="auto" w:before="2"/>
              <w:ind w:right="94"/>
              <w:jc w:val="both"/>
              <w:rPr>
                <w:sz w:val="18"/>
              </w:rPr>
            </w:pPr>
            <w:r>
              <w:rPr>
                <w:sz w:val="18"/>
              </w:rPr>
              <w:t>In compliance with Applicable Laws, the Security Provider(s) will provide </w:t>
            </w:r>
            <w:r>
              <w:rPr>
                <w:sz w:val="18"/>
              </w:rPr>
              <w:t>to the Lender the security over equity shares and/or mutual funds unit acceptable to the</w:t>
            </w:r>
            <w:r>
              <w:rPr>
                <w:spacing w:val="-3"/>
                <w:sz w:val="18"/>
              </w:rPr>
              <w:t> </w:t>
            </w:r>
            <w:r>
              <w:rPr>
                <w:sz w:val="18"/>
              </w:rPr>
              <w:t>Lender</w:t>
            </w:r>
            <w:r>
              <w:rPr>
                <w:spacing w:val="-3"/>
                <w:sz w:val="18"/>
              </w:rPr>
              <w:t> </w:t>
            </w:r>
            <w:r>
              <w:rPr>
                <w:sz w:val="18"/>
              </w:rPr>
              <w:t>as</w:t>
            </w:r>
            <w:r>
              <w:rPr>
                <w:spacing w:val="-3"/>
                <w:sz w:val="18"/>
              </w:rPr>
              <w:t> </w:t>
            </w:r>
            <w:r>
              <w:rPr>
                <w:sz w:val="18"/>
              </w:rPr>
              <w:t>per</w:t>
            </w:r>
            <w:r>
              <w:rPr>
                <w:spacing w:val="-3"/>
                <w:sz w:val="18"/>
              </w:rPr>
              <w:t> </w:t>
            </w:r>
            <w:r>
              <w:rPr>
                <w:sz w:val="18"/>
              </w:rPr>
              <w:t>its</w:t>
            </w:r>
            <w:r>
              <w:rPr>
                <w:spacing w:val="-3"/>
                <w:sz w:val="18"/>
              </w:rPr>
              <w:t> </w:t>
            </w:r>
            <w:r>
              <w:rPr>
                <w:sz w:val="18"/>
              </w:rPr>
              <w:t>internal</w:t>
            </w:r>
            <w:r>
              <w:rPr>
                <w:spacing w:val="-3"/>
                <w:sz w:val="18"/>
              </w:rPr>
              <w:t> </w:t>
            </w:r>
            <w:r>
              <w:rPr>
                <w:sz w:val="18"/>
              </w:rPr>
              <w:t>policies</w:t>
            </w:r>
            <w:r>
              <w:rPr>
                <w:spacing w:val="-3"/>
                <w:sz w:val="18"/>
              </w:rPr>
              <w:t> </w:t>
            </w:r>
            <w:r>
              <w:rPr>
                <w:sz w:val="18"/>
              </w:rPr>
              <w:t>for</w:t>
            </w:r>
            <w:r>
              <w:rPr>
                <w:spacing w:val="-3"/>
                <w:sz w:val="18"/>
              </w:rPr>
              <w:t> </w:t>
            </w:r>
            <w:r>
              <w:rPr>
                <w:sz w:val="18"/>
              </w:rPr>
              <w:t>such</w:t>
            </w:r>
            <w:r>
              <w:rPr>
                <w:spacing w:val="-3"/>
                <w:sz w:val="18"/>
              </w:rPr>
              <w:t> </w:t>
            </w:r>
            <w:r>
              <w:rPr>
                <w:sz w:val="18"/>
              </w:rPr>
              <w:t>value</w:t>
            </w:r>
            <w:r>
              <w:rPr>
                <w:spacing w:val="-3"/>
                <w:sz w:val="18"/>
              </w:rPr>
              <w:t> </w:t>
            </w:r>
            <w:r>
              <w:rPr>
                <w:sz w:val="18"/>
              </w:rPr>
              <w:t>as</w:t>
            </w:r>
            <w:r>
              <w:rPr>
                <w:spacing w:val="-3"/>
                <w:sz w:val="18"/>
              </w:rPr>
              <w:t> </w:t>
            </w:r>
            <w:r>
              <w:rPr>
                <w:sz w:val="18"/>
              </w:rPr>
              <w:t>may</w:t>
            </w:r>
            <w:r>
              <w:rPr>
                <w:spacing w:val="-3"/>
                <w:sz w:val="18"/>
              </w:rPr>
              <w:t> </w:t>
            </w:r>
            <w:r>
              <w:rPr>
                <w:sz w:val="18"/>
              </w:rPr>
              <w:t>be required by the Lender from time to time. The borrower(s) shall ensure that the margin shall not be less than the required margin at all times.</w:t>
            </w:r>
          </w:p>
          <w:p>
            <w:pPr>
              <w:pStyle w:val="TableParagraph"/>
              <w:spacing w:before="140"/>
              <w:jc w:val="both"/>
              <w:rPr>
                <w:sz w:val="18"/>
              </w:rPr>
            </w:pPr>
            <w:r>
              <w:rPr>
                <w:sz w:val="18"/>
              </w:rPr>
              <w:t>The acceptable securities provided for pledge or lien to the Lender </w:t>
            </w:r>
            <w:r>
              <w:rPr>
                <w:spacing w:val="-2"/>
                <w:sz w:val="18"/>
              </w:rPr>
              <w:t>shall:</w:t>
            </w:r>
          </w:p>
          <w:p>
            <w:pPr>
              <w:pStyle w:val="TableParagraph"/>
              <w:numPr>
                <w:ilvl w:val="0"/>
                <w:numId w:val="10"/>
              </w:numPr>
              <w:tabs>
                <w:tab w:pos="829" w:val="left" w:leader="none"/>
              </w:tabs>
              <w:spacing w:line="276" w:lineRule="auto" w:before="171" w:after="0"/>
              <w:ind w:left="829" w:right="99" w:hanging="360"/>
              <w:jc w:val="left"/>
              <w:rPr>
                <w:sz w:val="18"/>
              </w:rPr>
            </w:pPr>
            <w:r>
              <w:rPr>
                <w:sz w:val="18"/>
              </w:rPr>
              <w:t>be</w:t>
            </w:r>
            <w:r>
              <w:rPr>
                <w:spacing w:val="25"/>
                <w:sz w:val="18"/>
              </w:rPr>
              <w:t> </w:t>
            </w:r>
            <w:r>
              <w:rPr>
                <w:sz w:val="18"/>
              </w:rPr>
              <w:t>owned and pledged from the beneficiary de-mat account of </w:t>
            </w:r>
            <w:r>
              <w:rPr>
                <w:sz w:val="18"/>
              </w:rPr>
              <w:t>the Obligor(s); and</w:t>
            </w:r>
          </w:p>
          <w:p>
            <w:pPr>
              <w:pStyle w:val="TableParagraph"/>
              <w:numPr>
                <w:ilvl w:val="0"/>
                <w:numId w:val="10"/>
              </w:numPr>
              <w:tabs>
                <w:tab w:pos="828" w:val="left" w:leader="none"/>
              </w:tabs>
              <w:spacing w:line="240" w:lineRule="auto" w:before="0" w:after="0"/>
              <w:ind w:left="828" w:right="0" w:hanging="359"/>
              <w:jc w:val="left"/>
              <w:rPr>
                <w:sz w:val="18"/>
              </w:rPr>
            </w:pPr>
            <w:r>
              <w:rPr>
                <w:sz w:val="18"/>
              </w:rPr>
              <w:t>be free of any charge, lock-in or encumbrance of any </w:t>
            </w:r>
            <w:r>
              <w:rPr>
                <w:spacing w:val="-2"/>
                <w:sz w:val="18"/>
              </w:rPr>
              <w:t>kind.</w:t>
            </w:r>
          </w:p>
        </w:tc>
      </w:tr>
      <w:tr>
        <w:trPr>
          <w:trHeight w:val="840" w:hRule="atLeast"/>
        </w:trPr>
        <w:tc>
          <w:tcPr>
            <w:tcW w:w="3480" w:type="dxa"/>
          </w:tcPr>
          <w:p>
            <w:pPr>
              <w:pStyle w:val="TableParagraph"/>
              <w:spacing w:line="207" w:lineRule="exact"/>
              <w:ind w:left="124"/>
              <w:rPr>
                <w:rFonts w:ascii="Arial"/>
                <w:b/>
                <w:sz w:val="18"/>
              </w:rPr>
            </w:pPr>
            <w:r>
              <w:rPr>
                <w:rFonts w:ascii="Arial"/>
                <w:b/>
                <w:spacing w:val="-2"/>
                <w:sz w:val="18"/>
              </w:rPr>
              <w:t>Guarantee</w:t>
            </w:r>
          </w:p>
        </w:tc>
        <w:tc>
          <w:tcPr>
            <w:tcW w:w="6360" w:type="dxa"/>
          </w:tcPr>
          <w:p>
            <w:pPr>
              <w:pStyle w:val="TableParagraph"/>
              <w:spacing w:line="276" w:lineRule="auto"/>
              <w:ind w:right="95"/>
              <w:jc w:val="both"/>
              <w:rPr>
                <w:sz w:val="18"/>
              </w:rPr>
            </w:pPr>
            <w:r>
              <w:rPr>
                <w:sz w:val="18"/>
              </w:rPr>
              <w:t>The Guarantor (wherever applicable) will provide an irrevocable and unconditional guarantee for the punctual performance of the obligations </w:t>
            </w:r>
            <w:r>
              <w:rPr>
                <w:sz w:val="18"/>
              </w:rPr>
              <w:t>by the borrower(s) under the Facility documents.</w:t>
            </w:r>
          </w:p>
        </w:tc>
      </w:tr>
      <w:tr>
        <w:trPr>
          <w:trHeight w:val="859" w:hRule="atLeast"/>
        </w:trPr>
        <w:tc>
          <w:tcPr>
            <w:tcW w:w="3480" w:type="dxa"/>
          </w:tcPr>
          <w:p>
            <w:pPr>
              <w:pStyle w:val="TableParagraph"/>
              <w:spacing w:before="8"/>
              <w:ind w:left="124"/>
              <w:rPr>
                <w:rFonts w:ascii="Arial"/>
                <w:b/>
                <w:sz w:val="18"/>
              </w:rPr>
            </w:pPr>
            <w:r>
              <w:rPr>
                <w:rFonts w:ascii="Arial"/>
                <w:b/>
                <w:spacing w:val="-2"/>
                <w:sz w:val="18"/>
              </w:rPr>
              <w:t>Margin</w:t>
            </w:r>
          </w:p>
        </w:tc>
        <w:tc>
          <w:tcPr>
            <w:tcW w:w="6360" w:type="dxa"/>
          </w:tcPr>
          <w:p>
            <w:pPr>
              <w:pStyle w:val="TableParagraph"/>
              <w:spacing w:line="276" w:lineRule="auto" w:before="8"/>
              <w:ind w:right="97"/>
              <w:jc w:val="both"/>
              <w:rPr>
                <w:sz w:val="18"/>
              </w:rPr>
            </w:pPr>
            <w:r>
              <w:rPr>
                <w:sz w:val="18"/>
              </w:rPr>
              <w:t>Margin will be calculated as the difference between the market value of </w:t>
            </w:r>
            <w:r>
              <w:rPr>
                <w:sz w:val="18"/>
              </w:rPr>
              <w:t>the collateral/securities (listed equity shares, mutual funds or both) and the outstanding under the Facility.</w:t>
            </w:r>
          </w:p>
        </w:tc>
      </w:tr>
      <w:tr>
        <w:trPr>
          <w:trHeight w:val="1799" w:hRule="atLeast"/>
        </w:trPr>
        <w:tc>
          <w:tcPr>
            <w:tcW w:w="3480" w:type="dxa"/>
          </w:tcPr>
          <w:p>
            <w:pPr>
              <w:pStyle w:val="TableParagraph"/>
              <w:spacing w:line="205" w:lineRule="exact"/>
              <w:ind w:left="124"/>
              <w:rPr>
                <w:rFonts w:ascii="Arial"/>
                <w:b/>
                <w:sz w:val="18"/>
              </w:rPr>
            </w:pPr>
            <w:r>
              <w:rPr>
                <w:rFonts w:ascii="Arial"/>
                <w:b/>
                <w:sz w:val="18"/>
              </w:rPr>
              <w:t>Market </w:t>
            </w:r>
            <w:r>
              <w:rPr>
                <w:rFonts w:ascii="Arial"/>
                <w:b/>
                <w:spacing w:val="-2"/>
                <w:sz w:val="18"/>
              </w:rPr>
              <w:t>Price</w:t>
            </w:r>
          </w:p>
        </w:tc>
        <w:tc>
          <w:tcPr>
            <w:tcW w:w="6360" w:type="dxa"/>
          </w:tcPr>
          <w:p>
            <w:pPr>
              <w:pStyle w:val="TableParagraph"/>
              <w:spacing w:line="276" w:lineRule="auto"/>
              <w:ind w:right="95"/>
              <w:jc w:val="both"/>
              <w:rPr>
                <w:sz w:val="18"/>
              </w:rPr>
            </w:pPr>
            <w:r>
              <w:rPr>
                <w:sz w:val="18"/>
              </w:rPr>
              <w:t>Market</w:t>
            </w:r>
            <w:r>
              <w:rPr>
                <w:spacing w:val="26"/>
                <w:sz w:val="18"/>
              </w:rPr>
              <w:t> </w:t>
            </w:r>
            <w:r>
              <w:rPr>
                <w:sz w:val="18"/>
              </w:rPr>
              <w:t>Price</w:t>
            </w:r>
            <w:r>
              <w:rPr>
                <w:spacing w:val="26"/>
                <w:sz w:val="18"/>
              </w:rPr>
              <w:t> </w:t>
            </w:r>
            <w:r>
              <w:rPr>
                <w:sz w:val="18"/>
              </w:rPr>
              <w:t>(i)</w:t>
            </w:r>
            <w:r>
              <w:rPr>
                <w:spacing w:val="26"/>
                <w:sz w:val="18"/>
              </w:rPr>
              <w:t> </w:t>
            </w:r>
            <w:r>
              <w:rPr>
                <w:sz w:val="18"/>
              </w:rPr>
              <w:t>in</w:t>
            </w:r>
            <w:r>
              <w:rPr>
                <w:spacing w:val="26"/>
                <w:sz w:val="18"/>
              </w:rPr>
              <w:t> </w:t>
            </w:r>
            <w:r>
              <w:rPr>
                <w:sz w:val="18"/>
              </w:rPr>
              <w:t>case of mutual fund units, means the net asset value </w:t>
            </w:r>
            <w:r>
              <w:rPr>
                <w:sz w:val="18"/>
              </w:rPr>
              <w:t>of the mutual fund units last published by the relevant mutual fund/asset management company/Association of Mutual Funds in India, (ii) in case of equity share, means the lower of (a) the last closing price of the equity</w:t>
            </w:r>
            <w:r>
              <w:rPr>
                <w:spacing w:val="40"/>
                <w:sz w:val="18"/>
              </w:rPr>
              <w:t> </w:t>
            </w:r>
            <w:r>
              <w:rPr>
                <w:sz w:val="18"/>
              </w:rPr>
              <w:t>shares on [NSE / BSE]</w:t>
            </w:r>
            <w:r>
              <w:rPr>
                <w:sz w:val="18"/>
                <w:vertAlign w:val="superscript"/>
              </w:rPr>
              <w:t>1</w:t>
            </w:r>
            <w:r>
              <w:rPr>
                <w:sz w:val="18"/>
                <w:vertAlign w:val="baseline"/>
              </w:rPr>
              <w:t>; or (b) the simple average of the daily volume weighted average price on [NSE / BSE] for each of the immediately preceding 60 (Sixty) Business Days;</w:t>
            </w:r>
          </w:p>
        </w:tc>
      </w:tr>
      <w:tr>
        <w:trPr>
          <w:trHeight w:val="1800" w:hRule="atLeast"/>
        </w:trPr>
        <w:tc>
          <w:tcPr>
            <w:tcW w:w="3480" w:type="dxa"/>
          </w:tcPr>
          <w:p>
            <w:pPr>
              <w:pStyle w:val="TableParagraph"/>
              <w:spacing w:line="206" w:lineRule="exact"/>
              <w:ind w:left="124"/>
              <w:rPr>
                <w:rFonts w:ascii="Arial"/>
                <w:b/>
                <w:sz w:val="18"/>
              </w:rPr>
            </w:pPr>
            <w:r>
              <w:rPr>
                <w:rFonts w:ascii="Arial"/>
                <w:b/>
                <w:sz w:val="18"/>
              </w:rPr>
              <w:t>Market </w:t>
            </w:r>
            <w:r>
              <w:rPr>
                <w:rFonts w:ascii="Arial"/>
                <w:b/>
                <w:spacing w:val="-2"/>
                <w:sz w:val="18"/>
              </w:rPr>
              <w:t>Value</w:t>
            </w:r>
          </w:p>
        </w:tc>
        <w:tc>
          <w:tcPr>
            <w:tcW w:w="6360" w:type="dxa"/>
          </w:tcPr>
          <w:p>
            <w:pPr>
              <w:pStyle w:val="TableParagraph"/>
              <w:spacing w:line="276" w:lineRule="auto"/>
              <w:ind w:right="94"/>
              <w:jc w:val="both"/>
              <w:rPr>
                <w:sz w:val="18"/>
              </w:rPr>
            </w:pPr>
            <w:r>
              <w:rPr>
                <w:sz w:val="18"/>
              </w:rPr>
              <w:t>Market Value means (i) in case of mutual fund units forming part of collateral/securities, the total value of the mutual fund units calculated as </w:t>
            </w:r>
            <w:r>
              <w:rPr>
                <w:sz w:val="18"/>
              </w:rPr>
              <w:t>a product of</w:t>
            </w:r>
            <w:r>
              <w:rPr>
                <w:spacing w:val="-3"/>
                <w:sz w:val="18"/>
              </w:rPr>
              <w:t> </w:t>
            </w:r>
            <w:r>
              <w:rPr>
                <w:sz w:val="18"/>
              </w:rPr>
              <w:t>the</w:t>
            </w:r>
            <w:r>
              <w:rPr>
                <w:spacing w:val="-3"/>
                <w:sz w:val="18"/>
              </w:rPr>
              <w:t> </w:t>
            </w:r>
            <w:r>
              <w:rPr>
                <w:sz w:val="18"/>
              </w:rPr>
              <w:t>market</w:t>
            </w:r>
            <w:r>
              <w:rPr>
                <w:spacing w:val="-3"/>
                <w:sz w:val="18"/>
              </w:rPr>
              <w:t> </w:t>
            </w:r>
            <w:r>
              <w:rPr>
                <w:sz w:val="18"/>
              </w:rPr>
              <w:t>price</w:t>
            </w:r>
            <w:r>
              <w:rPr>
                <w:spacing w:val="-3"/>
                <w:sz w:val="18"/>
              </w:rPr>
              <w:t> </w:t>
            </w:r>
            <w:r>
              <w:rPr>
                <w:sz w:val="18"/>
              </w:rPr>
              <w:t>and</w:t>
            </w:r>
            <w:r>
              <w:rPr>
                <w:spacing w:val="-3"/>
                <w:sz w:val="18"/>
              </w:rPr>
              <w:t> </w:t>
            </w:r>
            <w:r>
              <w:rPr>
                <w:sz w:val="18"/>
              </w:rPr>
              <w:t>the</w:t>
            </w:r>
            <w:r>
              <w:rPr>
                <w:spacing w:val="-3"/>
                <w:sz w:val="18"/>
              </w:rPr>
              <w:t> </w:t>
            </w:r>
            <w:r>
              <w:rPr>
                <w:sz w:val="18"/>
              </w:rPr>
              <w:t>total</w:t>
            </w:r>
            <w:r>
              <w:rPr>
                <w:spacing w:val="-3"/>
                <w:sz w:val="18"/>
              </w:rPr>
              <w:t> </w:t>
            </w:r>
            <w:r>
              <w:rPr>
                <w:sz w:val="18"/>
              </w:rPr>
              <w:t>number</w:t>
            </w:r>
            <w:r>
              <w:rPr>
                <w:spacing w:val="-3"/>
                <w:sz w:val="18"/>
              </w:rPr>
              <w:t> </w:t>
            </w:r>
            <w:r>
              <w:rPr>
                <w:sz w:val="18"/>
              </w:rPr>
              <w:t>of</w:t>
            </w:r>
            <w:r>
              <w:rPr>
                <w:spacing w:val="-3"/>
                <w:sz w:val="18"/>
              </w:rPr>
              <w:t> </w:t>
            </w:r>
            <w:r>
              <w:rPr>
                <w:sz w:val="18"/>
              </w:rPr>
              <w:t>mutual</w:t>
            </w:r>
            <w:r>
              <w:rPr>
                <w:spacing w:val="-3"/>
                <w:sz w:val="18"/>
              </w:rPr>
              <w:t> </w:t>
            </w:r>
            <w:r>
              <w:rPr>
                <w:sz w:val="18"/>
              </w:rPr>
              <w:t>fund</w:t>
            </w:r>
            <w:r>
              <w:rPr>
                <w:spacing w:val="-3"/>
                <w:sz w:val="18"/>
              </w:rPr>
              <w:t> </w:t>
            </w:r>
            <w:r>
              <w:rPr>
                <w:sz w:val="18"/>
              </w:rPr>
              <w:t>units</w:t>
            </w:r>
            <w:r>
              <w:rPr>
                <w:spacing w:val="-3"/>
                <w:sz w:val="18"/>
              </w:rPr>
              <w:t> </w:t>
            </w:r>
            <w:r>
              <w:rPr>
                <w:sz w:val="18"/>
              </w:rPr>
              <w:t>forming part of collateral/securities, (ii) in case of equity shares forming part of collateral/securities, the total value of the equity shares calculated as a product of the market price and the total number of equity shares forming</w:t>
            </w:r>
            <w:r>
              <w:rPr>
                <w:spacing w:val="40"/>
                <w:sz w:val="18"/>
              </w:rPr>
              <w:t> </w:t>
            </w:r>
            <w:r>
              <w:rPr>
                <w:sz w:val="18"/>
              </w:rPr>
              <w:t>part of collateral/securities.</w:t>
            </w:r>
          </w:p>
        </w:tc>
      </w:tr>
    </w:tbl>
    <w:p>
      <w:pPr>
        <w:pStyle w:val="BodyText"/>
        <w:spacing w:before="21"/>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175016</wp:posOffset>
                </wp:positionV>
                <wp:extent cx="1828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780859pt;width:144pt;height:.1pt;mso-position-horizontal-relative:page;mso-position-vertical-relative:paragraph;z-index:-15728128;mso-wrap-distance-left:0;mso-wrap-distance-right:0" id="docshape8" coordorigin="1440,276" coordsize="2880,0" path="m1440,276l4320,276e" filled="false" stroked="true" strokeweight=".75pt" strokecolor="#000000">
                <v:path arrowok="t"/>
                <v:stroke dashstyle="solid"/>
                <w10:wrap type="topAndBottom"/>
              </v:shape>
            </w:pict>
          </mc:Fallback>
        </mc:AlternateContent>
      </w:r>
    </w:p>
    <w:p>
      <w:pPr>
        <w:spacing w:before="114"/>
        <w:ind w:left="0" w:right="407" w:firstLine="0"/>
        <w:jc w:val="left"/>
        <w:rPr>
          <w:rFonts w:ascii="Calibri"/>
          <w:sz w:val="20"/>
        </w:rPr>
      </w:pPr>
      <w:r>
        <w:rPr>
          <w:rFonts w:ascii="Calibri"/>
          <w:sz w:val="20"/>
          <w:vertAlign w:val="superscript"/>
        </w:rPr>
        <w:t>1</w:t>
      </w:r>
      <w:r>
        <w:rPr>
          <w:rFonts w:ascii="Calibri"/>
          <w:sz w:val="20"/>
          <w:vertAlign w:val="baseline"/>
        </w:rPr>
        <w:t> To retain the relevant stock exchange on</w:t>
      </w:r>
      <w:r>
        <w:rPr>
          <w:rFonts w:ascii="Calibri"/>
          <w:spacing w:val="-5"/>
          <w:sz w:val="20"/>
          <w:vertAlign w:val="baseline"/>
        </w:rPr>
        <w:t> </w:t>
      </w:r>
      <w:r>
        <w:rPr>
          <w:rFonts w:ascii="Calibri"/>
          <w:sz w:val="20"/>
          <w:vertAlign w:val="baseline"/>
        </w:rPr>
        <w:t>which</w:t>
      </w:r>
      <w:r>
        <w:rPr>
          <w:rFonts w:ascii="Calibri"/>
          <w:spacing w:val="-5"/>
          <w:sz w:val="20"/>
          <w:vertAlign w:val="baseline"/>
        </w:rPr>
        <w:t> </w:t>
      </w:r>
      <w:r>
        <w:rPr>
          <w:rFonts w:ascii="Calibri"/>
          <w:sz w:val="20"/>
          <w:vertAlign w:val="baseline"/>
        </w:rPr>
        <w:t>the</w:t>
      </w:r>
      <w:r>
        <w:rPr>
          <w:rFonts w:ascii="Calibri"/>
          <w:spacing w:val="-5"/>
          <w:sz w:val="20"/>
          <w:vertAlign w:val="baseline"/>
        </w:rPr>
        <w:t> </w:t>
      </w:r>
      <w:r>
        <w:rPr>
          <w:rFonts w:ascii="Calibri"/>
          <w:sz w:val="20"/>
          <w:vertAlign w:val="baseline"/>
        </w:rPr>
        <w:t>equity</w:t>
      </w:r>
      <w:r>
        <w:rPr>
          <w:rFonts w:ascii="Calibri"/>
          <w:spacing w:val="-5"/>
          <w:sz w:val="20"/>
          <w:vertAlign w:val="baseline"/>
        </w:rPr>
        <w:t> </w:t>
      </w:r>
      <w:r>
        <w:rPr>
          <w:rFonts w:ascii="Calibri"/>
          <w:sz w:val="20"/>
          <w:vertAlign w:val="baseline"/>
        </w:rPr>
        <w:t>shares</w:t>
      </w:r>
      <w:r>
        <w:rPr>
          <w:rFonts w:ascii="Calibri"/>
          <w:spacing w:val="-5"/>
          <w:sz w:val="20"/>
          <w:vertAlign w:val="baseline"/>
        </w:rPr>
        <w:t> </w:t>
      </w:r>
      <w:r>
        <w:rPr>
          <w:rFonts w:ascii="Calibri"/>
          <w:sz w:val="20"/>
          <w:vertAlign w:val="baseline"/>
        </w:rPr>
        <w:t>are</w:t>
      </w:r>
      <w:r>
        <w:rPr>
          <w:rFonts w:ascii="Calibri"/>
          <w:spacing w:val="-5"/>
          <w:sz w:val="20"/>
          <w:vertAlign w:val="baseline"/>
        </w:rPr>
        <w:t> </w:t>
      </w:r>
      <w:r>
        <w:rPr>
          <w:rFonts w:ascii="Calibri"/>
          <w:sz w:val="20"/>
          <w:vertAlign w:val="baseline"/>
        </w:rPr>
        <w:t>listed</w:t>
      </w:r>
      <w:r>
        <w:rPr>
          <w:rFonts w:ascii="Calibri"/>
          <w:spacing w:val="-5"/>
          <w:sz w:val="20"/>
          <w:vertAlign w:val="baseline"/>
        </w:rPr>
        <w:t> </w:t>
      </w:r>
      <w:r>
        <w:rPr>
          <w:rFonts w:ascii="Calibri"/>
          <w:sz w:val="20"/>
          <w:vertAlign w:val="baseline"/>
        </w:rPr>
        <w:t>and</w:t>
      </w:r>
      <w:r>
        <w:rPr>
          <w:rFonts w:ascii="Calibri"/>
          <w:spacing w:val="-5"/>
          <w:sz w:val="20"/>
          <w:vertAlign w:val="baseline"/>
        </w:rPr>
        <w:t> </w:t>
      </w:r>
      <w:r>
        <w:rPr>
          <w:rFonts w:ascii="Calibri"/>
          <w:sz w:val="20"/>
          <w:vertAlign w:val="baseline"/>
        </w:rPr>
        <w:t>in</w:t>
      </w:r>
      <w:r>
        <w:rPr>
          <w:rFonts w:ascii="Calibri"/>
          <w:spacing w:val="-5"/>
          <w:sz w:val="20"/>
          <w:vertAlign w:val="baseline"/>
        </w:rPr>
        <w:t> </w:t>
      </w:r>
      <w:r>
        <w:rPr>
          <w:rFonts w:ascii="Calibri"/>
          <w:sz w:val="20"/>
          <w:vertAlign w:val="baseline"/>
        </w:rPr>
        <w:t>the</w:t>
      </w:r>
      <w:r>
        <w:rPr>
          <w:rFonts w:ascii="Calibri"/>
          <w:spacing w:val="-5"/>
          <w:sz w:val="20"/>
          <w:vertAlign w:val="baseline"/>
        </w:rPr>
        <w:t> </w:t>
      </w:r>
      <w:r>
        <w:rPr>
          <w:rFonts w:ascii="Calibri"/>
          <w:sz w:val="20"/>
          <w:vertAlign w:val="baseline"/>
        </w:rPr>
        <w:t>event</w:t>
      </w:r>
      <w:r>
        <w:rPr>
          <w:rFonts w:ascii="Calibri"/>
          <w:spacing w:val="-5"/>
          <w:sz w:val="20"/>
          <w:vertAlign w:val="baseline"/>
        </w:rPr>
        <w:t> </w:t>
      </w:r>
      <w:r>
        <w:rPr>
          <w:rFonts w:ascii="Calibri"/>
          <w:sz w:val="20"/>
          <w:vertAlign w:val="baseline"/>
        </w:rPr>
        <w:t>the</w:t>
      </w:r>
      <w:r>
        <w:rPr>
          <w:rFonts w:ascii="Calibri"/>
          <w:spacing w:val="-5"/>
          <w:sz w:val="20"/>
          <w:vertAlign w:val="baseline"/>
        </w:rPr>
        <w:t> </w:t>
      </w:r>
      <w:r>
        <w:rPr>
          <w:rFonts w:ascii="Calibri"/>
          <w:sz w:val="20"/>
          <w:vertAlign w:val="baseline"/>
        </w:rPr>
        <w:t>equity</w:t>
      </w:r>
      <w:r>
        <w:rPr>
          <w:rFonts w:ascii="Calibri"/>
          <w:spacing w:val="-5"/>
          <w:sz w:val="20"/>
          <w:vertAlign w:val="baseline"/>
        </w:rPr>
        <w:t> </w:t>
      </w:r>
      <w:r>
        <w:rPr>
          <w:rFonts w:ascii="Calibri"/>
          <w:sz w:val="20"/>
          <w:vertAlign w:val="baseline"/>
        </w:rPr>
        <w:t>shares</w:t>
      </w:r>
      <w:r>
        <w:rPr>
          <w:rFonts w:ascii="Calibri"/>
          <w:spacing w:val="-5"/>
          <w:sz w:val="20"/>
          <w:vertAlign w:val="baseline"/>
        </w:rPr>
        <w:t> </w:t>
      </w:r>
      <w:r>
        <w:rPr>
          <w:rFonts w:ascii="Calibri"/>
          <w:sz w:val="20"/>
          <w:vertAlign w:val="baseline"/>
        </w:rPr>
        <w:t>are listed on both the stock exchanges, to retain as per the commercial understanding.</w:t>
      </w:r>
    </w:p>
    <w:p>
      <w:pPr>
        <w:spacing w:after="0"/>
        <w:jc w:val="left"/>
        <w:rPr>
          <w:rFonts w:ascii="Calibri"/>
          <w:sz w:val="20"/>
        </w:rPr>
        <w:sectPr>
          <w:pgSz w:w="12240" w:h="15840"/>
          <w:pgMar w:header="720" w:footer="785" w:top="1400" w:bottom="980" w:left="1440" w:right="720"/>
        </w:sectPr>
      </w:pPr>
    </w:p>
    <w:p>
      <w:pPr>
        <w:pStyle w:val="BodyText"/>
        <w:spacing w:before="5"/>
        <w:rPr>
          <w:rFonts w:ascii="Calibri"/>
          <w:sz w:val="6"/>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3699" w:hRule="atLeast"/>
        </w:trPr>
        <w:tc>
          <w:tcPr>
            <w:tcW w:w="3480" w:type="dxa"/>
          </w:tcPr>
          <w:p>
            <w:pPr>
              <w:pStyle w:val="TableParagraph"/>
              <w:spacing w:before="1"/>
              <w:ind w:left="124"/>
              <w:rPr>
                <w:rFonts w:ascii="Arial"/>
                <w:b/>
                <w:sz w:val="18"/>
              </w:rPr>
            </w:pPr>
            <w:r>
              <w:rPr>
                <w:rFonts w:ascii="Arial"/>
                <w:b/>
                <w:sz w:val="18"/>
              </w:rPr>
              <w:t>Required </w:t>
            </w:r>
            <w:r>
              <w:rPr>
                <w:rFonts w:ascii="Arial"/>
                <w:b/>
                <w:spacing w:val="-2"/>
                <w:sz w:val="18"/>
              </w:rPr>
              <w:t>Margin</w:t>
            </w:r>
          </w:p>
        </w:tc>
        <w:tc>
          <w:tcPr>
            <w:tcW w:w="6360" w:type="dxa"/>
          </w:tcPr>
          <w:p>
            <w:pPr>
              <w:pStyle w:val="TableParagraph"/>
              <w:numPr>
                <w:ilvl w:val="0"/>
                <w:numId w:val="11"/>
              </w:numPr>
              <w:tabs>
                <w:tab w:pos="1189" w:val="left" w:leader="none"/>
              </w:tabs>
              <w:spacing w:line="276" w:lineRule="auto" w:before="1" w:after="0"/>
              <w:ind w:left="1189" w:right="96" w:hanging="720"/>
              <w:jc w:val="both"/>
              <w:rPr>
                <w:sz w:val="18"/>
              </w:rPr>
            </w:pPr>
            <w:r>
              <w:rPr>
                <w:sz w:val="18"/>
              </w:rPr>
              <w:t>In case of equity oriented mutual fund units forming part </w:t>
            </w:r>
            <w:r>
              <w:rPr>
                <w:sz w:val="18"/>
              </w:rPr>
              <w:t>of collateral/securities, margin being not less than 50% of the market value of the collateral/securities or such other</w:t>
            </w:r>
            <w:r>
              <w:rPr>
                <w:spacing w:val="40"/>
                <w:sz w:val="18"/>
              </w:rPr>
              <w:t> </w:t>
            </w:r>
            <w:r>
              <w:rPr>
                <w:sz w:val="18"/>
              </w:rPr>
              <w:t>thresholds as may be communicated by the Lender to the Obligor(s) as per the Lender’s internal credit policy.</w:t>
            </w:r>
          </w:p>
          <w:p>
            <w:pPr>
              <w:pStyle w:val="TableParagraph"/>
              <w:spacing w:before="18"/>
              <w:ind w:left="0"/>
              <w:rPr>
                <w:rFonts w:ascii="Calibri"/>
                <w:sz w:val="18"/>
              </w:rPr>
            </w:pPr>
          </w:p>
          <w:p>
            <w:pPr>
              <w:pStyle w:val="TableParagraph"/>
              <w:numPr>
                <w:ilvl w:val="0"/>
                <w:numId w:val="11"/>
              </w:numPr>
              <w:tabs>
                <w:tab w:pos="1189" w:val="left" w:leader="none"/>
              </w:tabs>
              <w:spacing w:line="276" w:lineRule="auto" w:before="0" w:after="0"/>
              <w:ind w:left="1189" w:right="95" w:hanging="720"/>
              <w:jc w:val="both"/>
              <w:rPr>
                <w:sz w:val="18"/>
              </w:rPr>
            </w:pPr>
            <w:r>
              <w:rPr>
                <w:sz w:val="18"/>
              </w:rPr>
              <w:t>In case of equity shares forming part of collateral/securities, margin being not less than 50% of the market value of </w:t>
            </w:r>
            <w:r>
              <w:rPr>
                <w:sz w:val="18"/>
              </w:rPr>
              <w:t>the collateral/securities or such other thresholds as may be communicated by the Lender to the Obligor(s) as per the Lender’s internal credit policy.</w:t>
            </w:r>
          </w:p>
          <w:p>
            <w:pPr>
              <w:pStyle w:val="TableParagraph"/>
              <w:spacing w:before="18"/>
              <w:ind w:left="0"/>
              <w:rPr>
                <w:rFonts w:ascii="Calibri"/>
                <w:sz w:val="18"/>
              </w:rPr>
            </w:pPr>
          </w:p>
          <w:p>
            <w:pPr>
              <w:pStyle w:val="TableParagraph"/>
              <w:numPr>
                <w:ilvl w:val="0"/>
                <w:numId w:val="11"/>
              </w:numPr>
              <w:tabs>
                <w:tab w:pos="1189" w:val="left" w:leader="none"/>
              </w:tabs>
              <w:spacing w:line="276" w:lineRule="auto" w:before="0" w:after="0"/>
              <w:ind w:left="1189" w:right="95" w:hanging="720"/>
              <w:jc w:val="both"/>
              <w:rPr>
                <w:sz w:val="18"/>
              </w:rPr>
            </w:pPr>
            <w:r>
              <w:rPr>
                <w:sz w:val="18"/>
              </w:rPr>
              <w:t>In case of any other collateral/securities, margin thresholds </w:t>
            </w:r>
            <w:r>
              <w:rPr>
                <w:sz w:val="18"/>
              </w:rPr>
              <w:t>as may be communicated by the Lender to the Obligor(s)) as</w:t>
            </w:r>
            <w:r>
              <w:rPr>
                <w:spacing w:val="-3"/>
                <w:sz w:val="18"/>
              </w:rPr>
              <w:t> </w:t>
            </w:r>
            <w:r>
              <w:rPr>
                <w:sz w:val="18"/>
              </w:rPr>
              <w:t>per the Lender’s internal credit policy.</w:t>
            </w:r>
          </w:p>
        </w:tc>
      </w:tr>
      <w:tr>
        <w:trPr>
          <w:trHeight w:val="860" w:hRule="atLeast"/>
        </w:trPr>
        <w:tc>
          <w:tcPr>
            <w:tcW w:w="3480" w:type="dxa"/>
          </w:tcPr>
          <w:p>
            <w:pPr>
              <w:pStyle w:val="TableParagraph"/>
              <w:spacing w:before="6"/>
              <w:ind w:left="124"/>
              <w:rPr>
                <w:rFonts w:ascii="Arial"/>
                <w:b/>
                <w:sz w:val="18"/>
              </w:rPr>
            </w:pPr>
            <w:r>
              <w:rPr>
                <w:rFonts w:ascii="Arial"/>
                <w:b/>
                <w:sz w:val="18"/>
              </w:rPr>
              <w:t>Valuation</w:t>
            </w:r>
            <w:r>
              <w:rPr>
                <w:rFonts w:ascii="Arial"/>
                <w:b/>
                <w:spacing w:val="-5"/>
                <w:sz w:val="18"/>
              </w:rPr>
              <w:t> </w:t>
            </w:r>
            <w:r>
              <w:rPr>
                <w:rFonts w:ascii="Arial"/>
                <w:b/>
                <w:sz w:val="18"/>
              </w:rPr>
              <w:t>of</w:t>
            </w:r>
            <w:r>
              <w:rPr>
                <w:rFonts w:ascii="Arial"/>
                <w:b/>
                <w:spacing w:val="-5"/>
                <w:sz w:val="18"/>
              </w:rPr>
              <w:t> </w:t>
            </w:r>
            <w:r>
              <w:rPr>
                <w:rFonts w:ascii="Arial"/>
                <w:b/>
                <w:spacing w:val="-2"/>
                <w:sz w:val="18"/>
              </w:rPr>
              <w:t>Security</w:t>
            </w:r>
          </w:p>
        </w:tc>
        <w:tc>
          <w:tcPr>
            <w:tcW w:w="6360" w:type="dxa"/>
          </w:tcPr>
          <w:p>
            <w:pPr>
              <w:pStyle w:val="TableParagraph"/>
              <w:spacing w:line="276" w:lineRule="auto" w:before="6"/>
              <w:ind w:right="99"/>
              <w:jc w:val="both"/>
              <w:rPr>
                <w:sz w:val="18"/>
              </w:rPr>
            </w:pPr>
            <w:r>
              <w:rPr>
                <w:sz w:val="18"/>
              </w:rPr>
              <w:t>The Lender will, at a frequency determined solely by the Lender, </w:t>
            </w:r>
            <w:r>
              <w:rPr>
                <w:sz w:val="18"/>
              </w:rPr>
              <w:t>determine the latest market value of the collateral/security by referring to the market price of the relevant collateral/securities.</w:t>
            </w:r>
          </w:p>
        </w:tc>
      </w:tr>
      <w:tr>
        <w:trPr>
          <w:trHeight w:val="880" w:hRule="atLeast"/>
        </w:trPr>
        <w:tc>
          <w:tcPr>
            <w:tcW w:w="3480" w:type="dxa"/>
          </w:tcPr>
          <w:p>
            <w:pPr>
              <w:pStyle w:val="TableParagraph"/>
              <w:spacing w:line="202" w:lineRule="exact"/>
              <w:ind w:left="124"/>
              <w:rPr>
                <w:rFonts w:ascii="Arial"/>
                <w:b/>
                <w:sz w:val="18"/>
              </w:rPr>
            </w:pPr>
            <w:r>
              <w:rPr>
                <w:rFonts w:ascii="Arial"/>
                <w:b/>
                <w:spacing w:val="-2"/>
                <w:sz w:val="18"/>
              </w:rPr>
              <w:t>Top-Up</w:t>
            </w:r>
            <w:r>
              <w:rPr>
                <w:rFonts w:ascii="Arial"/>
                <w:b/>
                <w:spacing w:val="-4"/>
                <w:sz w:val="18"/>
              </w:rPr>
              <w:t> </w:t>
            </w:r>
            <w:r>
              <w:rPr>
                <w:rFonts w:ascii="Arial"/>
                <w:b/>
                <w:spacing w:val="-2"/>
                <w:sz w:val="18"/>
              </w:rPr>
              <w:t>Security</w:t>
            </w:r>
          </w:p>
        </w:tc>
        <w:tc>
          <w:tcPr>
            <w:tcW w:w="6360" w:type="dxa"/>
          </w:tcPr>
          <w:p>
            <w:pPr>
              <w:pStyle w:val="TableParagraph"/>
              <w:spacing w:line="290" w:lineRule="auto"/>
              <w:ind w:right="100"/>
              <w:jc w:val="both"/>
              <w:rPr>
                <w:sz w:val="18"/>
              </w:rPr>
            </w:pPr>
            <w:r>
              <w:rPr>
                <w:sz w:val="18"/>
              </w:rPr>
              <w:t>The borrower(s) shall be required to provide additional </w:t>
            </w:r>
            <w:r>
              <w:rPr>
                <w:sz w:val="18"/>
              </w:rPr>
              <w:t>security/collateral (listed equity shares, mutual funds or both) if the Margin is less than the Required Margin, prior to disbursal of any Tranche Facility</w:t>
            </w:r>
          </w:p>
        </w:tc>
      </w:tr>
      <w:tr>
        <w:trPr>
          <w:trHeight w:val="6359" w:hRule="atLeast"/>
        </w:trPr>
        <w:tc>
          <w:tcPr>
            <w:tcW w:w="3480" w:type="dxa"/>
          </w:tcPr>
          <w:p>
            <w:pPr>
              <w:pStyle w:val="TableParagraph"/>
              <w:tabs>
                <w:tab w:pos="1200" w:val="left" w:leader="none"/>
                <w:tab w:pos="1760" w:val="left" w:leader="none"/>
                <w:tab w:pos="3170" w:val="left" w:leader="none"/>
              </w:tabs>
              <w:spacing w:line="290" w:lineRule="auto"/>
              <w:ind w:left="124" w:right="117"/>
              <w:rPr>
                <w:rFonts w:ascii="Arial"/>
                <w:b/>
                <w:sz w:val="18"/>
              </w:rPr>
            </w:pPr>
            <w:r>
              <w:rPr>
                <w:rFonts w:ascii="Arial"/>
                <w:b/>
                <w:spacing w:val="-2"/>
                <w:sz w:val="18"/>
              </w:rPr>
              <w:t>Release</w:t>
            </w:r>
            <w:r>
              <w:rPr>
                <w:rFonts w:ascii="Arial"/>
                <w:b/>
                <w:sz w:val="18"/>
              </w:rPr>
              <w:tab/>
            </w:r>
            <w:r>
              <w:rPr>
                <w:rFonts w:ascii="Arial"/>
                <w:b/>
                <w:spacing w:val="-6"/>
                <w:sz w:val="18"/>
              </w:rPr>
              <w:t>or</w:t>
            </w:r>
            <w:r>
              <w:rPr>
                <w:rFonts w:ascii="Arial"/>
                <w:b/>
                <w:sz w:val="18"/>
              </w:rPr>
              <w:tab/>
            </w:r>
            <w:r>
              <w:rPr>
                <w:rFonts w:ascii="Arial"/>
                <w:b/>
                <w:spacing w:val="-2"/>
                <w:sz w:val="18"/>
              </w:rPr>
              <w:t>substitution</w:t>
            </w:r>
            <w:r>
              <w:rPr>
                <w:rFonts w:ascii="Arial"/>
                <w:b/>
                <w:sz w:val="18"/>
              </w:rPr>
              <w:tab/>
            </w:r>
            <w:r>
              <w:rPr>
                <w:rFonts w:ascii="Arial"/>
                <w:b/>
                <w:spacing w:val="-6"/>
                <w:sz w:val="18"/>
              </w:rPr>
              <w:t>of </w:t>
            </w:r>
            <w:r>
              <w:rPr>
                <w:rFonts w:ascii="Arial"/>
                <w:b/>
                <w:spacing w:val="-2"/>
                <w:sz w:val="18"/>
              </w:rPr>
              <w:t>security/collateral</w:t>
            </w:r>
          </w:p>
        </w:tc>
        <w:tc>
          <w:tcPr>
            <w:tcW w:w="6360" w:type="dxa"/>
          </w:tcPr>
          <w:p>
            <w:pPr>
              <w:pStyle w:val="TableParagraph"/>
              <w:spacing w:line="290" w:lineRule="auto"/>
              <w:ind w:right="105"/>
              <w:jc w:val="both"/>
              <w:rPr>
                <w:sz w:val="18"/>
              </w:rPr>
            </w:pPr>
            <w:r>
              <w:rPr>
                <w:sz w:val="18"/>
              </w:rPr>
              <w:t>The borrower(s) may request the</w:t>
            </w:r>
            <w:r>
              <w:rPr>
                <w:spacing w:val="-3"/>
                <w:sz w:val="18"/>
              </w:rPr>
              <w:t> </w:t>
            </w:r>
            <w:r>
              <w:rPr>
                <w:sz w:val="18"/>
              </w:rPr>
              <w:t>Lender</w:t>
            </w:r>
            <w:r>
              <w:rPr>
                <w:spacing w:val="-3"/>
                <w:sz w:val="18"/>
              </w:rPr>
              <w:t> </w:t>
            </w:r>
            <w:r>
              <w:rPr>
                <w:sz w:val="18"/>
              </w:rPr>
              <w:t>to</w:t>
            </w:r>
            <w:r>
              <w:rPr>
                <w:spacing w:val="-3"/>
                <w:sz w:val="18"/>
              </w:rPr>
              <w:t> </w:t>
            </w:r>
            <w:r>
              <w:rPr>
                <w:sz w:val="18"/>
              </w:rPr>
              <w:t>permit</w:t>
            </w:r>
            <w:r>
              <w:rPr>
                <w:spacing w:val="-4"/>
                <w:sz w:val="18"/>
              </w:rPr>
              <w:t> </w:t>
            </w:r>
            <w:r>
              <w:rPr>
                <w:sz w:val="18"/>
              </w:rPr>
              <w:t>the</w:t>
            </w:r>
            <w:r>
              <w:rPr>
                <w:spacing w:val="-3"/>
                <w:sz w:val="18"/>
              </w:rPr>
              <w:t> </w:t>
            </w:r>
            <w:r>
              <w:rPr>
                <w:sz w:val="18"/>
              </w:rPr>
              <w:t>security</w:t>
            </w:r>
            <w:r>
              <w:rPr>
                <w:spacing w:val="-3"/>
                <w:sz w:val="18"/>
              </w:rPr>
              <w:t> </w:t>
            </w:r>
            <w:r>
              <w:rPr>
                <w:sz w:val="18"/>
              </w:rPr>
              <w:t>provider(s)</w:t>
            </w:r>
            <w:r>
              <w:rPr>
                <w:spacing w:val="-3"/>
                <w:sz w:val="18"/>
              </w:rPr>
              <w:t> </w:t>
            </w:r>
            <w:r>
              <w:rPr>
                <w:sz w:val="18"/>
              </w:rPr>
              <w:t>to release any collateral/security and/or substitute any or all of such collateral/securities with other collateral/securities in the form and manner satisfactory to the Lender, from time to time.</w:t>
            </w:r>
          </w:p>
          <w:p>
            <w:pPr>
              <w:pStyle w:val="TableParagraph"/>
              <w:spacing w:before="139"/>
              <w:ind w:left="469"/>
              <w:rPr>
                <w:sz w:val="18"/>
              </w:rPr>
            </w:pPr>
            <w:r>
              <w:rPr>
                <w:sz w:val="18"/>
              </w:rPr>
              <w:t>The Lender </w:t>
            </w:r>
            <w:r>
              <w:rPr>
                <w:spacing w:val="-4"/>
                <w:sz w:val="18"/>
              </w:rPr>
              <w:t>may:</w:t>
            </w:r>
          </w:p>
          <w:p>
            <w:pPr>
              <w:pStyle w:val="TableParagraph"/>
              <w:numPr>
                <w:ilvl w:val="0"/>
                <w:numId w:val="12"/>
              </w:numPr>
              <w:tabs>
                <w:tab w:pos="814" w:val="left" w:leader="none"/>
              </w:tabs>
              <w:spacing w:line="290" w:lineRule="auto" w:before="183" w:after="0"/>
              <w:ind w:left="814" w:right="94" w:hanging="630"/>
              <w:jc w:val="both"/>
              <w:rPr>
                <w:sz w:val="18"/>
              </w:rPr>
            </w:pPr>
            <w:r>
              <w:rPr>
                <w:sz w:val="18"/>
              </w:rPr>
              <w:t>if the market price in relation to any collateral/securities has </w:t>
            </w:r>
            <w:r>
              <w:rPr>
                <w:sz w:val="18"/>
              </w:rPr>
              <w:t>not been published by the relevant mutual fund/asset management company/stock exchange at any point of time, or</w:t>
            </w:r>
          </w:p>
          <w:p>
            <w:pPr>
              <w:pStyle w:val="TableParagraph"/>
              <w:numPr>
                <w:ilvl w:val="0"/>
                <w:numId w:val="12"/>
              </w:numPr>
              <w:tabs>
                <w:tab w:pos="814" w:val="left" w:leader="none"/>
              </w:tabs>
              <w:spacing w:line="240" w:lineRule="auto" w:before="139" w:after="0"/>
              <w:ind w:left="814" w:right="0" w:hanging="630"/>
              <w:jc w:val="left"/>
              <w:rPr>
                <w:sz w:val="18"/>
              </w:rPr>
            </w:pPr>
            <w:r>
              <w:rPr>
                <w:sz w:val="18"/>
              </w:rPr>
              <w:t>on</w:t>
            </w:r>
            <w:r>
              <w:rPr>
                <w:spacing w:val="-1"/>
                <w:sz w:val="18"/>
              </w:rPr>
              <w:t> </w:t>
            </w:r>
            <w:r>
              <w:rPr>
                <w:sz w:val="18"/>
              </w:rPr>
              <w:t>the</w:t>
            </w:r>
            <w:r>
              <w:rPr>
                <w:spacing w:val="-1"/>
                <w:sz w:val="18"/>
              </w:rPr>
              <w:t> </w:t>
            </w:r>
            <w:r>
              <w:rPr>
                <w:sz w:val="18"/>
              </w:rPr>
              <w:t>basis</w:t>
            </w:r>
            <w:r>
              <w:rPr>
                <w:spacing w:val="-1"/>
                <w:sz w:val="18"/>
              </w:rPr>
              <w:t> </w:t>
            </w:r>
            <w:r>
              <w:rPr>
                <w:sz w:val="18"/>
              </w:rPr>
              <w:t>of</w:t>
            </w:r>
            <w:r>
              <w:rPr>
                <w:spacing w:val="-1"/>
                <w:sz w:val="18"/>
              </w:rPr>
              <w:t> </w:t>
            </w:r>
            <w:r>
              <w:rPr>
                <w:sz w:val="18"/>
              </w:rPr>
              <w:t>change</w:t>
            </w:r>
            <w:r>
              <w:rPr>
                <w:spacing w:val="-1"/>
                <w:sz w:val="18"/>
              </w:rPr>
              <w:t> </w:t>
            </w:r>
            <w:r>
              <w:rPr>
                <w:sz w:val="18"/>
              </w:rPr>
              <w:t>or</w:t>
            </w:r>
            <w:r>
              <w:rPr>
                <w:spacing w:val="-1"/>
                <w:sz w:val="18"/>
              </w:rPr>
              <w:t> </w:t>
            </w:r>
            <w:r>
              <w:rPr>
                <w:sz w:val="18"/>
              </w:rPr>
              <w:t>modification</w:t>
            </w:r>
            <w:r>
              <w:rPr>
                <w:spacing w:val="-1"/>
                <w:sz w:val="18"/>
              </w:rPr>
              <w:t> </w:t>
            </w:r>
            <w:r>
              <w:rPr>
                <w:sz w:val="18"/>
              </w:rPr>
              <w:t>in</w:t>
            </w:r>
            <w:r>
              <w:rPr>
                <w:spacing w:val="-1"/>
                <w:sz w:val="18"/>
              </w:rPr>
              <w:t> </w:t>
            </w:r>
            <w:r>
              <w:rPr>
                <w:sz w:val="18"/>
              </w:rPr>
              <w:t>applicable</w:t>
            </w:r>
            <w:r>
              <w:rPr>
                <w:spacing w:val="-1"/>
                <w:sz w:val="18"/>
              </w:rPr>
              <w:t> </w:t>
            </w:r>
            <w:r>
              <w:rPr>
                <w:sz w:val="18"/>
              </w:rPr>
              <w:t>law,</w:t>
            </w:r>
            <w:r>
              <w:rPr>
                <w:spacing w:val="-1"/>
                <w:sz w:val="18"/>
              </w:rPr>
              <w:t> </w:t>
            </w:r>
            <w:r>
              <w:rPr>
                <w:spacing w:val="-5"/>
                <w:sz w:val="18"/>
              </w:rPr>
              <w:t>or</w:t>
            </w:r>
          </w:p>
          <w:p>
            <w:pPr>
              <w:pStyle w:val="TableParagraph"/>
              <w:numPr>
                <w:ilvl w:val="0"/>
                <w:numId w:val="12"/>
              </w:numPr>
              <w:tabs>
                <w:tab w:pos="814" w:val="left" w:leader="none"/>
              </w:tabs>
              <w:spacing w:line="290" w:lineRule="auto" w:before="183" w:after="0"/>
              <w:ind w:left="814" w:right="96" w:hanging="630"/>
              <w:jc w:val="both"/>
              <w:rPr>
                <w:sz w:val="18"/>
              </w:rPr>
            </w:pPr>
            <w:r>
              <w:rPr>
                <w:sz w:val="18"/>
              </w:rPr>
              <w:t>on the basis of change to the Lender’s credit policy pursuant </w:t>
            </w:r>
            <w:r>
              <w:rPr>
                <w:sz w:val="18"/>
              </w:rPr>
              <w:t>to which the margin and/or required margin required to secure the outstanding are varied, or</w:t>
            </w:r>
          </w:p>
          <w:p>
            <w:pPr>
              <w:pStyle w:val="TableParagraph"/>
              <w:numPr>
                <w:ilvl w:val="0"/>
                <w:numId w:val="12"/>
              </w:numPr>
              <w:tabs>
                <w:tab w:pos="814" w:val="left" w:leader="none"/>
              </w:tabs>
              <w:spacing w:line="290" w:lineRule="auto" w:before="139" w:after="0"/>
              <w:ind w:left="814" w:right="100" w:hanging="630"/>
              <w:jc w:val="both"/>
              <w:rPr>
                <w:sz w:val="18"/>
              </w:rPr>
            </w:pPr>
            <w:r>
              <w:rPr>
                <w:sz w:val="18"/>
              </w:rPr>
              <w:t>determining in its sole discretion that certain collateral/security </w:t>
            </w:r>
            <w:r>
              <w:rPr>
                <w:sz w:val="18"/>
              </w:rPr>
              <w:t>is unacceptable to the Lender, or</w:t>
            </w:r>
          </w:p>
          <w:p>
            <w:pPr>
              <w:pStyle w:val="TableParagraph"/>
              <w:numPr>
                <w:ilvl w:val="0"/>
                <w:numId w:val="12"/>
              </w:numPr>
              <w:tabs>
                <w:tab w:pos="814" w:val="left" w:leader="none"/>
              </w:tabs>
              <w:spacing w:line="290" w:lineRule="auto" w:before="140" w:after="0"/>
              <w:ind w:left="814" w:right="100" w:hanging="630"/>
              <w:jc w:val="both"/>
              <w:rPr>
                <w:sz w:val="18"/>
              </w:rPr>
            </w:pPr>
            <w:r>
              <w:rPr>
                <w:sz w:val="18"/>
              </w:rPr>
              <w:t>on the occurrence of certain events prescribed as </w:t>
            </w:r>
            <w:r>
              <w:rPr>
                <w:sz w:val="18"/>
              </w:rPr>
              <w:t>‘Collateral eligibility Event’ under the Facility documents,</w:t>
            </w:r>
          </w:p>
          <w:p>
            <w:pPr>
              <w:pStyle w:val="TableParagraph"/>
              <w:spacing w:line="290" w:lineRule="auto" w:before="139"/>
              <w:ind w:right="95"/>
              <w:jc w:val="both"/>
              <w:rPr>
                <w:sz w:val="18"/>
              </w:rPr>
            </w:pPr>
            <w:r>
              <w:rPr>
                <w:sz w:val="18"/>
              </w:rPr>
              <w:t>require the borrower(s) to (I)</w:t>
            </w:r>
            <w:r>
              <w:rPr>
                <w:spacing w:val="-3"/>
                <w:sz w:val="18"/>
              </w:rPr>
              <w:t> </w:t>
            </w:r>
            <w:r>
              <w:rPr>
                <w:sz w:val="18"/>
              </w:rPr>
              <w:t>substitute</w:t>
            </w:r>
            <w:r>
              <w:rPr>
                <w:spacing w:val="-3"/>
                <w:sz w:val="18"/>
              </w:rPr>
              <w:t> </w:t>
            </w:r>
            <w:r>
              <w:rPr>
                <w:sz w:val="18"/>
              </w:rPr>
              <w:t>any</w:t>
            </w:r>
            <w:r>
              <w:rPr>
                <w:spacing w:val="-3"/>
                <w:sz w:val="18"/>
              </w:rPr>
              <w:t> </w:t>
            </w:r>
            <w:r>
              <w:rPr>
                <w:sz w:val="18"/>
              </w:rPr>
              <w:t>or</w:t>
            </w:r>
            <w:r>
              <w:rPr>
                <w:spacing w:val="-3"/>
                <w:sz w:val="18"/>
              </w:rPr>
              <w:t> </w:t>
            </w:r>
            <w:r>
              <w:rPr>
                <w:sz w:val="18"/>
              </w:rPr>
              <w:t>all</w:t>
            </w:r>
            <w:r>
              <w:rPr>
                <w:spacing w:val="-3"/>
                <w:sz w:val="18"/>
              </w:rPr>
              <w:t> </w:t>
            </w:r>
            <w:r>
              <w:rPr>
                <w:sz w:val="18"/>
              </w:rPr>
              <w:t>of</w:t>
            </w:r>
            <w:r>
              <w:rPr>
                <w:spacing w:val="-3"/>
                <w:sz w:val="18"/>
              </w:rPr>
              <w:t> </w:t>
            </w:r>
            <w:r>
              <w:rPr>
                <w:sz w:val="18"/>
              </w:rPr>
              <w:t>such</w:t>
            </w:r>
            <w:r>
              <w:rPr>
                <w:spacing w:val="-3"/>
                <w:sz w:val="18"/>
              </w:rPr>
              <w:t> </w:t>
            </w:r>
            <w:r>
              <w:rPr>
                <w:sz w:val="18"/>
              </w:rPr>
              <w:t>collateral/securities with other collateral/securities, and/or (II) request/instruct the Lender to </w:t>
            </w:r>
            <w:r>
              <w:rPr>
                <w:sz w:val="18"/>
              </w:rPr>
              <w:t>sell certain collateral/securities, and/or (III) make payment for any outstanding, and/or (IV) take any other</w:t>
            </w:r>
            <w:r>
              <w:rPr>
                <w:spacing w:val="-3"/>
                <w:sz w:val="18"/>
              </w:rPr>
              <w:t> </w:t>
            </w:r>
            <w:r>
              <w:rPr>
                <w:sz w:val="18"/>
              </w:rPr>
              <w:t>action</w:t>
            </w:r>
            <w:r>
              <w:rPr>
                <w:spacing w:val="-3"/>
                <w:sz w:val="18"/>
              </w:rPr>
              <w:t> </w:t>
            </w:r>
            <w:r>
              <w:rPr>
                <w:sz w:val="18"/>
              </w:rPr>
              <w:t>as</w:t>
            </w:r>
            <w:r>
              <w:rPr>
                <w:spacing w:val="-3"/>
                <w:sz w:val="18"/>
              </w:rPr>
              <w:t> </w:t>
            </w:r>
            <w:r>
              <w:rPr>
                <w:sz w:val="18"/>
              </w:rPr>
              <w:t>may</w:t>
            </w:r>
            <w:r>
              <w:rPr>
                <w:spacing w:val="-3"/>
                <w:sz w:val="18"/>
              </w:rPr>
              <w:t> </w:t>
            </w:r>
            <w:r>
              <w:rPr>
                <w:sz w:val="18"/>
              </w:rPr>
              <w:t>be</w:t>
            </w:r>
            <w:r>
              <w:rPr>
                <w:spacing w:val="-3"/>
                <w:sz w:val="18"/>
              </w:rPr>
              <w:t> </w:t>
            </w:r>
            <w:r>
              <w:rPr>
                <w:sz w:val="18"/>
              </w:rPr>
              <w:t>agreed</w:t>
            </w:r>
            <w:r>
              <w:rPr>
                <w:spacing w:val="-3"/>
                <w:sz w:val="18"/>
              </w:rPr>
              <w:t> </w:t>
            </w:r>
            <w:r>
              <w:rPr>
                <w:sz w:val="18"/>
              </w:rPr>
              <w:t>between</w:t>
            </w:r>
            <w:r>
              <w:rPr>
                <w:spacing w:val="-3"/>
                <w:sz w:val="18"/>
              </w:rPr>
              <w:t> </w:t>
            </w:r>
            <w:r>
              <w:rPr>
                <w:sz w:val="18"/>
              </w:rPr>
              <w:t>the</w:t>
            </w:r>
            <w:r>
              <w:rPr>
                <w:spacing w:val="-3"/>
                <w:sz w:val="18"/>
              </w:rPr>
              <w:t> </w:t>
            </w:r>
            <w:r>
              <w:rPr>
                <w:sz w:val="18"/>
              </w:rPr>
              <w:t>borrower(s) and the Lender.</w:t>
            </w:r>
          </w:p>
        </w:tc>
      </w:tr>
      <w:tr>
        <w:trPr>
          <w:trHeight w:val="740" w:hRule="atLeast"/>
        </w:trPr>
        <w:tc>
          <w:tcPr>
            <w:tcW w:w="3480" w:type="dxa"/>
          </w:tcPr>
          <w:p>
            <w:pPr>
              <w:pStyle w:val="TableParagraph"/>
              <w:spacing w:before="8"/>
              <w:ind w:left="124"/>
              <w:rPr>
                <w:rFonts w:ascii="Arial"/>
                <w:b/>
                <w:sz w:val="18"/>
              </w:rPr>
            </w:pPr>
            <w:r>
              <w:rPr>
                <w:rFonts w:ascii="Arial"/>
                <w:b/>
                <w:sz w:val="18"/>
              </w:rPr>
              <w:t>Taxes</w:t>
            </w:r>
            <w:r>
              <w:rPr>
                <w:rFonts w:ascii="Arial"/>
                <w:b/>
                <w:spacing w:val="-7"/>
                <w:sz w:val="18"/>
              </w:rPr>
              <w:t> </w:t>
            </w:r>
            <w:r>
              <w:rPr>
                <w:rFonts w:ascii="Arial"/>
                <w:b/>
                <w:sz w:val="18"/>
              </w:rPr>
              <w:t>and</w:t>
            </w:r>
            <w:r>
              <w:rPr>
                <w:rFonts w:ascii="Arial"/>
                <w:b/>
                <w:spacing w:val="-7"/>
                <w:sz w:val="18"/>
              </w:rPr>
              <w:t> </w:t>
            </w:r>
            <w:r>
              <w:rPr>
                <w:rFonts w:ascii="Arial"/>
                <w:b/>
                <w:spacing w:val="-2"/>
                <w:sz w:val="18"/>
              </w:rPr>
              <w:t>Levies</w:t>
            </w:r>
          </w:p>
        </w:tc>
        <w:tc>
          <w:tcPr>
            <w:tcW w:w="6360" w:type="dxa"/>
          </w:tcPr>
          <w:p>
            <w:pPr>
              <w:pStyle w:val="TableParagraph"/>
              <w:spacing w:before="8"/>
              <w:rPr>
                <w:sz w:val="18"/>
              </w:rPr>
            </w:pPr>
            <w:r>
              <w:rPr>
                <w:sz w:val="18"/>
              </w:rPr>
              <w:t>All the fees and charges indicated in the Facility documents is exclusive of </w:t>
            </w:r>
            <w:r>
              <w:rPr>
                <w:spacing w:val="-5"/>
                <w:sz w:val="18"/>
              </w:rPr>
              <w:t>all</w:t>
            </w:r>
          </w:p>
          <w:p>
            <w:pPr>
              <w:pStyle w:val="TableParagraph"/>
              <w:spacing w:line="250" w:lineRule="atLeast"/>
              <w:ind w:right="93"/>
              <w:rPr>
                <w:sz w:val="18"/>
              </w:rPr>
            </w:pPr>
            <w:r>
              <w:rPr>
                <w:sz w:val="18"/>
              </w:rPr>
              <w:t>taxes</w:t>
            </w:r>
            <w:r>
              <w:rPr>
                <w:spacing w:val="40"/>
                <w:sz w:val="18"/>
              </w:rPr>
              <w:t> </w:t>
            </w:r>
            <w:r>
              <w:rPr>
                <w:sz w:val="18"/>
              </w:rPr>
              <w:t>and</w:t>
            </w:r>
            <w:r>
              <w:rPr>
                <w:spacing w:val="40"/>
                <w:sz w:val="18"/>
              </w:rPr>
              <w:t> </w:t>
            </w:r>
            <w:r>
              <w:rPr>
                <w:sz w:val="18"/>
              </w:rPr>
              <w:t>statutory</w:t>
            </w:r>
            <w:r>
              <w:rPr>
                <w:spacing w:val="40"/>
                <w:sz w:val="18"/>
              </w:rPr>
              <w:t> </w:t>
            </w:r>
            <w:r>
              <w:rPr>
                <w:sz w:val="18"/>
              </w:rPr>
              <w:t>levies</w:t>
            </w:r>
            <w:r>
              <w:rPr>
                <w:spacing w:val="40"/>
                <w:sz w:val="18"/>
              </w:rPr>
              <w:t> </w:t>
            </w:r>
            <w:r>
              <w:rPr>
                <w:sz w:val="18"/>
              </w:rPr>
              <w:t>as</w:t>
            </w:r>
            <w:r>
              <w:rPr>
                <w:spacing w:val="40"/>
                <w:sz w:val="18"/>
              </w:rPr>
              <w:t> </w:t>
            </w:r>
            <w:r>
              <w:rPr>
                <w:sz w:val="18"/>
              </w:rPr>
              <w:t>may</w:t>
            </w:r>
            <w:r>
              <w:rPr>
                <w:spacing w:val="40"/>
                <w:sz w:val="18"/>
              </w:rPr>
              <w:t> </w:t>
            </w:r>
            <w:r>
              <w:rPr>
                <w:sz w:val="18"/>
              </w:rPr>
              <w:t>be</w:t>
            </w:r>
            <w:r>
              <w:rPr>
                <w:spacing w:val="40"/>
                <w:sz w:val="18"/>
              </w:rPr>
              <w:t> </w:t>
            </w:r>
            <w:r>
              <w:rPr>
                <w:sz w:val="18"/>
              </w:rPr>
              <w:t>applicable</w:t>
            </w:r>
            <w:r>
              <w:rPr>
                <w:spacing w:val="40"/>
                <w:sz w:val="18"/>
              </w:rPr>
              <w:t> </w:t>
            </w:r>
            <w:r>
              <w:rPr>
                <w:sz w:val="18"/>
              </w:rPr>
              <w:t>on</w:t>
            </w:r>
            <w:r>
              <w:rPr>
                <w:spacing w:val="40"/>
                <w:sz w:val="18"/>
              </w:rPr>
              <w:t> </w:t>
            </w:r>
            <w:r>
              <w:rPr>
                <w:sz w:val="18"/>
              </w:rPr>
              <w:t>the</w:t>
            </w:r>
            <w:r>
              <w:rPr>
                <w:spacing w:val="40"/>
                <w:sz w:val="18"/>
              </w:rPr>
              <w:t> </w:t>
            </w:r>
            <w:r>
              <w:rPr>
                <w:sz w:val="18"/>
              </w:rPr>
              <w:t>same</w:t>
            </w:r>
            <w:r>
              <w:rPr>
                <w:spacing w:val="40"/>
                <w:sz w:val="18"/>
              </w:rPr>
              <w:t> </w:t>
            </w:r>
            <w:r>
              <w:rPr>
                <w:sz w:val="18"/>
              </w:rPr>
              <w:t>including, without</w:t>
            </w:r>
            <w:r>
              <w:rPr>
                <w:spacing w:val="45"/>
                <w:sz w:val="18"/>
              </w:rPr>
              <w:t> </w:t>
            </w:r>
            <w:r>
              <w:rPr>
                <w:sz w:val="18"/>
              </w:rPr>
              <w:t>limitation,</w:t>
            </w:r>
            <w:r>
              <w:rPr>
                <w:spacing w:val="30"/>
                <w:sz w:val="18"/>
              </w:rPr>
              <w:t> </w:t>
            </w:r>
            <w:r>
              <w:rPr>
                <w:sz w:val="18"/>
              </w:rPr>
              <w:t>GST</w:t>
            </w:r>
            <w:r>
              <w:rPr>
                <w:spacing w:val="30"/>
                <w:sz w:val="18"/>
              </w:rPr>
              <w:t> </w:t>
            </w:r>
            <w:r>
              <w:rPr>
                <w:sz w:val="18"/>
              </w:rPr>
              <w:t>at</w:t>
            </w:r>
            <w:r>
              <w:rPr>
                <w:spacing w:val="30"/>
                <w:sz w:val="18"/>
              </w:rPr>
              <w:t> </w:t>
            </w:r>
            <w:r>
              <w:rPr>
                <w:sz w:val="18"/>
              </w:rPr>
              <w:t>the</w:t>
            </w:r>
            <w:r>
              <w:rPr>
                <w:spacing w:val="30"/>
                <w:sz w:val="18"/>
              </w:rPr>
              <w:t> </w:t>
            </w:r>
            <w:r>
              <w:rPr>
                <w:sz w:val="18"/>
              </w:rPr>
              <w:t>rate</w:t>
            </w:r>
            <w:r>
              <w:rPr>
                <w:spacing w:val="30"/>
                <w:sz w:val="18"/>
              </w:rPr>
              <w:t> </w:t>
            </w:r>
            <w:r>
              <w:rPr>
                <w:sz w:val="18"/>
              </w:rPr>
              <w:t>of</w:t>
            </w:r>
            <w:r>
              <w:rPr>
                <w:spacing w:val="30"/>
                <w:sz w:val="18"/>
              </w:rPr>
              <w:t> </w:t>
            </w:r>
            <w:r>
              <w:rPr>
                <w:sz w:val="18"/>
              </w:rPr>
              <w:t>18%</w:t>
            </w:r>
            <w:r>
              <w:rPr>
                <w:spacing w:val="30"/>
                <w:sz w:val="18"/>
              </w:rPr>
              <w:t> </w:t>
            </w:r>
            <w:r>
              <w:rPr>
                <w:sz w:val="18"/>
              </w:rPr>
              <w:t>(or</w:t>
            </w:r>
            <w:r>
              <w:rPr>
                <w:spacing w:val="30"/>
                <w:sz w:val="18"/>
              </w:rPr>
              <w:t> </w:t>
            </w:r>
            <w:r>
              <w:rPr>
                <w:sz w:val="18"/>
              </w:rPr>
              <w:t>any</w:t>
            </w:r>
            <w:r>
              <w:rPr>
                <w:spacing w:val="30"/>
                <w:sz w:val="18"/>
              </w:rPr>
              <w:t> </w:t>
            </w:r>
            <w:r>
              <w:rPr>
                <w:sz w:val="18"/>
              </w:rPr>
              <w:t>other</w:t>
            </w:r>
            <w:r>
              <w:rPr>
                <w:spacing w:val="30"/>
                <w:sz w:val="18"/>
              </w:rPr>
              <w:t> </w:t>
            </w:r>
            <w:r>
              <w:rPr>
                <w:sz w:val="18"/>
              </w:rPr>
              <w:t>rate</w:t>
            </w:r>
            <w:r>
              <w:rPr>
                <w:spacing w:val="30"/>
                <w:sz w:val="18"/>
              </w:rPr>
              <w:t> </w:t>
            </w:r>
            <w:r>
              <w:rPr>
                <w:sz w:val="18"/>
              </w:rPr>
              <w:t>that</w:t>
            </w:r>
            <w:r>
              <w:rPr>
                <w:spacing w:val="30"/>
                <w:sz w:val="18"/>
              </w:rPr>
              <w:t> </w:t>
            </w:r>
            <w:r>
              <w:rPr>
                <w:sz w:val="18"/>
              </w:rPr>
              <w:t>may</w:t>
            </w:r>
            <w:r>
              <w:rPr>
                <w:spacing w:val="30"/>
                <w:sz w:val="18"/>
              </w:rPr>
              <w:t> </w:t>
            </w:r>
            <w:r>
              <w:rPr>
                <w:spacing w:val="-5"/>
                <w:sz w:val="18"/>
              </w:rPr>
              <w:t>be</w:t>
            </w:r>
          </w:p>
        </w:tc>
      </w:tr>
    </w:tbl>
    <w:p>
      <w:pPr>
        <w:pStyle w:val="TableParagraph"/>
        <w:spacing w:after="0" w:line="250" w:lineRule="atLeast"/>
        <w:rPr>
          <w:sz w:val="18"/>
        </w:rPr>
        <w:sectPr>
          <w:pgSz w:w="12240" w:h="15840"/>
          <w:pgMar w:header="720" w:footer="785" w:top="1400" w:bottom="980" w:left="1440" w:right="720"/>
        </w:sectPr>
      </w:pPr>
    </w:p>
    <w:p>
      <w:pPr>
        <w:pStyle w:val="BodyText"/>
        <w:spacing w:before="5"/>
        <w:rPr>
          <w:rFonts w:ascii="Calibri"/>
          <w:sz w:val="6"/>
        </w:rPr>
      </w:pPr>
      <w:r>
        <w:rPr>
          <w:rFonts w:ascii="Calibri"/>
          <w:sz w:val="6"/>
        </w:rPr>
        <mc:AlternateContent>
          <mc:Choice Requires="wps">
            <w:drawing>
              <wp:anchor distT="0" distB="0" distL="0" distR="0" allowOverlap="1" layoutInCell="1" locked="0" behindDoc="0" simplePos="0" relativeHeight="15730176">
                <wp:simplePos x="0" y="0"/>
                <wp:positionH relativeFrom="page">
                  <wp:posOffset>3276600</wp:posOffset>
                </wp:positionH>
                <wp:positionV relativeFrom="page">
                  <wp:posOffset>1765300</wp:posOffset>
                </wp:positionV>
                <wp:extent cx="3949700" cy="13582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949700" cy="13582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60"/>
                              <w:gridCol w:w="4020"/>
                            </w:tblGrid>
                            <w:tr>
                              <w:trPr>
                                <w:trHeight w:val="900" w:hRule="atLeast"/>
                              </w:trPr>
                              <w:tc>
                                <w:tcPr>
                                  <w:tcW w:w="2060" w:type="dxa"/>
                                </w:tcPr>
                                <w:p>
                                  <w:pPr>
                                    <w:pStyle w:val="TableParagraph"/>
                                    <w:spacing w:before="11"/>
                                    <w:ind w:left="95"/>
                                    <w:rPr>
                                      <w:sz w:val="18"/>
                                    </w:rPr>
                                  </w:pPr>
                                  <w:r>
                                    <w:rPr>
                                      <w:sz w:val="18"/>
                                    </w:rPr>
                                    <w:t>SMA Sub-</w:t>
                                  </w:r>
                                  <w:r>
                                    <w:rPr>
                                      <w:spacing w:val="-2"/>
                                      <w:sz w:val="18"/>
                                    </w:rPr>
                                    <w:t>Categories</w:t>
                                  </w:r>
                                </w:p>
                              </w:tc>
                              <w:tc>
                                <w:tcPr>
                                  <w:tcW w:w="4020" w:type="dxa"/>
                                </w:tcPr>
                                <w:p>
                                  <w:pPr>
                                    <w:pStyle w:val="TableParagraph"/>
                                    <w:spacing w:line="290" w:lineRule="auto" w:before="11"/>
                                    <w:ind w:left="105" w:right="96"/>
                                    <w:jc w:val="both"/>
                                    <w:rPr>
                                      <w:sz w:val="18"/>
                                    </w:rPr>
                                  </w:pPr>
                                  <w:r>
                                    <w:rPr>
                                      <w:sz w:val="18"/>
                                    </w:rPr>
                                    <w:t>Basis for classification – Principal or </w:t>
                                  </w:r>
                                  <w:r>
                                    <w:rPr>
                                      <w:sz w:val="18"/>
                                    </w:rPr>
                                    <w:t>interest payment or any other amount wholly or partly overdue between</w:t>
                                  </w:r>
                                </w:p>
                              </w:tc>
                            </w:tr>
                            <w:tr>
                              <w:trPr>
                                <w:trHeight w:val="380" w:hRule="atLeast"/>
                              </w:trPr>
                              <w:tc>
                                <w:tcPr>
                                  <w:tcW w:w="2060" w:type="dxa"/>
                                </w:tcPr>
                                <w:p>
                                  <w:pPr>
                                    <w:pStyle w:val="TableParagraph"/>
                                    <w:spacing w:line="204" w:lineRule="exact"/>
                                    <w:ind w:left="95"/>
                                    <w:rPr>
                                      <w:sz w:val="18"/>
                                    </w:rPr>
                                  </w:pPr>
                                  <w:r>
                                    <w:rPr>
                                      <w:sz w:val="18"/>
                                    </w:rPr>
                                    <w:t>SMA-</w:t>
                                  </w:r>
                                  <w:r>
                                    <w:rPr>
                                      <w:spacing w:val="-10"/>
                                      <w:sz w:val="18"/>
                                    </w:rPr>
                                    <w:t>0</w:t>
                                  </w:r>
                                </w:p>
                              </w:tc>
                              <w:tc>
                                <w:tcPr>
                                  <w:tcW w:w="4020" w:type="dxa"/>
                                </w:tcPr>
                                <w:p>
                                  <w:pPr>
                                    <w:pStyle w:val="TableParagraph"/>
                                    <w:spacing w:line="204" w:lineRule="exact"/>
                                    <w:ind w:left="105"/>
                                    <w:rPr>
                                      <w:sz w:val="18"/>
                                    </w:rPr>
                                  </w:pPr>
                                  <w:r>
                                    <w:rPr>
                                      <w:sz w:val="18"/>
                                    </w:rPr>
                                    <w:t>Up to 30 </w:t>
                                  </w:r>
                                  <w:r>
                                    <w:rPr>
                                      <w:spacing w:val="-4"/>
                                      <w:sz w:val="18"/>
                                    </w:rPr>
                                    <w:t>days</w:t>
                                  </w:r>
                                </w:p>
                              </w:tc>
                            </w:tr>
                            <w:tr>
                              <w:trPr>
                                <w:trHeight w:val="379" w:hRule="atLeast"/>
                              </w:trPr>
                              <w:tc>
                                <w:tcPr>
                                  <w:tcW w:w="2060" w:type="dxa"/>
                                </w:tcPr>
                                <w:p>
                                  <w:pPr>
                                    <w:pStyle w:val="TableParagraph"/>
                                    <w:spacing w:before="1"/>
                                    <w:ind w:left="95"/>
                                    <w:rPr>
                                      <w:sz w:val="18"/>
                                    </w:rPr>
                                  </w:pPr>
                                  <w:r>
                                    <w:rPr>
                                      <w:sz w:val="18"/>
                                    </w:rPr>
                                    <w:t>SMA-</w:t>
                                  </w:r>
                                  <w:r>
                                    <w:rPr>
                                      <w:spacing w:val="-10"/>
                                      <w:sz w:val="18"/>
                                    </w:rPr>
                                    <w:t>1</w:t>
                                  </w:r>
                                </w:p>
                              </w:tc>
                              <w:tc>
                                <w:tcPr>
                                  <w:tcW w:w="4020" w:type="dxa"/>
                                </w:tcPr>
                                <w:p>
                                  <w:pPr>
                                    <w:pStyle w:val="TableParagraph"/>
                                    <w:spacing w:before="1"/>
                                    <w:ind w:left="105"/>
                                    <w:rPr>
                                      <w:sz w:val="18"/>
                                    </w:rPr>
                                  </w:pPr>
                                  <w:r>
                                    <w:rPr>
                                      <w:sz w:val="18"/>
                                    </w:rPr>
                                    <w:t>More than 30 days and up to 60 </w:t>
                                  </w:r>
                                  <w:r>
                                    <w:rPr>
                                      <w:spacing w:val="-4"/>
                                      <w:sz w:val="18"/>
                                    </w:rPr>
                                    <w:t>days</w:t>
                                  </w:r>
                                </w:p>
                              </w:tc>
                            </w:tr>
                            <w:tr>
                              <w:trPr>
                                <w:trHeight w:val="380" w:hRule="atLeast"/>
                              </w:trPr>
                              <w:tc>
                                <w:tcPr>
                                  <w:tcW w:w="2060" w:type="dxa"/>
                                </w:tcPr>
                                <w:p>
                                  <w:pPr>
                                    <w:pStyle w:val="TableParagraph"/>
                                    <w:spacing w:before="6"/>
                                    <w:ind w:left="95"/>
                                    <w:rPr>
                                      <w:sz w:val="18"/>
                                    </w:rPr>
                                  </w:pPr>
                                  <w:r>
                                    <w:rPr>
                                      <w:sz w:val="18"/>
                                    </w:rPr>
                                    <w:t>SMA-</w:t>
                                  </w:r>
                                  <w:r>
                                    <w:rPr>
                                      <w:spacing w:val="-10"/>
                                      <w:sz w:val="18"/>
                                    </w:rPr>
                                    <w:t>2</w:t>
                                  </w:r>
                                </w:p>
                              </w:tc>
                              <w:tc>
                                <w:tcPr>
                                  <w:tcW w:w="4020" w:type="dxa"/>
                                </w:tcPr>
                                <w:p>
                                  <w:pPr>
                                    <w:pStyle w:val="TableParagraph"/>
                                    <w:spacing w:before="6"/>
                                    <w:ind w:left="105"/>
                                    <w:rPr>
                                      <w:sz w:val="18"/>
                                    </w:rPr>
                                  </w:pPr>
                                  <w:r>
                                    <w:rPr>
                                      <w:sz w:val="18"/>
                                    </w:rPr>
                                    <w:t>More than 60 days and up to 90 </w:t>
                                  </w:r>
                                  <w:r>
                                    <w:rPr>
                                      <w:spacing w:val="-4"/>
                                      <w:sz w:val="18"/>
                                    </w:rPr>
                                    <w:t>days</w:t>
                                  </w:r>
                                </w:p>
                              </w:tc>
                            </w:tr>
                          </w:tbl>
                          <w:p>
                            <w:pPr>
                              <w:pStyle w:val="BodyText"/>
                            </w:pPr>
                          </w:p>
                        </w:txbxContent>
                      </wps:txbx>
                      <wps:bodyPr wrap="square" lIns="0" tIns="0" rIns="0" bIns="0" rtlCol="0">
                        <a:noAutofit/>
                      </wps:bodyPr>
                    </wps:wsp>
                  </a:graphicData>
                </a:graphic>
              </wp:anchor>
            </w:drawing>
          </mc:Choice>
          <mc:Fallback>
            <w:pict>
              <v:shape style="position:absolute;margin-left:258pt;margin-top:139pt;width:311pt;height:106.95pt;mso-position-horizontal-relative:page;mso-position-vertical-relative:page;z-index:15730176" type="#_x0000_t202" id="docshape9"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60"/>
                        <w:gridCol w:w="4020"/>
                      </w:tblGrid>
                      <w:tr>
                        <w:trPr>
                          <w:trHeight w:val="900" w:hRule="atLeast"/>
                        </w:trPr>
                        <w:tc>
                          <w:tcPr>
                            <w:tcW w:w="2060" w:type="dxa"/>
                          </w:tcPr>
                          <w:p>
                            <w:pPr>
                              <w:pStyle w:val="TableParagraph"/>
                              <w:spacing w:before="11"/>
                              <w:ind w:left="95"/>
                              <w:rPr>
                                <w:sz w:val="18"/>
                              </w:rPr>
                            </w:pPr>
                            <w:r>
                              <w:rPr>
                                <w:sz w:val="18"/>
                              </w:rPr>
                              <w:t>SMA Sub-</w:t>
                            </w:r>
                            <w:r>
                              <w:rPr>
                                <w:spacing w:val="-2"/>
                                <w:sz w:val="18"/>
                              </w:rPr>
                              <w:t>Categories</w:t>
                            </w:r>
                          </w:p>
                        </w:tc>
                        <w:tc>
                          <w:tcPr>
                            <w:tcW w:w="4020" w:type="dxa"/>
                          </w:tcPr>
                          <w:p>
                            <w:pPr>
                              <w:pStyle w:val="TableParagraph"/>
                              <w:spacing w:line="290" w:lineRule="auto" w:before="11"/>
                              <w:ind w:left="105" w:right="96"/>
                              <w:jc w:val="both"/>
                              <w:rPr>
                                <w:sz w:val="18"/>
                              </w:rPr>
                            </w:pPr>
                            <w:r>
                              <w:rPr>
                                <w:sz w:val="18"/>
                              </w:rPr>
                              <w:t>Basis for classification – Principal or </w:t>
                            </w:r>
                            <w:r>
                              <w:rPr>
                                <w:sz w:val="18"/>
                              </w:rPr>
                              <w:t>interest payment or any other amount wholly or partly overdue between</w:t>
                            </w:r>
                          </w:p>
                        </w:tc>
                      </w:tr>
                      <w:tr>
                        <w:trPr>
                          <w:trHeight w:val="380" w:hRule="atLeast"/>
                        </w:trPr>
                        <w:tc>
                          <w:tcPr>
                            <w:tcW w:w="2060" w:type="dxa"/>
                          </w:tcPr>
                          <w:p>
                            <w:pPr>
                              <w:pStyle w:val="TableParagraph"/>
                              <w:spacing w:line="204" w:lineRule="exact"/>
                              <w:ind w:left="95"/>
                              <w:rPr>
                                <w:sz w:val="18"/>
                              </w:rPr>
                            </w:pPr>
                            <w:r>
                              <w:rPr>
                                <w:sz w:val="18"/>
                              </w:rPr>
                              <w:t>SMA-</w:t>
                            </w:r>
                            <w:r>
                              <w:rPr>
                                <w:spacing w:val="-10"/>
                                <w:sz w:val="18"/>
                              </w:rPr>
                              <w:t>0</w:t>
                            </w:r>
                          </w:p>
                        </w:tc>
                        <w:tc>
                          <w:tcPr>
                            <w:tcW w:w="4020" w:type="dxa"/>
                          </w:tcPr>
                          <w:p>
                            <w:pPr>
                              <w:pStyle w:val="TableParagraph"/>
                              <w:spacing w:line="204" w:lineRule="exact"/>
                              <w:ind w:left="105"/>
                              <w:rPr>
                                <w:sz w:val="18"/>
                              </w:rPr>
                            </w:pPr>
                            <w:r>
                              <w:rPr>
                                <w:sz w:val="18"/>
                              </w:rPr>
                              <w:t>Up to 30 </w:t>
                            </w:r>
                            <w:r>
                              <w:rPr>
                                <w:spacing w:val="-4"/>
                                <w:sz w:val="18"/>
                              </w:rPr>
                              <w:t>days</w:t>
                            </w:r>
                          </w:p>
                        </w:tc>
                      </w:tr>
                      <w:tr>
                        <w:trPr>
                          <w:trHeight w:val="379" w:hRule="atLeast"/>
                        </w:trPr>
                        <w:tc>
                          <w:tcPr>
                            <w:tcW w:w="2060" w:type="dxa"/>
                          </w:tcPr>
                          <w:p>
                            <w:pPr>
                              <w:pStyle w:val="TableParagraph"/>
                              <w:spacing w:before="1"/>
                              <w:ind w:left="95"/>
                              <w:rPr>
                                <w:sz w:val="18"/>
                              </w:rPr>
                            </w:pPr>
                            <w:r>
                              <w:rPr>
                                <w:sz w:val="18"/>
                              </w:rPr>
                              <w:t>SMA-</w:t>
                            </w:r>
                            <w:r>
                              <w:rPr>
                                <w:spacing w:val="-10"/>
                                <w:sz w:val="18"/>
                              </w:rPr>
                              <w:t>1</w:t>
                            </w:r>
                          </w:p>
                        </w:tc>
                        <w:tc>
                          <w:tcPr>
                            <w:tcW w:w="4020" w:type="dxa"/>
                          </w:tcPr>
                          <w:p>
                            <w:pPr>
                              <w:pStyle w:val="TableParagraph"/>
                              <w:spacing w:before="1"/>
                              <w:ind w:left="105"/>
                              <w:rPr>
                                <w:sz w:val="18"/>
                              </w:rPr>
                            </w:pPr>
                            <w:r>
                              <w:rPr>
                                <w:sz w:val="18"/>
                              </w:rPr>
                              <w:t>More than 30 days and up to 60 </w:t>
                            </w:r>
                            <w:r>
                              <w:rPr>
                                <w:spacing w:val="-4"/>
                                <w:sz w:val="18"/>
                              </w:rPr>
                              <w:t>days</w:t>
                            </w:r>
                          </w:p>
                        </w:tc>
                      </w:tr>
                      <w:tr>
                        <w:trPr>
                          <w:trHeight w:val="380" w:hRule="atLeast"/>
                        </w:trPr>
                        <w:tc>
                          <w:tcPr>
                            <w:tcW w:w="2060" w:type="dxa"/>
                          </w:tcPr>
                          <w:p>
                            <w:pPr>
                              <w:pStyle w:val="TableParagraph"/>
                              <w:spacing w:before="6"/>
                              <w:ind w:left="95"/>
                              <w:rPr>
                                <w:sz w:val="18"/>
                              </w:rPr>
                            </w:pPr>
                            <w:r>
                              <w:rPr>
                                <w:sz w:val="18"/>
                              </w:rPr>
                              <w:t>SMA-</w:t>
                            </w:r>
                            <w:r>
                              <w:rPr>
                                <w:spacing w:val="-10"/>
                                <w:sz w:val="18"/>
                              </w:rPr>
                              <w:t>2</w:t>
                            </w:r>
                          </w:p>
                        </w:tc>
                        <w:tc>
                          <w:tcPr>
                            <w:tcW w:w="4020" w:type="dxa"/>
                          </w:tcPr>
                          <w:p>
                            <w:pPr>
                              <w:pStyle w:val="TableParagraph"/>
                              <w:spacing w:before="6"/>
                              <w:ind w:left="105"/>
                              <w:rPr>
                                <w:sz w:val="18"/>
                              </w:rPr>
                            </w:pPr>
                            <w:r>
                              <w:rPr>
                                <w:sz w:val="18"/>
                              </w:rPr>
                              <w:t>More than 60 days and up to 90 </w:t>
                            </w:r>
                            <w:r>
                              <w:rPr>
                                <w:spacing w:val="-4"/>
                                <w:sz w:val="18"/>
                              </w:rPr>
                              <w:t>days</w:t>
                            </w:r>
                          </w:p>
                        </w:tc>
                      </w:tr>
                    </w:tbl>
                    <w:p>
                      <w:pPr>
                        <w:pStyle w:val="BodyText"/>
                      </w:pPr>
                    </w:p>
                  </w:txbxContent>
                </v:textbox>
                <w10:wrap type="none"/>
              </v:shape>
            </w:pict>
          </mc:Fallback>
        </mc:AlternateContent>
      </w: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6360"/>
      </w:tblGrid>
      <w:tr>
        <w:trPr>
          <w:trHeight w:val="879" w:hRule="atLeast"/>
        </w:trPr>
        <w:tc>
          <w:tcPr>
            <w:tcW w:w="3480" w:type="dxa"/>
          </w:tcPr>
          <w:p>
            <w:pPr>
              <w:pStyle w:val="TableParagraph"/>
              <w:ind w:left="0"/>
              <w:rPr>
                <w:rFonts w:ascii="Times New Roman"/>
                <w:sz w:val="16"/>
              </w:rPr>
            </w:pPr>
          </w:p>
        </w:tc>
        <w:tc>
          <w:tcPr>
            <w:tcW w:w="6360" w:type="dxa"/>
          </w:tcPr>
          <w:p>
            <w:pPr>
              <w:pStyle w:val="TableParagraph"/>
              <w:spacing w:line="290" w:lineRule="auto" w:before="1"/>
              <w:ind w:right="96"/>
              <w:jc w:val="both"/>
              <w:rPr>
                <w:sz w:val="18"/>
              </w:rPr>
            </w:pPr>
            <w:r>
              <w:rPr>
                <w:sz w:val="18"/>
              </w:rPr>
              <w:t>specified by the relevant governmental authority in this regard from time to time) together with any cess and such taxes and statutory levies shall </w:t>
            </w:r>
            <w:r>
              <w:rPr>
                <w:sz w:val="18"/>
              </w:rPr>
              <w:t>be payable by the Obligor(s).</w:t>
            </w:r>
          </w:p>
        </w:tc>
      </w:tr>
      <w:tr>
        <w:trPr>
          <w:trHeight w:val="6960" w:hRule="atLeast"/>
        </w:trPr>
        <w:tc>
          <w:tcPr>
            <w:tcW w:w="3480" w:type="dxa"/>
          </w:tcPr>
          <w:p>
            <w:pPr>
              <w:pStyle w:val="TableParagraph"/>
              <w:spacing w:line="290" w:lineRule="auto" w:before="6"/>
              <w:ind w:left="124"/>
              <w:rPr>
                <w:rFonts w:ascii="Arial"/>
                <w:b/>
                <w:sz w:val="18"/>
              </w:rPr>
            </w:pPr>
            <w:r>
              <w:rPr>
                <w:rFonts w:ascii="Arial"/>
                <w:b/>
                <w:sz w:val="18"/>
              </w:rPr>
              <w:t>Classification</w:t>
            </w:r>
            <w:r>
              <w:rPr>
                <w:rFonts w:ascii="Arial"/>
                <w:b/>
                <w:spacing w:val="22"/>
                <w:sz w:val="18"/>
              </w:rPr>
              <w:t> </w:t>
            </w:r>
            <w:r>
              <w:rPr>
                <w:rFonts w:ascii="Arial"/>
                <w:b/>
                <w:sz w:val="18"/>
              </w:rPr>
              <w:t>of</w:t>
            </w:r>
            <w:r>
              <w:rPr>
                <w:rFonts w:ascii="Arial"/>
                <w:b/>
                <w:spacing w:val="22"/>
                <w:sz w:val="18"/>
              </w:rPr>
              <w:t> </w:t>
            </w:r>
            <w:r>
              <w:rPr>
                <w:rFonts w:ascii="Arial"/>
                <w:b/>
                <w:sz w:val="18"/>
              </w:rPr>
              <w:t>a loan account as </w:t>
            </w:r>
            <w:r>
              <w:rPr>
                <w:rFonts w:ascii="Arial"/>
                <w:b/>
                <w:sz w:val="18"/>
              </w:rPr>
              <w:t>a stressed loan account</w:t>
            </w:r>
          </w:p>
        </w:tc>
        <w:tc>
          <w:tcPr>
            <w:tcW w:w="6360" w:type="dxa"/>
          </w:tcPr>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ind w:left="0"/>
              <w:rPr>
                <w:rFonts w:ascii="Calibri"/>
                <w:sz w:val="18"/>
              </w:rPr>
            </w:pPr>
          </w:p>
          <w:p>
            <w:pPr>
              <w:pStyle w:val="TableParagraph"/>
              <w:spacing w:before="65"/>
              <w:ind w:left="0"/>
              <w:rPr>
                <w:rFonts w:ascii="Calibri"/>
                <w:sz w:val="18"/>
              </w:rPr>
            </w:pPr>
          </w:p>
          <w:p>
            <w:pPr>
              <w:pStyle w:val="TableParagraph"/>
              <w:rPr>
                <w:rFonts w:ascii="Arial"/>
                <w:b/>
                <w:sz w:val="18"/>
              </w:rPr>
            </w:pPr>
            <w:r>
              <w:rPr>
                <w:rFonts w:ascii="Arial"/>
                <w:b/>
                <w:spacing w:val="-2"/>
                <w:sz w:val="18"/>
              </w:rPr>
              <w:t>Examples:</w:t>
            </w:r>
          </w:p>
          <w:p>
            <w:pPr>
              <w:pStyle w:val="TableParagraph"/>
              <w:numPr>
                <w:ilvl w:val="0"/>
                <w:numId w:val="13"/>
              </w:numPr>
              <w:tabs>
                <w:tab w:pos="544" w:val="left" w:leader="none"/>
              </w:tabs>
              <w:spacing w:line="276" w:lineRule="auto" w:before="31" w:after="0"/>
              <w:ind w:left="544" w:right="99" w:hanging="435"/>
              <w:jc w:val="both"/>
              <w:rPr>
                <w:sz w:val="18"/>
              </w:rPr>
            </w:pPr>
            <w:r>
              <w:rPr>
                <w:sz w:val="18"/>
              </w:rPr>
              <w:t>If due date of a Tranche Facility of the borrower(s) is 2</w:t>
            </w:r>
            <w:r>
              <w:rPr>
                <w:sz w:val="18"/>
                <w:vertAlign w:val="superscript"/>
              </w:rPr>
              <w:t>nd</w:t>
            </w:r>
            <w:r>
              <w:rPr>
                <w:sz w:val="18"/>
                <w:vertAlign w:val="baseline"/>
              </w:rPr>
              <w:t> March </w:t>
            </w:r>
            <w:r>
              <w:rPr>
                <w:sz w:val="18"/>
                <w:vertAlign w:val="baseline"/>
              </w:rPr>
              <w:t>2026 and full dues</w:t>
            </w:r>
            <w:r>
              <w:rPr>
                <w:spacing w:val="-3"/>
                <w:sz w:val="18"/>
                <w:vertAlign w:val="baseline"/>
              </w:rPr>
              <w:t> </w:t>
            </w:r>
            <w:r>
              <w:rPr>
                <w:sz w:val="18"/>
                <w:vertAlign w:val="baseline"/>
              </w:rPr>
              <w:t>are</w:t>
            </w:r>
            <w:r>
              <w:rPr>
                <w:spacing w:val="-3"/>
                <w:sz w:val="18"/>
                <w:vertAlign w:val="baseline"/>
              </w:rPr>
              <w:t> </w:t>
            </w:r>
            <w:r>
              <w:rPr>
                <w:sz w:val="18"/>
                <w:vertAlign w:val="baseline"/>
              </w:rPr>
              <w:t>not</w:t>
            </w:r>
            <w:r>
              <w:rPr>
                <w:spacing w:val="-3"/>
                <w:sz w:val="18"/>
                <w:vertAlign w:val="baseline"/>
              </w:rPr>
              <w:t> </w:t>
            </w:r>
            <w:r>
              <w:rPr>
                <w:sz w:val="18"/>
                <w:vertAlign w:val="baseline"/>
              </w:rPr>
              <w:t>received</w:t>
            </w:r>
            <w:r>
              <w:rPr>
                <w:spacing w:val="-3"/>
                <w:sz w:val="18"/>
                <w:vertAlign w:val="baseline"/>
              </w:rPr>
              <w:t> </w:t>
            </w:r>
            <w:r>
              <w:rPr>
                <w:sz w:val="18"/>
                <w:vertAlign w:val="baseline"/>
              </w:rPr>
              <w:t>on</w:t>
            </w:r>
            <w:r>
              <w:rPr>
                <w:spacing w:val="-3"/>
                <w:sz w:val="18"/>
                <w:vertAlign w:val="baseline"/>
              </w:rPr>
              <w:t> </w:t>
            </w:r>
            <w:r>
              <w:rPr>
                <w:sz w:val="18"/>
                <w:vertAlign w:val="baseline"/>
              </w:rPr>
              <w:t>this</w:t>
            </w:r>
            <w:r>
              <w:rPr>
                <w:spacing w:val="-3"/>
                <w:sz w:val="18"/>
                <w:vertAlign w:val="baseline"/>
              </w:rPr>
              <w:t> </w:t>
            </w:r>
            <w:r>
              <w:rPr>
                <w:sz w:val="18"/>
                <w:vertAlign w:val="baseline"/>
              </w:rPr>
              <w:t>date,</w:t>
            </w:r>
            <w:r>
              <w:rPr>
                <w:spacing w:val="-3"/>
                <w:sz w:val="18"/>
                <w:vertAlign w:val="baseline"/>
              </w:rPr>
              <w:t> </w:t>
            </w:r>
            <w:r>
              <w:rPr>
                <w:sz w:val="18"/>
                <w:vertAlign w:val="baseline"/>
              </w:rPr>
              <w:t>the</w:t>
            </w:r>
            <w:r>
              <w:rPr>
                <w:spacing w:val="-3"/>
                <w:sz w:val="18"/>
                <w:vertAlign w:val="baseline"/>
              </w:rPr>
              <w:t> </w:t>
            </w:r>
            <w:r>
              <w:rPr>
                <w:sz w:val="18"/>
                <w:vertAlign w:val="baseline"/>
              </w:rPr>
              <w:t>date</w:t>
            </w:r>
            <w:r>
              <w:rPr>
                <w:spacing w:val="-3"/>
                <w:sz w:val="18"/>
                <w:vertAlign w:val="baseline"/>
              </w:rPr>
              <w:t> </w:t>
            </w:r>
            <w:r>
              <w:rPr>
                <w:sz w:val="18"/>
                <w:vertAlign w:val="baseline"/>
              </w:rPr>
              <w:t>of</w:t>
            </w:r>
            <w:r>
              <w:rPr>
                <w:spacing w:val="-3"/>
                <w:sz w:val="18"/>
                <w:vertAlign w:val="baseline"/>
              </w:rPr>
              <w:t> </w:t>
            </w:r>
            <w:r>
              <w:rPr>
                <w:sz w:val="18"/>
                <w:vertAlign w:val="baseline"/>
              </w:rPr>
              <w:t>overdue</w:t>
            </w:r>
            <w:r>
              <w:rPr>
                <w:spacing w:val="-3"/>
                <w:sz w:val="18"/>
                <w:vertAlign w:val="baseline"/>
              </w:rPr>
              <w:t> </w:t>
            </w:r>
            <w:r>
              <w:rPr>
                <w:sz w:val="18"/>
                <w:vertAlign w:val="baseline"/>
              </w:rPr>
              <w:t>shall</w:t>
            </w:r>
            <w:r>
              <w:rPr>
                <w:spacing w:val="-3"/>
                <w:sz w:val="18"/>
                <w:vertAlign w:val="baseline"/>
              </w:rPr>
              <w:t> </w:t>
            </w:r>
            <w:r>
              <w:rPr>
                <w:sz w:val="18"/>
                <w:vertAlign w:val="baseline"/>
              </w:rPr>
              <w:t>be end of the day on 2</w:t>
            </w:r>
            <w:r>
              <w:rPr>
                <w:sz w:val="18"/>
                <w:vertAlign w:val="superscript"/>
              </w:rPr>
              <w:t>nd</w:t>
            </w:r>
            <w:r>
              <w:rPr>
                <w:sz w:val="18"/>
                <w:vertAlign w:val="baseline"/>
              </w:rPr>
              <w:t> March, 2026 and the Tranche Facility shall be classified as SMA-0.</w:t>
            </w:r>
          </w:p>
          <w:p>
            <w:pPr>
              <w:pStyle w:val="TableParagraph"/>
              <w:numPr>
                <w:ilvl w:val="0"/>
                <w:numId w:val="13"/>
              </w:numPr>
              <w:tabs>
                <w:tab w:pos="544" w:val="left" w:leader="none"/>
              </w:tabs>
              <w:spacing w:line="276" w:lineRule="auto" w:before="0" w:after="0"/>
              <w:ind w:left="544" w:right="99" w:hanging="435"/>
              <w:jc w:val="both"/>
              <w:rPr>
                <w:sz w:val="18"/>
              </w:rPr>
            </w:pPr>
            <w:r>
              <w:rPr>
                <w:sz w:val="18"/>
              </w:rPr>
              <w:t>If the</w:t>
            </w:r>
            <w:r>
              <w:rPr>
                <w:spacing w:val="-4"/>
                <w:sz w:val="18"/>
              </w:rPr>
              <w:t> </w:t>
            </w:r>
            <w:r>
              <w:rPr>
                <w:sz w:val="18"/>
              </w:rPr>
              <w:t>Tranche</w:t>
            </w:r>
            <w:r>
              <w:rPr>
                <w:spacing w:val="-4"/>
                <w:sz w:val="18"/>
              </w:rPr>
              <w:t> </w:t>
            </w:r>
            <w:r>
              <w:rPr>
                <w:sz w:val="18"/>
              </w:rPr>
              <w:t>Facility</w:t>
            </w:r>
            <w:r>
              <w:rPr>
                <w:spacing w:val="-4"/>
                <w:sz w:val="18"/>
              </w:rPr>
              <w:t> </w:t>
            </w:r>
            <w:r>
              <w:rPr>
                <w:sz w:val="18"/>
              </w:rPr>
              <w:t>continues</w:t>
            </w:r>
            <w:r>
              <w:rPr>
                <w:spacing w:val="-4"/>
                <w:sz w:val="18"/>
              </w:rPr>
              <w:t> </w:t>
            </w:r>
            <w:r>
              <w:rPr>
                <w:sz w:val="18"/>
              </w:rPr>
              <w:t>to</w:t>
            </w:r>
            <w:r>
              <w:rPr>
                <w:spacing w:val="-4"/>
                <w:sz w:val="18"/>
              </w:rPr>
              <w:t> </w:t>
            </w:r>
            <w:r>
              <w:rPr>
                <w:sz w:val="18"/>
              </w:rPr>
              <w:t>remain</w:t>
            </w:r>
            <w:r>
              <w:rPr>
                <w:spacing w:val="-4"/>
                <w:sz w:val="18"/>
              </w:rPr>
              <w:t> </w:t>
            </w:r>
            <w:r>
              <w:rPr>
                <w:sz w:val="18"/>
              </w:rPr>
              <w:t>overdue</w:t>
            </w:r>
            <w:r>
              <w:rPr>
                <w:spacing w:val="-4"/>
                <w:sz w:val="18"/>
              </w:rPr>
              <w:t> </w:t>
            </w:r>
            <w:r>
              <w:rPr>
                <w:sz w:val="18"/>
              </w:rPr>
              <w:t>on</w:t>
            </w:r>
            <w:r>
              <w:rPr>
                <w:spacing w:val="-4"/>
                <w:sz w:val="18"/>
              </w:rPr>
              <w:t> </w:t>
            </w:r>
            <w:r>
              <w:rPr>
                <w:sz w:val="18"/>
              </w:rPr>
              <w:t>1</w:t>
            </w:r>
            <w:r>
              <w:rPr>
                <w:sz w:val="18"/>
                <w:vertAlign w:val="superscript"/>
              </w:rPr>
              <w:t>st</w:t>
            </w:r>
            <w:r>
              <w:rPr>
                <w:spacing w:val="-5"/>
                <w:sz w:val="18"/>
                <w:vertAlign w:val="baseline"/>
              </w:rPr>
              <w:t> </w:t>
            </w:r>
            <w:r>
              <w:rPr>
                <w:sz w:val="18"/>
                <w:vertAlign w:val="baseline"/>
              </w:rPr>
              <w:t>April</w:t>
            </w:r>
            <w:r>
              <w:rPr>
                <w:spacing w:val="-4"/>
                <w:sz w:val="18"/>
                <w:vertAlign w:val="baseline"/>
              </w:rPr>
              <w:t> </w:t>
            </w:r>
            <w:r>
              <w:rPr>
                <w:sz w:val="18"/>
                <w:vertAlign w:val="baseline"/>
              </w:rPr>
              <w:t>2026</w:t>
            </w:r>
            <w:r>
              <w:rPr>
                <w:spacing w:val="-4"/>
                <w:sz w:val="18"/>
                <w:vertAlign w:val="baseline"/>
              </w:rPr>
              <w:t> </w:t>
            </w:r>
            <w:r>
              <w:rPr>
                <w:sz w:val="18"/>
                <w:vertAlign w:val="baseline"/>
              </w:rPr>
              <w:t>i.e. upon completion of 30 days of being continuously overdue, then this account shall be classified as SMA-1 on 1</w:t>
            </w:r>
            <w:r>
              <w:rPr>
                <w:sz w:val="18"/>
                <w:vertAlign w:val="superscript"/>
              </w:rPr>
              <w:t>st</w:t>
            </w:r>
            <w:r>
              <w:rPr>
                <w:sz w:val="18"/>
                <w:vertAlign w:val="baseline"/>
              </w:rPr>
              <w:t> April, 2026.</w:t>
            </w:r>
          </w:p>
          <w:p>
            <w:pPr>
              <w:pStyle w:val="TableParagraph"/>
              <w:numPr>
                <w:ilvl w:val="0"/>
                <w:numId w:val="13"/>
              </w:numPr>
              <w:tabs>
                <w:tab w:pos="544" w:val="left" w:leader="none"/>
              </w:tabs>
              <w:spacing w:line="276" w:lineRule="auto" w:before="0" w:after="0"/>
              <w:ind w:left="544" w:right="95" w:hanging="435"/>
              <w:jc w:val="both"/>
              <w:rPr>
                <w:sz w:val="18"/>
              </w:rPr>
            </w:pPr>
            <w:r>
              <w:rPr>
                <w:sz w:val="18"/>
              </w:rPr>
              <w:t>If</w:t>
            </w:r>
            <w:r>
              <w:rPr>
                <w:spacing w:val="40"/>
                <w:sz w:val="18"/>
              </w:rPr>
              <w:t> </w:t>
            </w:r>
            <w:r>
              <w:rPr>
                <w:sz w:val="18"/>
              </w:rPr>
              <w:t>the</w:t>
            </w:r>
            <w:r>
              <w:rPr>
                <w:spacing w:val="40"/>
                <w:sz w:val="18"/>
              </w:rPr>
              <w:t> </w:t>
            </w:r>
            <w:r>
              <w:rPr>
                <w:sz w:val="18"/>
              </w:rPr>
              <w:t>Tranche</w:t>
            </w:r>
            <w:r>
              <w:rPr>
                <w:spacing w:val="40"/>
                <w:sz w:val="18"/>
              </w:rPr>
              <w:t> </w:t>
            </w:r>
            <w:r>
              <w:rPr>
                <w:sz w:val="18"/>
              </w:rPr>
              <w:t>Facility</w:t>
            </w:r>
            <w:r>
              <w:rPr>
                <w:spacing w:val="40"/>
                <w:sz w:val="18"/>
              </w:rPr>
              <w:t> </w:t>
            </w:r>
            <w:r>
              <w:rPr>
                <w:sz w:val="18"/>
              </w:rPr>
              <w:t>continues</w:t>
            </w:r>
            <w:r>
              <w:rPr>
                <w:spacing w:val="40"/>
                <w:sz w:val="18"/>
              </w:rPr>
              <w:t> </w:t>
            </w:r>
            <w:r>
              <w:rPr>
                <w:sz w:val="18"/>
              </w:rPr>
              <w:t>to</w:t>
            </w:r>
            <w:r>
              <w:rPr>
                <w:spacing w:val="40"/>
                <w:sz w:val="18"/>
              </w:rPr>
              <w:t> </w:t>
            </w:r>
            <w:r>
              <w:rPr>
                <w:sz w:val="18"/>
              </w:rPr>
              <w:t>remain</w:t>
            </w:r>
            <w:r>
              <w:rPr>
                <w:spacing w:val="40"/>
                <w:sz w:val="18"/>
              </w:rPr>
              <w:t> </w:t>
            </w:r>
            <w:r>
              <w:rPr>
                <w:sz w:val="18"/>
              </w:rPr>
              <w:t>overdue</w:t>
            </w:r>
            <w:r>
              <w:rPr>
                <w:spacing w:val="40"/>
                <w:sz w:val="18"/>
              </w:rPr>
              <w:t> </w:t>
            </w:r>
            <w:r>
              <w:rPr>
                <w:sz w:val="18"/>
              </w:rPr>
              <w:t>upon</w:t>
            </w:r>
            <w:r>
              <w:rPr>
                <w:spacing w:val="40"/>
                <w:sz w:val="18"/>
              </w:rPr>
              <w:t> </w:t>
            </w:r>
            <w:r>
              <w:rPr>
                <w:sz w:val="18"/>
              </w:rPr>
              <w:t>running day-end process on 1</w:t>
            </w:r>
            <w:r>
              <w:rPr>
                <w:sz w:val="18"/>
                <w:vertAlign w:val="superscript"/>
              </w:rPr>
              <w:t>st</w:t>
            </w:r>
            <w:r>
              <w:rPr>
                <w:sz w:val="18"/>
                <w:vertAlign w:val="baseline"/>
              </w:rPr>
              <w:t> May 2026 i.e. upon completion of 60 days </w:t>
            </w:r>
            <w:r>
              <w:rPr>
                <w:sz w:val="18"/>
                <w:vertAlign w:val="baseline"/>
              </w:rPr>
              <w:t>of being continuously overdue, it shall be classified as SMA-2 on</w:t>
            </w:r>
            <w:r>
              <w:rPr>
                <w:spacing w:val="-3"/>
                <w:sz w:val="18"/>
                <w:vertAlign w:val="baseline"/>
              </w:rPr>
              <w:t> </w:t>
            </w:r>
            <w:r>
              <w:rPr>
                <w:sz w:val="18"/>
                <w:vertAlign w:val="baseline"/>
              </w:rPr>
              <w:t>1</w:t>
            </w:r>
            <w:r>
              <w:rPr>
                <w:sz w:val="18"/>
                <w:vertAlign w:val="superscript"/>
              </w:rPr>
              <w:t>st</w:t>
            </w:r>
            <w:r>
              <w:rPr>
                <w:spacing w:val="-4"/>
                <w:sz w:val="18"/>
                <w:vertAlign w:val="baseline"/>
              </w:rPr>
              <w:t> </w:t>
            </w:r>
            <w:r>
              <w:rPr>
                <w:sz w:val="18"/>
                <w:vertAlign w:val="baseline"/>
              </w:rPr>
              <w:t>May </w:t>
            </w:r>
            <w:r>
              <w:rPr>
                <w:spacing w:val="-2"/>
                <w:sz w:val="18"/>
                <w:vertAlign w:val="baseline"/>
              </w:rPr>
              <w:t>2026.</w:t>
            </w:r>
          </w:p>
          <w:p>
            <w:pPr>
              <w:pStyle w:val="TableParagraph"/>
              <w:numPr>
                <w:ilvl w:val="0"/>
                <w:numId w:val="13"/>
              </w:numPr>
              <w:tabs>
                <w:tab w:pos="544" w:val="left" w:leader="none"/>
              </w:tabs>
              <w:spacing w:line="276" w:lineRule="auto" w:before="0" w:after="0"/>
              <w:ind w:left="544" w:right="100" w:hanging="435"/>
              <w:jc w:val="both"/>
              <w:rPr>
                <w:sz w:val="18"/>
              </w:rPr>
            </w:pPr>
            <w:r>
              <w:rPr>
                <w:sz w:val="18"/>
              </w:rPr>
              <w:t>If</w:t>
            </w:r>
            <w:r>
              <w:rPr>
                <w:spacing w:val="40"/>
                <w:sz w:val="18"/>
              </w:rPr>
              <w:t> </w:t>
            </w:r>
            <w:r>
              <w:rPr>
                <w:sz w:val="18"/>
              </w:rPr>
              <w:t>the</w:t>
            </w:r>
            <w:r>
              <w:rPr>
                <w:spacing w:val="40"/>
                <w:sz w:val="18"/>
              </w:rPr>
              <w:t> </w:t>
            </w:r>
            <w:r>
              <w:rPr>
                <w:sz w:val="18"/>
              </w:rPr>
              <w:t>Tranche</w:t>
            </w:r>
            <w:r>
              <w:rPr>
                <w:spacing w:val="40"/>
                <w:sz w:val="18"/>
              </w:rPr>
              <w:t> </w:t>
            </w:r>
            <w:r>
              <w:rPr>
                <w:sz w:val="18"/>
              </w:rPr>
              <w:t>Facility</w:t>
            </w:r>
            <w:r>
              <w:rPr>
                <w:spacing w:val="40"/>
                <w:sz w:val="18"/>
              </w:rPr>
              <w:t> </w:t>
            </w:r>
            <w:r>
              <w:rPr>
                <w:sz w:val="18"/>
              </w:rPr>
              <w:t>continues</w:t>
            </w:r>
            <w:r>
              <w:rPr>
                <w:spacing w:val="40"/>
                <w:sz w:val="18"/>
              </w:rPr>
              <w:t> </w:t>
            </w:r>
            <w:r>
              <w:rPr>
                <w:sz w:val="18"/>
              </w:rPr>
              <w:t>to</w:t>
            </w:r>
            <w:r>
              <w:rPr>
                <w:spacing w:val="40"/>
                <w:sz w:val="18"/>
              </w:rPr>
              <w:t> </w:t>
            </w:r>
            <w:r>
              <w:rPr>
                <w:sz w:val="18"/>
              </w:rPr>
              <w:t>remain</w:t>
            </w:r>
            <w:r>
              <w:rPr>
                <w:spacing w:val="40"/>
                <w:sz w:val="18"/>
              </w:rPr>
              <w:t> </w:t>
            </w:r>
            <w:r>
              <w:rPr>
                <w:sz w:val="18"/>
              </w:rPr>
              <w:t>overdue</w:t>
            </w:r>
            <w:r>
              <w:rPr>
                <w:spacing w:val="40"/>
                <w:sz w:val="18"/>
              </w:rPr>
              <w:t> </w:t>
            </w:r>
            <w:r>
              <w:rPr>
                <w:sz w:val="18"/>
              </w:rPr>
              <w:t>upon</w:t>
            </w:r>
            <w:r>
              <w:rPr>
                <w:spacing w:val="40"/>
                <w:sz w:val="18"/>
              </w:rPr>
              <w:t> </w:t>
            </w:r>
            <w:r>
              <w:rPr>
                <w:sz w:val="18"/>
              </w:rPr>
              <w:t>running day-end process on 31</w:t>
            </w:r>
            <w:r>
              <w:rPr>
                <w:sz w:val="18"/>
                <w:vertAlign w:val="superscript"/>
              </w:rPr>
              <w:t>st</w:t>
            </w:r>
            <w:r>
              <w:rPr>
                <w:sz w:val="18"/>
                <w:vertAlign w:val="baseline"/>
              </w:rPr>
              <w:t> May 2026 i.e. upon completion of 90 days of being continuously overdue, it shall be classified as NPA on 31</w:t>
            </w:r>
            <w:r>
              <w:rPr>
                <w:sz w:val="18"/>
                <w:vertAlign w:val="superscript"/>
              </w:rPr>
              <w:t>st</w:t>
            </w:r>
            <w:r>
              <w:rPr>
                <w:sz w:val="18"/>
                <w:vertAlign w:val="baseline"/>
              </w:rPr>
              <w:t> May 2026 along with</w:t>
            </w:r>
            <w:r>
              <w:rPr>
                <w:spacing w:val="-6"/>
                <w:sz w:val="18"/>
                <w:vertAlign w:val="baseline"/>
              </w:rPr>
              <w:t> </w:t>
            </w:r>
            <w:r>
              <w:rPr>
                <w:sz w:val="18"/>
                <w:vertAlign w:val="baseline"/>
              </w:rPr>
              <w:t>all</w:t>
            </w:r>
            <w:r>
              <w:rPr>
                <w:spacing w:val="-6"/>
                <w:sz w:val="18"/>
                <w:vertAlign w:val="baseline"/>
              </w:rPr>
              <w:t> </w:t>
            </w:r>
            <w:r>
              <w:rPr>
                <w:sz w:val="18"/>
                <w:vertAlign w:val="baseline"/>
              </w:rPr>
              <w:t>other</w:t>
            </w:r>
            <w:r>
              <w:rPr>
                <w:spacing w:val="-6"/>
                <w:sz w:val="18"/>
                <w:vertAlign w:val="baseline"/>
              </w:rPr>
              <w:t> </w:t>
            </w:r>
            <w:r>
              <w:rPr>
                <w:sz w:val="18"/>
                <w:vertAlign w:val="baseline"/>
              </w:rPr>
              <w:t>Tranche</w:t>
            </w:r>
            <w:r>
              <w:rPr>
                <w:spacing w:val="-6"/>
                <w:sz w:val="18"/>
                <w:vertAlign w:val="baseline"/>
              </w:rPr>
              <w:t> </w:t>
            </w:r>
            <w:r>
              <w:rPr>
                <w:sz w:val="18"/>
                <w:vertAlign w:val="baseline"/>
              </w:rPr>
              <w:t>Facility,</w:t>
            </w:r>
            <w:r>
              <w:rPr>
                <w:spacing w:val="-6"/>
                <w:sz w:val="18"/>
                <w:vertAlign w:val="baseline"/>
              </w:rPr>
              <w:t> </w:t>
            </w:r>
            <w:r>
              <w:rPr>
                <w:sz w:val="18"/>
                <w:vertAlign w:val="baseline"/>
              </w:rPr>
              <w:t>if</w:t>
            </w:r>
            <w:r>
              <w:rPr>
                <w:spacing w:val="-6"/>
                <w:sz w:val="18"/>
                <w:vertAlign w:val="baseline"/>
              </w:rPr>
              <w:t> </w:t>
            </w:r>
            <w:r>
              <w:rPr>
                <w:sz w:val="18"/>
                <w:vertAlign w:val="baseline"/>
              </w:rPr>
              <w:t>any,</w:t>
            </w:r>
            <w:r>
              <w:rPr>
                <w:spacing w:val="-6"/>
                <w:sz w:val="18"/>
                <w:vertAlign w:val="baseline"/>
              </w:rPr>
              <w:t> </w:t>
            </w:r>
            <w:r>
              <w:rPr>
                <w:sz w:val="18"/>
                <w:vertAlign w:val="baseline"/>
              </w:rPr>
              <w:t>of</w:t>
            </w:r>
            <w:r>
              <w:rPr>
                <w:spacing w:val="-6"/>
                <w:sz w:val="18"/>
                <w:vertAlign w:val="baseline"/>
              </w:rPr>
              <w:t> </w:t>
            </w:r>
            <w:r>
              <w:rPr>
                <w:sz w:val="18"/>
                <w:vertAlign w:val="baseline"/>
              </w:rPr>
              <w:t>the</w:t>
            </w:r>
            <w:r>
              <w:rPr>
                <w:spacing w:val="-6"/>
                <w:sz w:val="18"/>
                <w:vertAlign w:val="baseline"/>
              </w:rPr>
              <w:t> </w:t>
            </w:r>
            <w:r>
              <w:rPr>
                <w:sz w:val="18"/>
                <w:vertAlign w:val="baseline"/>
              </w:rPr>
              <w:t>borrower(s)</w:t>
            </w:r>
            <w:r>
              <w:rPr>
                <w:spacing w:val="-6"/>
                <w:sz w:val="18"/>
                <w:vertAlign w:val="baseline"/>
              </w:rPr>
              <w:t> </w:t>
            </w:r>
            <w:r>
              <w:rPr>
                <w:sz w:val="18"/>
                <w:vertAlign w:val="baseline"/>
              </w:rPr>
              <w:t>with</w:t>
            </w:r>
          </w:p>
          <w:p>
            <w:pPr>
              <w:pStyle w:val="TableParagraph"/>
              <w:ind w:left="544"/>
              <w:jc w:val="both"/>
              <w:rPr>
                <w:sz w:val="18"/>
              </w:rPr>
            </w:pPr>
            <w:r>
              <w:rPr>
                <w:sz w:val="18"/>
              </w:rPr>
              <w:t>the </w:t>
            </w:r>
            <w:r>
              <w:rPr>
                <w:spacing w:val="-2"/>
                <w:sz w:val="18"/>
              </w:rPr>
              <w:t>Lender.</w:t>
            </w:r>
          </w:p>
        </w:tc>
      </w:tr>
      <w:tr>
        <w:trPr>
          <w:trHeight w:val="379" w:hRule="atLeast"/>
        </w:trPr>
        <w:tc>
          <w:tcPr>
            <w:tcW w:w="3480" w:type="dxa"/>
          </w:tcPr>
          <w:p>
            <w:pPr>
              <w:pStyle w:val="TableParagraph"/>
              <w:spacing w:before="3"/>
              <w:ind w:left="124"/>
              <w:rPr>
                <w:rFonts w:ascii="Arial"/>
                <w:b/>
                <w:sz w:val="18"/>
              </w:rPr>
            </w:pPr>
            <w:r>
              <w:rPr>
                <w:rFonts w:ascii="Arial"/>
                <w:b/>
                <w:sz w:val="18"/>
              </w:rPr>
              <w:t>Place of </w:t>
            </w:r>
            <w:r>
              <w:rPr>
                <w:rFonts w:ascii="Arial"/>
                <w:b/>
                <w:spacing w:val="-2"/>
                <w:sz w:val="18"/>
              </w:rPr>
              <w:t>arbitration</w:t>
            </w:r>
          </w:p>
        </w:tc>
        <w:tc>
          <w:tcPr>
            <w:tcW w:w="6360" w:type="dxa"/>
          </w:tcPr>
          <w:p>
            <w:pPr>
              <w:pStyle w:val="TableParagraph"/>
              <w:spacing w:before="3"/>
              <w:rPr>
                <w:sz w:val="18"/>
              </w:rPr>
            </w:pPr>
            <w:r>
              <w:rPr>
                <w:spacing w:val="-2"/>
                <w:sz w:val="18"/>
              </w:rPr>
              <w:t>Delhi</w:t>
            </w:r>
          </w:p>
        </w:tc>
      </w:tr>
      <w:tr>
        <w:trPr>
          <w:trHeight w:val="400" w:hRule="atLeast"/>
        </w:trPr>
        <w:tc>
          <w:tcPr>
            <w:tcW w:w="3480" w:type="dxa"/>
          </w:tcPr>
          <w:p>
            <w:pPr>
              <w:pStyle w:val="TableParagraph"/>
              <w:spacing w:before="8"/>
              <w:ind w:left="124"/>
              <w:rPr>
                <w:rFonts w:ascii="Arial"/>
                <w:b/>
                <w:sz w:val="18"/>
              </w:rPr>
            </w:pPr>
            <w:r>
              <w:rPr>
                <w:rFonts w:ascii="Arial"/>
                <w:b/>
                <w:spacing w:val="-2"/>
                <w:sz w:val="18"/>
              </w:rPr>
              <w:t>Jurisdiction</w:t>
            </w:r>
          </w:p>
        </w:tc>
        <w:tc>
          <w:tcPr>
            <w:tcW w:w="6360" w:type="dxa"/>
          </w:tcPr>
          <w:p>
            <w:pPr>
              <w:pStyle w:val="TableParagraph"/>
              <w:spacing w:before="8"/>
              <w:rPr>
                <w:sz w:val="18"/>
              </w:rPr>
            </w:pPr>
            <w:r>
              <w:rPr>
                <w:spacing w:val="-2"/>
                <w:sz w:val="18"/>
              </w:rPr>
              <w:t>Delhi</w:t>
            </w:r>
          </w:p>
        </w:tc>
      </w:tr>
    </w:tbl>
    <w:sectPr>
      <w:pgSz w:w="12240" w:h="15840"/>
      <w:pgMar w:header="720" w:footer="785" w:top="1400" w:bottom="9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000">
              <wp:simplePos x="0" y="0"/>
              <wp:positionH relativeFrom="page">
                <wp:posOffset>1448596</wp:posOffset>
              </wp:positionH>
              <wp:positionV relativeFrom="page">
                <wp:posOffset>9420175</wp:posOffset>
              </wp:positionV>
              <wp:extent cx="4485005" cy="2736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485005" cy="273685"/>
                      </a:xfrm>
                      <a:prstGeom prst="rect">
                        <a:avLst/>
                      </a:prstGeom>
                    </wps:spPr>
                    <wps:txbx>
                      <w:txbxContent>
                        <w:p>
                          <w:pPr>
                            <w:spacing w:line="276" w:lineRule="auto" w:before="7"/>
                            <w:ind w:left="1578" w:right="18" w:hanging="1559"/>
                            <w:jc w:val="left"/>
                            <w:rPr>
                              <w:sz w:val="16"/>
                            </w:rPr>
                          </w:pPr>
                          <w:r>
                            <w:rPr>
                              <w:sz w:val="16"/>
                            </w:rPr>
                            <w:t>Address:</w:t>
                          </w:r>
                          <w:r>
                            <w:rPr>
                              <w:spacing w:val="-5"/>
                              <w:sz w:val="16"/>
                            </w:rPr>
                            <w:t> </w:t>
                          </w:r>
                          <w:r>
                            <w:rPr>
                              <w:sz w:val="16"/>
                            </w:rPr>
                            <w:t>Mafatlal</w:t>
                          </w:r>
                          <w:r>
                            <w:rPr>
                              <w:spacing w:val="-5"/>
                              <w:sz w:val="16"/>
                            </w:rPr>
                            <w:t> </w:t>
                          </w:r>
                          <w:r>
                            <w:rPr>
                              <w:sz w:val="16"/>
                            </w:rPr>
                            <w:t>Centre,</w:t>
                          </w:r>
                          <w:r>
                            <w:rPr>
                              <w:spacing w:val="-5"/>
                              <w:sz w:val="16"/>
                            </w:rPr>
                            <w:t> </w:t>
                          </w:r>
                          <w:r>
                            <w:rPr>
                              <w:sz w:val="16"/>
                            </w:rPr>
                            <w:t>11th</w:t>
                          </w:r>
                          <w:r>
                            <w:rPr>
                              <w:spacing w:val="-5"/>
                              <w:sz w:val="16"/>
                            </w:rPr>
                            <w:t> </w:t>
                          </w:r>
                          <w:r>
                            <w:rPr>
                              <w:sz w:val="16"/>
                            </w:rPr>
                            <w:t>Floor,</w:t>
                          </w:r>
                          <w:r>
                            <w:rPr>
                              <w:spacing w:val="-5"/>
                              <w:sz w:val="16"/>
                            </w:rPr>
                            <w:t> </w:t>
                          </w:r>
                          <w:r>
                            <w:rPr>
                              <w:sz w:val="16"/>
                            </w:rPr>
                            <w:t>Nariman</w:t>
                          </w:r>
                          <w:r>
                            <w:rPr>
                              <w:spacing w:val="-5"/>
                              <w:sz w:val="16"/>
                            </w:rPr>
                            <w:t> </w:t>
                          </w:r>
                          <w:r>
                            <w:rPr>
                              <w:sz w:val="16"/>
                            </w:rPr>
                            <w:t>Point,</w:t>
                          </w:r>
                          <w:r>
                            <w:rPr>
                              <w:spacing w:val="-5"/>
                              <w:sz w:val="16"/>
                            </w:rPr>
                            <w:t> </w:t>
                          </w:r>
                          <w:r>
                            <w:rPr>
                              <w:sz w:val="16"/>
                            </w:rPr>
                            <w:t>Mumbai</w:t>
                          </w:r>
                          <w:r>
                            <w:rPr>
                              <w:spacing w:val="-5"/>
                              <w:sz w:val="16"/>
                            </w:rPr>
                            <w:t> </w:t>
                          </w:r>
                          <w:r>
                            <w:rPr>
                              <w:sz w:val="16"/>
                            </w:rPr>
                            <w:t>–</w:t>
                          </w:r>
                          <w:r>
                            <w:rPr>
                              <w:spacing w:val="-5"/>
                              <w:sz w:val="16"/>
                            </w:rPr>
                            <w:t> </w:t>
                          </w:r>
                          <w:r>
                            <w:rPr>
                              <w:sz w:val="16"/>
                            </w:rPr>
                            <w:t>400</w:t>
                          </w:r>
                          <w:r>
                            <w:rPr>
                              <w:spacing w:val="-5"/>
                              <w:sz w:val="16"/>
                            </w:rPr>
                            <w:t> </w:t>
                          </w:r>
                          <w:r>
                            <w:rPr>
                              <w:sz w:val="16"/>
                            </w:rPr>
                            <w:t>021</w:t>
                          </w:r>
                          <w:r>
                            <w:rPr>
                              <w:spacing w:val="-5"/>
                              <w:sz w:val="16"/>
                            </w:rPr>
                            <w:t> </w:t>
                          </w:r>
                          <w:r>
                            <w:rPr>
                              <w:sz w:val="16"/>
                            </w:rPr>
                            <w:t>|</w:t>
                          </w:r>
                          <w:r>
                            <w:rPr>
                              <w:spacing w:val="-5"/>
                              <w:sz w:val="16"/>
                            </w:rPr>
                            <w:t> </w:t>
                          </w:r>
                          <w:r>
                            <w:rPr>
                              <w:sz w:val="16"/>
                            </w:rPr>
                            <w:t>Phone</w:t>
                          </w:r>
                          <w:r>
                            <w:rPr>
                              <w:spacing w:val="-5"/>
                              <w:sz w:val="16"/>
                            </w:rPr>
                            <w:t> </w:t>
                          </w:r>
                          <w:r>
                            <w:rPr>
                              <w:sz w:val="16"/>
                            </w:rPr>
                            <w:t>No.</w:t>
                          </w:r>
                          <w:r>
                            <w:rPr>
                              <w:spacing w:val="-5"/>
                              <w:sz w:val="16"/>
                            </w:rPr>
                            <w:t> </w:t>
                          </w:r>
                          <w:r>
                            <w:rPr>
                              <w:sz w:val="16"/>
                            </w:rPr>
                            <w:t>022-41484529 Website: </w:t>
                          </w:r>
                          <w:hyperlink r:id="rId1">
                            <w:r>
                              <w:rPr>
                                <w:sz w:val="16"/>
                              </w:rPr>
                              <w:t>www.dspfin.com</w:t>
                            </w:r>
                          </w:hyperlink>
                          <w:r>
                            <w:rPr>
                              <w:sz w:val="16"/>
                            </w:rPr>
                            <w:t> | Email: </w:t>
                          </w:r>
                          <w:hyperlink r:id="rId2">
                            <w:r>
                              <w:rPr>
                                <w:color w:val="AF005E"/>
                                <w:sz w:val="16"/>
                              </w:rPr>
                              <w:t>support@dspfin.com</w:t>
                            </w:r>
                          </w:hyperlink>
                        </w:p>
                      </w:txbxContent>
                    </wps:txbx>
                    <wps:bodyPr wrap="square" lIns="0" tIns="0" rIns="0" bIns="0" rtlCol="0">
                      <a:noAutofit/>
                    </wps:bodyPr>
                  </wps:wsp>
                </a:graphicData>
              </a:graphic>
            </wp:anchor>
          </w:drawing>
        </mc:Choice>
        <mc:Fallback>
          <w:pict>
            <v:shape style="position:absolute;margin-left:114.062752pt;margin-top:741.746094pt;width:353.15pt;height:21.55pt;mso-position-horizontal-relative:page;mso-position-vertical-relative:page;z-index:-16020480" type="#_x0000_t202" id="docshape2" filled="false" stroked="false">
              <v:textbox inset="0,0,0,0">
                <w:txbxContent>
                  <w:p>
                    <w:pPr>
                      <w:spacing w:line="276" w:lineRule="auto" w:before="7"/>
                      <w:ind w:left="1578" w:right="18" w:hanging="1559"/>
                      <w:jc w:val="left"/>
                      <w:rPr>
                        <w:sz w:val="16"/>
                      </w:rPr>
                    </w:pPr>
                    <w:r>
                      <w:rPr>
                        <w:sz w:val="16"/>
                      </w:rPr>
                      <w:t>Address:</w:t>
                    </w:r>
                    <w:r>
                      <w:rPr>
                        <w:spacing w:val="-5"/>
                        <w:sz w:val="16"/>
                      </w:rPr>
                      <w:t> </w:t>
                    </w:r>
                    <w:r>
                      <w:rPr>
                        <w:sz w:val="16"/>
                      </w:rPr>
                      <w:t>Mafatlal</w:t>
                    </w:r>
                    <w:r>
                      <w:rPr>
                        <w:spacing w:val="-5"/>
                        <w:sz w:val="16"/>
                      </w:rPr>
                      <w:t> </w:t>
                    </w:r>
                    <w:r>
                      <w:rPr>
                        <w:sz w:val="16"/>
                      </w:rPr>
                      <w:t>Centre,</w:t>
                    </w:r>
                    <w:r>
                      <w:rPr>
                        <w:spacing w:val="-5"/>
                        <w:sz w:val="16"/>
                      </w:rPr>
                      <w:t> </w:t>
                    </w:r>
                    <w:r>
                      <w:rPr>
                        <w:sz w:val="16"/>
                      </w:rPr>
                      <w:t>11th</w:t>
                    </w:r>
                    <w:r>
                      <w:rPr>
                        <w:spacing w:val="-5"/>
                        <w:sz w:val="16"/>
                      </w:rPr>
                      <w:t> </w:t>
                    </w:r>
                    <w:r>
                      <w:rPr>
                        <w:sz w:val="16"/>
                      </w:rPr>
                      <w:t>Floor,</w:t>
                    </w:r>
                    <w:r>
                      <w:rPr>
                        <w:spacing w:val="-5"/>
                        <w:sz w:val="16"/>
                      </w:rPr>
                      <w:t> </w:t>
                    </w:r>
                    <w:r>
                      <w:rPr>
                        <w:sz w:val="16"/>
                      </w:rPr>
                      <w:t>Nariman</w:t>
                    </w:r>
                    <w:r>
                      <w:rPr>
                        <w:spacing w:val="-5"/>
                        <w:sz w:val="16"/>
                      </w:rPr>
                      <w:t> </w:t>
                    </w:r>
                    <w:r>
                      <w:rPr>
                        <w:sz w:val="16"/>
                      </w:rPr>
                      <w:t>Point,</w:t>
                    </w:r>
                    <w:r>
                      <w:rPr>
                        <w:spacing w:val="-5"/>
                        <w:sz w:val="16"/>
                      </w:rPr>
                      <w:t> </w:t>
                    </w:r>
                    <w:r>
                      <w:rPr>
                        <w:sz w:val="16"/>
                      </w:rPr>
                      <w:t>Mumbai</w:t>
                    </w:r>
                    <w:r>
                      <w:rPr>
                        <w:spacing w:val="-5"/>
                        <w:sz w:val="16"/>
                      </w:rPr>
                      <w:t> </w:t>
                    </w:r>
                    <w:r>
                      <w:rPr>
                        <w:sz w:val="16"/>
                      </w:rPr>
                      <w:t>–</w:t>
                    </w:r>
                    <w:r>
                      <w:rPr>
                        <w:spacing w:val="-5"/>
                        <w:sz w:val="16"/>
                      </w:rPr>
                      <w:t> </w:t>
                    </w:r>
                    <w:r>
                      <w:rPr>
                        <w:sz w:val="16"/>
                      </w:rPr>
                      <w:t>400</w:t>
                    </w:r>
                    <w:r>
                      <w:rPr>
                        <w:spacing w:val="-5"/>
                        <w:sz w:val="16"/>
                      </w:rPr>
                      <w:t> </w:t>
                    </w:r>
                    <w:r>
                      <w:rPr>
                        <w:sz w:val="16"/>
                      </w:rPr>
                      <w:t>021</w:t>
                    </w:r>
                    <w:r>
                      <w:rPr>
                        <w:spacing w:val="-5"/>
                        <w:sz w:val="16"/>
                      </w:rPr>
                      <w:t> </w:t>
                    </w:r>
                    <w:r>
                      <w:rPr>
                        <w:sz w:val="16"/>
                      </w:rPr>
                      <w:t>|</w:t>
                    </w:r>
                    <w:r>
                      <w:rPr>
                        <w:spacing w:val="-5"/>
                        <w:sz w:val="16"/>
                      </w:rPr>
                      <w:t> </w:t>
                    </w:r>
                    <w:r>
                      <w:rPr>
                        <w:sz w:val="16"/>
                      </w:rPr>
                      <w:t>Phone</w:t>
                    </w:r>
                    <w:r>
                      <w:rPr>
                        <w:spacing w:val="-5"/>
                        <w:sz w:val="16"/>
                      </w:rPr>
                      <w:t> </w:t>
                    </w:r>
                    <w:r>
                      <w:rPr>
                        <w:sz w:val="16"/>
                      </w:rPr>
                      <w:t>No.</w:t>
                    </w:r>
                    <w:r>
                      <w:rPr>
                        <w:spacing w:val="-5"/>
                        <w:sz w:val="16"/>
                      </w:rPr>
                      <w:t> </w:t>
                    </w:r>
                    <w:r>
                      <w:rPr>
                        <w:sz w:val="16"/>
                      </w:rPr>
                      <w:t>022-41484529 Website: </w:t>
                    </w:r>
                    <w:hyperlink r:id="rId1">
                      <w:r>
                        <w:rPr>
                          <w:sz w:val="16"/>
                        </w:rPr>
                        <w:t>www.dspfin.com</w:t>
                      </w:r>
                    </w:hyperlink>
                    <w:r>
                      <w:rPr>
                        <w:sz w:val="16"/>
                      </w:rPr>
                      <w:t> | Email: </w:t>
                    </w:r>
                    <w:hyperlink r:id="rId2">
                      <w:r>
                        <w:rPr>
                          <w:color w:val="AF005E"/>
                          <w:sz w:val="16"/>
                        </w:rPr>
                        <w:t>support@dspfin.com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96512">
              <wp:simplePos x="0" y="0"/>
              <wp:positionH relativeFrom="page">
                <wp:posOffset>3596387</wp:posOffset>
              </wp:positionH>
              <wp:positionV relativeFrom="page">
                <wp:posOffset>9823201</wp:posOffset>
              </wp:positionV>
              <wp:extent cx="20193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193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46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83.180115pt;margin-top:773.480469pt;width:15.9pt;height:10.95pt;mso-position-horizontal-relative:page;mso-position-vertical-relative:page;z-index:-16019968" type="#_x0000_t202" id="docshape3"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46</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94976">
          <wp:simplePos x="0" y="0"/>
          <wp:positionH relativeFrom="page">
            <wp:posOffset>914400</wp:posOffset>
          </wp:positionH>
          <wp:positionV relativeFrom="page">
            <wp:posOffset>457200</wp:posOffset>
          </wp:positionV>
          <wp:extent cx="1771649" cy="3238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71649" cy="3238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5488">
              <wp:simplePos x="0" y="0"/>
              <wp:positionH relativeFrom="page">
                <wp:posOffset>4819036</wp:posOffset>
              </wp:positionH>
              <wp:positionV relativeFrom="page">
                <wp:posOffset>460567</wp:posOffset>
              </wp:positionV>
              <wp:extent cx="2052320" cy="3111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52320" cy="311150"/>
                      </a:xfrm>
                      <a:prstGeom prst="rect">
                        <a:avLst/>
                      </a:prstGeom>
                    </wps:spPr>
                    <wps:txbx>
                      <w:txbxContent>
                        <w:p>
                          <w:pPr>
                            <w:spacing w:before="13"/>
                            <w:ind w:left="20" w:right="0" w:firstLine="0"/>
                            <w:jc w:val="left"/>
                            <w:rPr>
                              <w:rFonts w:ascii="Arial"/>
                              <w:b/>
                              <w:sz w:val="20"/>
                            </w:rPr>
                          </w:pPr>
                          <w:r>
                            <w:rPr>
                              <w:rFonts w:ascii="Arial"/>
                              <w:b/>
                              <w:spacing w:val="-2"/>
                              <w:sz w:val="20"/>
                            </w:rPr>
                            <w:t>DSP</w:t>
                          </w:r>
                          <w:r>
                            <w:rPr>
                              <w:rFonts w:ascii="Arial"/>
                              <w:b/>
                              <w:spacing w:val="-4"/>
                              <w:sz w:val="20"/>
                            </w:rPr>
                            <w:t> </w:t>
                          </w:r>
                          <w:r>
                            <w:rPr>
                              <w:rFonts w:ascii="Arial"/>
                              <w:b/>
                              <w:spacing w:val="-2"/>
                              <w:sz w:val="20"/>
                            </w:rPr>
                            <w:t>FINANCE</w:t>
                          </w:r>
                          <w:r>
                            <w:rPr>
                              <w:rFonts w:ascii="Arial"/>
                              <w:b/>
                              <w:spacing w:val="-4"/>
                              <w:sz w:val="20"/>
                            </w:rPr>
                            <w:t> </w:t>
                          </w:r>
                          <w:r>
                            <w:rPr>
                              <w:rFonts w:ascii="Arial"/>
                              <w:b/>
                              <w:spacing w:val="-2"/>
                              <w:sz w:val="20"/>
                            </w:rPr>
                            <w:t>PRIVATE</w:t>
                          </w:r>
                          <w:r>
                            <w:rPr>
                              <w:rFonts w:ascii="Arial"/>
                              <w:b/>
                              <w:spacing w:val="-3"/>
                              <w:sz w:val="20"/>
                            </w:rPr>
                            <w:t> </w:t>
                          </w:r>
                          <w:r>
                            <w:rPr>
                              <w:rFonts w:ascii="Arial"/>
                              <w:b/>
                              <w:spacing w:val="-2"/>
                              <w:sz w:val="20"/>
                            </w:rPr>
                            <w:t>LIMITED</w:t>
                          </w:r>
                        </w:p>
                        <w:p>
                          <w:pPr>
                            <w:spacing w:before="42"/>
                            <w:ind w:left="829" w:right="0" w:firstLine="0"/>
                            <w:jc w:val="left"/>
                            <w:rPr>
                              <w:sz w:val="16"/>
                            </w:rPr>
                          </w:pPr>
                          <w:r>
                            <w:rPr>
                              <w:sz w:val="16"/>
                            </w:rPr>
                            <w:t>CIN:</w:t>
                          </w:r>
                          <w:r>
                            <w:rPr>
                              <w:spacing w:val="-4"/>
                              <w:sz w:val="16"/>
                            </w:rPr>
                            <w:t> </w:t>
                          </w:r>
                          <w:r>
                            <w:rPr>
                              <w:spacing w:val="-2"/>
                              <w:sz w:val="16"/>
                            </w:rPr>
                            <w:t>U64920MH1996PTC099483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9.451721pt;margin-top:36.265137pt;width:161.6pt;height:24.5pt;mso-position-horizontal-relative:page;mso-position-vertical-relative:page;z-index:-16020992" type="#_x0000_t202" id="docshape1" filled="false" stroked="false">
              <v:textbox inset="0,0,0,0">
                <w:txbxContent>
                  <w:p>
                    <w:pPr>
                      <w:spacing w:before="13"/>
                      <w:ind w:left="20" w:right="0" w:firstLine="0"/>
                      <w:jc w:val="left"/>
                      <w:rPr>
                        <w:rFonts w:ascii="Arial"/>
                        <w:b/>
                        <w:sz w:val="20"/>
                      </w:rPr>
                    </w:pPr>
                    <w:r>
                      <w:rPr>
                        <w:rFonts w:ascii="Arial"/>
                        <w:b/>
                        <w:spacing w:val="-2"/>
                        <w:sz w:val="20"/>
                      </w:rPr>
                      <w:t>DSP</w:t>
                    </w:r>
                    <w:r>
                      <w:rPr>
                        <w:rFonts w:ascii="Arial"/>
                        <w:b/>
                        <w:spacing w:val="-4"/>
                        <w:sz w:val="20"/>
                      </w:rPr>
                      <w:t> </w:t>
                    </w:r>
                    <w:r>
                      <w:rPr>
                        <w:rFonts w:ascii="Arial"/>
                        <w:b/>
                        <w:spacing w:val="-2"/>
                        <w:sz w:val="20"/>
                      </w:rPr>
                      <w:t>FINANCE</w:t>
                    </w:r>
                    <w:r>
                      <w:rPr>
                        <w:rFonts w:ascii="Arial"/>
                        <w:b/>
                        <w:spacing w:val="-4"/>
                        <w:sz w:val="20"/>
                      </w:rPr>
                      <w:t> </w:t>
                    </w:r>
                    <w:r>
                      <w:rPr>
                        <w:rFonts w:ascii="Arial"/>
                        <w:b/>
                        <w:spacing w:val="-2"/>
                        <w:sz w:val="20"/>
                      </w:rPr>
                      <w:t>PRIVATE</w:t>
                    </w:r>
                    <w:r>
                      <w:rPr>
                        <w:rFonts w:ascii="Arial"/>
                        <w:b/>
                        <w:spacing w:val="-3"/>
                        <w:sz w:val="20"/>
                      </w:rPr>
                      <w:t> </w:t>
                    </w:r>
                    <w:r>
                      <w:rPr>
                        <w:rFonts w:ascii="Arial"/>
                        <w:b/>
                        <w:spacing w:val="-2"/>
                        <w:sz w:val="20"/>
                      </w:rPr>
                      <w:t>LIMITED</w:t>
                    </w:r>
                  </w:p>
                  <w:p>
                    <w:pPr>
                      <w:spacing w:before="42"/>
                      <w:ind w:left="829" w:right="0" w:firstLine="0"/>
                      <w:jc w:val="left"/>
                      <w:rPr>
                        <w:sz w:val="16"/>
                      </w:rPr>
                    </w:pPr>
                    <w:r>
                      <w:rPr>
                        <w:sz w:val="16"/>
                      </w:rPr>
                      <w:t>CIN:</w:t>
                    </w:r>
                    <w:r>
                      <w:rPr>
                        <w:spacing w:val="-4"/>
                        <w:sz w:val="16"/>
                      </w:rPr>
                      <w:t> </w:t>
                    </w:r>
                    <w:r>
                      <w:rPr>
                        <w:spacing w:val="-2"/>
                        <w:sz w:val="16"/>
                      </w:rPr>
                      <w:t>U64920MH1996PTC099483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5"/>
      <w:numFmt w:val="lowerLetter"/>
      <w:lvlText w:val="(%1)"/>
      <w:lvlJc w:val="left"/>
      <w:pPr>
        <w:ind w:left="545" w:hanging="435"/>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120" w:hanging="435"/>
      </w:pPr>
      <w:rPr>
        <w:rFonts w:hint="default"/>
        <w:lang w:val="en-US" w:eastAsia="en-US" w:bidi="ar-SA"/>
      </w:rPr>
    </w:lvl>
    <w:lvl w:ilvl="2">
      <w:start w:val="0"/>
      <w:numFmt w:val="bullet"/>
      <w:lvlText w:val="•"/>
      <w:lvlJc w:val="left"/>
      <w:pPr>
        <w:ind w:left="1700" w:hanging="435"/>
      </w:pPr>
      <w:rPr>
        <w:rFonts w:hint="default"/>
        <w:lang w:val="en-US" w:eastAsia="en-US" w:bidi="ar-SA"/>
      </w:rPr>
    </w:lvl>
    <w:lvl w:ilvl="3">
      <w:start w:val="0"/>
      <w:numFmt w:val="bullet"/>
      <w:lvlText w:val="•"/>
      <w:lvlJc w:val="left"/>
      <w:pPr>
        <w:ind w:left="2280" w:hanging="435"/>
      </w:pPr>
      <w:rPr>
        <w:rFonts w:hint="default"/>
        <w:lang w:val="en-US" w:eastAsia="en-US" w:bidi="ar-SA"/>
      </w:rPr>
    </w:lvl>
    <w:lvl w:ilvl="4">
      <w:start w:val="0"/>
      <w:numFmt w:val="bullet"/>
      <w:lvlText w:val="•"/>
      <w:lvlJc w:val="left"/>
      <w:pPr>
        <w:ind w:left="2860" w:hanging="435"/>
      </w:pPr>
      <w:rPr>
        <w:rFonts w:hint="default"/>
        <w:lang w:val="en-US" w:eastAsia="en-US" w:bidi="ar-SA"/>
      </w:rPr>
    </w:lvl>
    <w:lvl w:ilvl="5">
      <w:start w:val="0"/>
      <w:numFmt w:val="bullet"/>
      <w:lvlText w:val="•"/>
      <w:lvlJc w:val="left"/>
      <w:pPr>
        <w:ind w:left="3440" w:hanging="435"/>
      </w:pPr>
      <w:rPr>
        <w:rFonts w:hint="default"/>
        <w:lang w:val="en-US" w:eastAsia="en-US" w:bidi="ar-SA"/>
      </w:rPr>
    </w:lvl>
    <w:lvl w:ilvl="6">
      <w:start w:val="0"/>
      <w:numFmt w:val="bullet"/>
      <w:lvlText w:val="•"/>
      <w:lvlJc w:val="left"/>
      <w:pPr>
        <w:ind w:left="4020" w:hanging="435"/>
      </w:pPr>
      <w:rPr>
        <w:rFonts w:hint="default"/>
        <w:lang w:val="en-US" w:eastAsia="en-US" w:bidi="ar-SA"/>
      </w:rPr>
    </w:lvl>
    <w:lvl w:ilvl="7">
      <w:start w:val="0"/>
      <w:numFmt w:val="bullet"/>
      <w:lvlText w:val="•"/>
      <w:lvlJc w:val="left"/>
      <w:pPr>
        <w:ind w:left="4600" w:hanging="435"/>
      </w:pPr>
      <w:rPr>
        <w:rFonts w:hint="default"/>
        <w:lang w:val="en-US" w:eastAsia="en-US" w:bidi="ar-SA"/>
      </w:rPr>
    </w:lvl>
    <w:lvl w:ilvl="8">
      <w:start w:val="0"/>
      <w:numFmt w:val="bullet"/>
      <w:lvlText w:val="•"/>
      <w:lvlJc w:val="left"/>
      <w:pPr>
        <w:ind w:left="5180" w:hanging="435"/>
      </w:pPr>
      <w:rPr>
        <w:rFonts w:hint="default"/>
        <w:lang w:val="en-US" w:eastAsia="en-US" w:bidi="ar-SA"/>
      </w:rPr>
    </w:lvl>
  </w:abstractNum>
  <w:abstractNum w:abstractNumId="11">
    <w:multiLevelType w:val="hybridMultilevel"/>
    <w:lvl w:ilvl="0">
      <w:start w:val="1"/>
      <w:numFmt w:val="lowerLetter"/>
      <w:lvlText w:val="(%1)"/>
      <w:lvlJc w:val="left"/>
      <w:pPr>
        <w:ind w:left="815" w:hanging="63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372" w:hanging="630"/>
      </w:pPr>
      <w:rPr>
        <w:rFonts w:hint="default"/>
        <w:lang w:val="en-US" w:eastAsia="en-US" w:bidi="ar-SA"/>
      </w:rPr>
    </w:lvl>
    <w:lvl w:ilvl="2">
      <w:start w:val="0"/>
      <w:numFmt w:val="bullet"/>
      <w:lvlText w:val="•"/>
      <w:lvlJc w:val="left"/>
      <w:pPr>
        <w:ind w:left="1924" w:hanging="630"/>
      </w:pPr>
      <w:rPr>
        <w:rFonts w:hint="default"/>
        <w:lang w:val="en-US" w:eastAsia="en-US" w:bidi="ar-SA"/>
      </w:rPr>
    </w:lvl>
    <w:lvl w:ilvl="3">
      <w:start w:val="0"/>
      <w:numFmt w:val="bullet"/>
      <w:lvlText w:val="•"/>
      <w:lvlJc w:val="left"/>
      <w:pPr>
        <w:ind w:left="2476" w:hanging="630"/>
      </w:pPr>
      <w:rPr>
        <w:rFonts w:hint="default"/>
        <w:lang w:val="en-US" w:eastAsia="en-US" w:bidi="ar-SA"/>
      </w:rPr>
    </w:lvl>
    <w:lvl w:ilvl="4">
      <w:start w:val="0"/>
      <w:numFmt w:val="bullet"/>
      <w:lvlText w:val="•"/>
      <w:lvlJc w:val="left"/>
      <w:pPr>
        <w:ind w:left="3028" w:hanging="630"/>
      </w:pPr>
      <w:rPr>
        <w:rFonts w:hint="default"/>
        <w:lang w:val="en-US" w:eastAsia="en-US" w:bidi="ar-SA"/>
      </w:rPr>
    </w:lvl>
    <w:lvl w:ilvl="5">
      <w:start w:val="0"/>
      <w:numFmt w:val="bullet"/>
      <w:lvlText w:val="•"/>
      <w:lvlJc w:val="left"/>
      <w:pPr>
        <w:ind w:left="3580" w:hanging="630"/>
      </w:pPr>
      <w:rPr>
        <w:rFonts w:hint="default"/>
        <w:lang w:val="en-US" w:eastAsia="en-US" w:bidi="ar-SA"/>
      </w:rPr>
    </w:lvl>
    <w:lvl w:ilvl="6">
      <w:start w:val="0"/>
      <w:numFmt w:val="bullet"/>
      <w:lvlText w:val="•"/>
      <w:lvlJc w:val="left"/>
      <w:pPr>
        <w:ind w:left="4132" w:hanging="630"/>
      </w:pPr>
      <w:rPr>
        <w:rFonts w:hint="default"/>
        <w:lang w:val="en-US" w:eastAsia="en-US" w:bidi="ar-SA"/>
      </w:rPr>
    </w:lvl>
    <w:lvl w:ilvl="7">
      <w:start w:val="0"/>
      <w:numFmt w:val="bullet"/>
      <w:lvlText w:val="•"/>
      <w:lvlJc w:val="left"/>
      <w:pPr>
        <w:ind w:left="4684" w:hanging="630"/>
      </w:pPr>
      <w:rPr>
        <w:rFonts w:hint="default"/>
        <w:lang w:val="en-US" w:eastAsia="en-US" w:bidi="ar-SA"/>
      </w:rPr>
    </w:lvl>
    <w:lvl w:ilvl="8">
      <w:start w:val="0"/>
      <w:numFmt w:val="bullet"/>
      <w:lvlText w:val="•"/>
      <w:lvlJc w:val="left"/>
      <w:pPr>
        <w:ind w:left="5236" w:hanging="630"/>
      </w:pPr>
      <w:rPr>
        <w:rFonts w:hint="default"/>
        <w:lang w:val="en-US" w:eastAsia="en-US" w:bidi="ar-SA"/>
      </w:rPr>
    </w:lvl>
  </w:abstractNum>
  <w:abstractNum w:abstractNumId="10">
    <w:multiLevelType w:val="hybridMultilevel"/>
    <w:lvl w:ilvl="0">
      <w:start w:val="1"/>
      <w:numFmt w:val="lowerRoman"/>
      <w:lvlText w:val="(%1)"/>
      <w:lvlJc w:val="left"/>
      <w:pPr>
        <w:ind w:left="1190" w:hanging="72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696" w:hanging="720"/>
      </w:pPr>
      <w:rPr>
        <w:rFonts w:hint="default"/>
        <w:lang w:val="en-US" w:eastAsia="en-US" w:bidi="ar-SA"/>
      </w:rPr>
    </w:lvl>
    <w:lvl w:ilvl="2">
      <w:start w:val="0"/>
      <w:numFmt w:val="bullet"/>
      <w:lvlText w:val="•"/>
      <w:lvlJc w:val="left"/>
      <w:pPr>
        <w:ind w:left="2212" w:hanging="720"/>
      </w:pPr>
      <w:rPr>
        <w:rFonts w:hint="default"/>
        <w:lang w:val="en-US" w:eastAsia="en-US" w:bidi="ar-SA"/>
      </w:rPr>
    </w:lvl>
    <w:lvl w:ilvl="3">
      <w:start w:val="0"/>
      <w:numFmt w:val="bullet"/>
      <w:lvlText w:val="•"/>
      <w:lvlJc w:val="left"/>
      <w:pPr>
        <w:ind w:left="2728" w:hanging="720"/>
      </w:pPr>
      <w:rPr>
        <w:rFonts w:hint="default"/>
        <w:lang w:val="en-US" w:eastAsia="en-US" w:bidi="ar-SA"/>
      </w:rPr>
    </w:lvl>
    <w:lvl w:ilvl="4">
      <w:start w:val="0"/>
      <w:numFmt w:val="bullet"/>
      <w:lvlText w:val="•"/>
      <w:lvlJc w:val="left"/>
      <w:pPr>
        <w:ind w:left="3244" w:hanging="720"/>
      </w:pPr>
      <w:rPr>
        <w:rFonts w:hint="default"/>
        <w:lang w:val="en-US" w:eastAsia="en-US" w:bidi="ar-SA"/>
      </w:rPr>
    </w:lvl>
    <w:lvl w:ilvl="5">
      <w:start w:val="0"/>
      <w:numFmt w:val="bullet"/>
      <w:lvlText w:val="•"/>
      <w:lvlJc w:val="left"/>
      <w:pPr>
        <w:ind w:left="3760" w:hanging="720"/>
      </w:pPr>
      <w:rPr>
        <w:rFonts w:hint="default"/>
        <w:lang w:val="en-US" w:eastAsia="en-US" w:bidi="ar-SA"/>
      </w:rPr>
    </w:lvl>
    <w:lvl w:ilvl="6">
      <w:start w:val="0"/>
      <w:numFmt w:val="bullet"/>
      <w:lvlText w:val="•"/>
      <w:lvlJc w:val="left"/>
      <w:pPr>
        <w:ind w:left="4276" w:hanging="720"/>
      </w:pPr>
      <w:rPr>
        <w:rFonts w:hint="default"/>
        <w:lang w:val="en-US" w:eastAsia="en-US" w:bidi="ar-SA"/>
      </w:rPr>
    </w:lvl>
    <w:lvl w:ilvl="7">
      <w:start w:val="0"/>
      <w:numFmt w:val="bullet"/>
      <w:lvlText w:val="•"/>
      <w:lvlJc w:val="left"/>
      <w:pPr>
        <w:ind w:left="4792" w:hanging="720"/>
      </w:pPr>
      <w:rPr>
        <w:rFonts w:hint="default"/>
        <w:lang w:val="en-US" w:eastAsia="en-US" w:bidi="ar-SA"/>
      </w:rPr>
    </w:lvl>
    <w:lvl w:ilvl="8">
      <w:start w:val="0"/>
      <w:numFmt w:val="bullet"/>
      <w:lvlText w:val="•"/>
      <w:lvlJc w:val="left"/>
      <w:pPr>
        <w:ind w:left="5308" w:hanging="720"/>
      </w:pPr>
      <w:rPr>
        <w:rFonts w:hint="default"/>
        <w:lang w:val="en-US" w:eastAsia="en-US" w:bidi="ar-SA"/>
      </w:rPr>
    </w:lvl>
  </w:abstractNum>
  <w:abstractNum w:abstractNumId="9">
    <w:multiLevelType w:val="hybridMultilevel"/>
    <w:lvl w:ilvl="0">
      <w:start w:val="1"/>
      <w:numFmt w:val="lowerLetter"/>
      <w:lvlText w:val="(%1)"/>
      <w:lvlJc w:val="left"/>
      <w:pPr>
        <w:ind w:left="830" w:hanging="36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1924" w:hanging="360"/>
      </w:pPr>
      <w:rPr>
        <w:rFonts w:hint="default"/>
        <w:lang w:val="en-US" w:eastAsia="en-US" w:bidi="ar-SA"/>
      </w:rPr>
    </w:lvl>
    <w:lvl w:ilvl="3">
      <w:start w:val="0"/>
      <w:numFmt w:val="bullet"/>
      <w:lvlText w:val="•"/>
      <w:lvlJc w:val="left"/>
      <w:pPr>
        <w:ind w:left="2476" w:hanging="360"/>
      </w:pPr>
      <w:rPr>
        <w:rFonts w:hint="default"/>
        <w:lang w:val="en-US" w:eastAsia="en-US" w:bidi="ar-SA"/>
      </w:rPr>
    </w:lvl>
    <w:lvl w:ilvl="4">
      <w:start w:val="0"/>
      <w:numFmt w:val="bullet"/>
      <w:lvlText w:val="•"/>
      <w:lvlJc w:val="left"/>
      <w:pPr>
        <w:ind w:left="3028" w:hanging="360"/>
      </w:pPr>
      <w:rPr>
        <w:rFonts w:hint="default"/>
        <w:lang w:val="en-US" w:eastAsia="en-US" w:bidi="ar-SA"/>
      </w:rPr>
    </w:lvl>
    <w:lvl w:ilvl="5">
      <w:start w:val="0"/>
      <w:numFmt w:val="bullet"/>
      <w:lvlText w:val="•"/>
      <w:lvlJc w:val="left"/>
      <w:pPr>
        <w:ind w:left="3580" w:hanging="360"/>
      </w:pPr>
      <w:rPr>
        <w:rFonts w:hint="default"/>
        <w:lang w:val="en-US" w:eastAsia="en-US" w:bidi="ar-SA"/>
      </w:rPr>
    </w:lvl>
    <w:lvl w:ilvl="6">
      <w:start w:val="0"/>
      <w:numFmt w:val="bullet"/>
      <w:lvlText w:val="•"/>
      <w:lvlJc w:val="left"/>
      <w:pPr>
        <w:ind w:left="4132" w:hanging="360"/>
      </w:pPr>
      <w:rPr>
        <w:rFonts w:hint="default"/>
        <w:lang w:val="en-US" w:eastAsia="en-US" w:bidi="ar-SA"/>
      </w:rPr>
    </w:lvl>
    <w:lvl w:ilvl="7">
      <w:start w:val="0"/>
      <w:numFmt w:val="bullet"/>
      <w:lvlText w:val="•"/>
      <w:lvlJc w:val="left"/>
      <w:pPr>
        <w:ind w:left="4684" w:hanging="360"/>
      </w:pPr>
      <w:rPr>
        <w:rFonts w:hint="default"/>
        <w:lang w:val="en-US" w:eastAsia="en-US" w:bidi="ar-SA"/>
      </w:rPr>
    </w:lvl>
    <w:lvl w:ilvl="8">
      <w:start w:val="0"/>
      <w:numFmt w:val="bullet"/>
      <w:lvlText w:val="•"/>
      <w:lvlJc w:val="left"/>
      <w:pPr>
        <w:ind w:left="5236" w:hanging="360"/>
      </w:pPr>
      <w:rPr>
        <w:rFonts w:hint="default"/>
        <w:lang w:val="en-US" w:eastAsia="en-US" w:bidi="ar-SA"/>
      </w:rPr>
    </w:lvl>
  </w:abstractNum>
  <w:abstractNum w:abstractNumId="8">
    <w:multiLevelType w:val="hybridMultilevel"/>
    <w:lvl w:ilvl="0">
      <w:start w:val="1"/>
      <w:numFmt w:val="lowerRoman"/>
      <w:lvlText w:val="(%1)"/>
      <w:lvlJc w:val="left"/>
      <w:pPr>
        <w:ind w:left="1145" w:hanging="675"/>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660" w:hanging="675"/>
      </w:pPr>
      <w:rPr>
        <w:rFonts w:hint="default"/>
        <w:lang w:val="en-US" w:eastAsia="en-US" w:bidi="ar-SA"/>
      </w:rPr>
    </w:lvl>
    <w:lvl w:ilvl="2">
      <w:start w:val="0"/>
      <w:numFmt w:val="bullet"/>
      <w:lvlText w:val="•"/>
      <w:lvlJc w:val="left"/>
      <w:pPr>
        <w:ind w:left="2180" w:hanging="675"/>
      </w:pPr>
      <w:rPr>
        <w:rFonts w:hint="default"/>
        <w:lang w:val="en-US" w:eastAsia="en-US" w:bidi="ar-SA"/>
      </w:rPr>
    </w:lvl>
    <w:lvl w:ilvl="3">
      <w:start w:val="0"/>
      <w:numFmt w:val="bullet"/>
      <w:lvlText w:val="•"/>
      <w:lvlJc w:val="left"/>
      <w:pPr>
        <w:ind w:left="2700" w:hanging="675"/>
      </w:pPr>
      <w:rPr>
        <w:rFonts w:hint="default"/>
        <w:lang w:val="en-US" w:eastAsia="en-US" w:bidi="ar-SA"/>
      </w:rPr>
    </w:lvl>
    <w:lvl w:ilvl="4">
      <w:start w:val="0"/>
      <w:numFmt w:val="bullet"/>
      <w:lvlText w:val="•"/>
      <w:lvlJc w:val="left"/>
      <w:pPr>
        <w:ind w:left="3220" w:hanging="675"/>
      </w:pPr>
      <w:rPr>
        <w:rFonts w:hint="default"/>
        <w:lang w:val="en-US" w:eastAsia="en-US" w:bidi="ar-SA"/>
      </w:rPr>
    </w:lvl>
    <w:lvl w:ilvl="5">
      <w:start w:val="0"/>
      <w:numFmt w:val="bullet"/>
      <w:lvlText w:val="•"/>
      <w:lvlJc w:val="left"/>
      <w:pPr>
        <w:ind w:left="3740" w:hanging="675"/>
      </w:pPr>
      <w:rPr>
        <w:rFonts w:hint="default"/>
        <w:lang w:val="en-US" w:eastAsia="en-US" w:bidi="ar-SA"/>
      </w:rPr>
    </w:lvl>
    <w:lvl w:ilvl="6">
      <w:start w:val="0"/>
      <w:numFmt w:val="bullet"/>
      <w:lvlText w:val="•"/>
      <w:lvlJc w:val="left"/>
      <w:pPr>
        <w:ind w:left="4260" w:hanging="675"/>
      </w:pPr>
      <w:rPr>
        <w:rFonts w:hint="default"/>
        <w:lang w:val="en-US" w:eastAsia="en-US" w:bidi="ar-SA"/>
      </w:rPr>
    </w:lvl>
    <w:lvl w:ilvl="7">
      <w:start w:val="0"/>
      <w:numFmt w:val="bullet"/>
      <w:lvlText w:val="•"/>
      <w:lvlJc w:val="left"/>
      <w:pPr>
        <w:ind w:left="4780" w:hanging="675"/>
      </w:pPr>
      <w:rPr>
        <w:rFonts w:hint="default"/>
        <w:lang w:val="en-US" w:eastAsia="en-US" w:bidi="ar-SA"/>
      </w:rPr>
    </w:lvl>
    <w:lvl w:ilvl="8">
      <w:start w:val="0"/>
      <w:numFmt w:val="bullet"/>
      <w:lvlText w:val="•"/>
      <w:lvlJc w:val="left"/>
      <w:pPr>
        <w:ind w:left="5300" w:hanging="675"/>
      </w:pPr>
      <w:rPr>
        <w:rFonts w:hint="default"/>
        <w:lang w:val="en-US" w:eastAsia="en-US" w:bidi="ar-SA"/>
      </w:rPr>
    </w:lvl>
  </w:abstractNum>
  <w:abstractNum w:abstractNumId="7">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6">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5">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4">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3">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2">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1">
    <w:multiLevelType w:val="hybridMultilevel"/>
    <w:lvl w:ilvl="0">
      <w:start w:val="1"/>
      <w:numFmt w:val="lowerLetter"/>
      <w:lvlText w:val="%1)"/>
      <w:lvlJc w:val="left"/>
      <w:pPr>
        <w:ind w:left="320" w:hanging="21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922" w:hanging="211"/>
      </w:pPr>
      <w:rPr>
        <w:rFonts w:hint="default"/>
        <w:lang w:val="en-US" w:eastAsia="en-US" w:bidi="ar-SA"/>
      </w:rPr>
    </w:lvl>
    <w:lvl w:ilvl="2">
      <w:start w:val="0"/>
      <w:numFmt w:val="bullet"/>
      <w:lvlText w:val="•"/>
      <w:lvlJc w:val="left"/>
      <w:pPr>
        <w:ind w:left="1524" w:hanging="211"/>
      </w:pPr>
      <w:rPr>
        <w:rFonts w:hint="default"/>
        <w:lang w:val="en-US" w:eastAsia="en-US" w:bidi="ar-SA"/>
      </w:rPr>
    </w:lvl>
    <w:lvl w:ilvl="3">
      <w:start w:val="0"/>
      <w:numFmt w:val="bullet"/>
      <w:lvlText w:val="•"/>
      <w:lvlJc w:val="left"/>
      <w:pPr>
        <w:ind w:left="2126" w:hanging="211"/>
      </w:pPr>
      <w:rPr>
        <w:rFonts w:hint="default"/>
        <w:lang w:val="en-US" w:eastAsia="en-US" w:bidi="ar-SA"/>
      </w:rPr>
    </w:lvl>
    <w:lvl w:ilvl="4">
      <w:start w:val="0"/>
      <w:numFmt w:val="bullet"/>
      <w:lvlText w:val="•"/>
      <w:lvlJc w:val="left"/>
      <w:pPr>
        <w:ind w:left="2728" w:hanging="211"/>
      </w:pPr>
      <w:rPr>
        <w:rFonts w:hint="default"/>
        <w:lang w:val="en-US" w:eastAsia="en-US" w:bidi="ar-SA"/>
      </w:rPr>
    </w:lvl>
    <w:lvl w:ilvl="5">
      <w:start w:val="0"/>
      <w:numFmt w:val="bullet"/>
      <w:lvlText w:val="•"/>
      <w:lvlJc w:val="left"/>
      <w:pPr>
        <w:ind w:left="3330" w:hanging="211"/>
      </w:pPr>
      <w:rPr>
        <w:rFonts w:hint="default"/>
        <w:lang w:val="en-US" w:eastAsia="en-US" w:bidi="ar-SA"/>
      </w:rPr>
    </w:lvl>
    <w:lvl w:ilvl="6">
      <w:start w:val="0"/>
      <w:numFmt w:val="bullet"/>
      <w:lvlText w:val="•"/>
      <w:lvlJc w:val="left"/>
      <w:pPr>
        <w:ind w:left="3932" w:hanging="211"/>
      </w:pPr>
      <w:rPr>
        <w:rFonts w:hint="default"/>
        <w:lang w:val="en-US" w:eastAsia="en-US" w:bidi="ar-SA"/>
      </w:rPr>
    </w:lvl>
    <w:lvl w:ilvl="7">
      <w:start w:val="0"/>
      <w:numFmt w:val="bullet"/>
      <w:lvlText w:val="•"/>
      <w:lvlJc w:val="left"/>
      <w:pPr>
        <w:ind w:left="4534" w:hanging="211"/>
      </w:pPr>
      <w:rPr>
        <w:rFonts w:hint="default"/>
        <w:lang w:val="en-US" w:eastAsia="en-US" w:bidi="ar-SA"/>
      </w:rPr>
    </w:lvl>
    <w:lvl w:ilvl="8">
      <w:start w:val="0"/>
      <w:numFmt w:val="bullet"/>
      <w:lvlText w:val="•"/>
      <w:lvlJc w:val="left"/>
      <w:pPr>
        <w:ind w:left="5136" w:hanging="211"/>
      </w:pPr>
      <w:rPr>
        <w:rFonts w:hint="default"/>
        <w:lang w:val="en-US" w:eastAsia="en-US" w:bidi="ar-SA"/>
      </w:rPr>
    </w:lvl>
  </w:abstractNum>
  <w:abstractNum w:abstractNumId="0">
    <w:multiLevelType w:val="hybridMultilevel"/>
    <w:lvl w:ilvl="0">
      <w:start w:val="1"/>
      <w:numFmt w:val="decimal"/>
      <w:lvlText w:val="%1."/>
      <w:lvlJc w:val="left"/>
      <w:pPr>
        <w:ind w:left="720" w:hanging="720"/>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165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528" w:hanging="720"/>
      </w:pPr>
      <w:rPr>
        <w:rFonts w:hint="default"/>
        <w:lang w:val="en-US" w:eastAsia="en-US" w:bidi="ar-SA"/>
      </w:rPr>
    </w:lvl>
    <w:lvl w:ilvl="4">
      <w:start w:val="0"/>
      <w:numFmt w:val="bullet"/>
      <w:lvlText w:val="•"/>
      <w:lvlJc w:val="left"/>
      <w:pPr>
        <w:ind w:left="4464" w:hanging="720"/>
      </w:pPr>
      <w:rPr>
        <w:rFonts w:hint="default"/>
        <w:lang w:val="en-US" w:eastAsia="en-US" w:bidi="ar-SA"/>
      </w:rPr>
    </w:lvl>
    <w:lvl w:ilvl="5">
      <w:start w:val="0"/>
      <w:numFmt w:val="bullet"/>
      <w:lvlText w:val="•"/>
      <w:lvlJc w:val="left"/>
      <w:pPr>
        <w:ind w:left="5400" w:hanging="720"/>
      </w:pPr>
      <w:rPr>
        <w:rFonts w:hint="default"/>
        <w:lang w:val="en-US" w:eastAsia="en-US" w:bidi="ar-SA"/>
      </w:rPr>
    </w:lvl>
    <w:lvl w:ilvl="6">
      <w:start w:val="0"/>
      <w:numFmt w:val="bullet"/>
      <w:lvlText w:val="•"/>
      <w:lvlJc w:val="left"/>
      <w:pPr>
        <w:ind w:left="6336" w:hanging="720"/>
      </w:pPr>
      <w:rPr>
        <w:rFonts w:hint="default"/>
        <w:lang w:val="en-US" w:eastAsia="en-US" w:bidi="ar-SA"/>
      </w:rPr>
    </w:lvl>
    <w:lvl w:ilvl="7">
      <w:start w:val="0"/>
      <w:numFmt w:val="bullet"/>
      <w:lvlText w:val="•"/>
      <w:lvlJc w:val="left"/>
      <w:pPr>
        <w:ind w:left="7272" w:hanging="720"/>
      </w:pPr>
      <w:rPr>
        <w:rFonts w:hint="default"/>
        <w:lang w:val="en-US" w:eastAsia="en-US" w:bidi="ar-SA"/>
      </w:rPr>
    </w:lvl>
    <w:lvl w:ilvl="8">
      <w:start w:val="0"/>
      <w:numFmt w:val="bullet"/>
      <w:lvlText w:val="•"/>
      <w:lvlJc w:val="left"/>
      <w:pPr>
        <w:ind w:left="8208" w:hanging="72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1"/>
      <w:ind w:right="718"/>
      <w:jc w:val="center"/>
      <w:outlineLvl w:val="1"/>
    </w:pPr>
    <w:rPr>
      <w:rFonts w:ascii="Arial" w:hAnsi="Arial" w:eastAsia="Arial" w:cs="Arial"/>
      <w:b/>
      <w:bCs/>
      <w:sz w:val="18"/>
      <w:szCs w:val="18"/>
      <w:lang w:val="en-US" w:eastAsia="en-US" w:bidi="ar-SA"/>
    </w:rPr>
  </w:style>
  <w:style w:styleId="Title" w:type="paragraph">
    <w:name w:val="Title"/>
    <w:basedOn w:val="Normal"/>
    <w:uiPriority w:val="1"/>
    <w:qFormat/>
    <w:pPr>
      <w:spacing w:before="13"/>
      <w:ind w:left="20"/>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207"/>
      <w:ind w:left="720" w:right="718" w:hanging="720"/>
      <w:jc w:val="both"/>
    </w:pPr>
    <w:rPr>
      <w:rFonts w:ascii="Arial MT" w:hAnsi="Arial MT" w:eastAsia="Arial MT" w:cs="Arial MT"/>
      <w:lang w:val="en-US" w:eastAsia="en-US" w:bidi="ar-SA"/>
    </w:rPr>
  </w:style>
  <w:style w:styleId="TableParagraph" w:type="paragraph">
    <w:name w:val="Table Paragraph"/>
    <w:basedOn w:val="Normal"/>
    <w:uiPriority w:val="1"/>
    <w:qFormat/>
    <w:pPr>
      <w:ind w:left="10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dspfin.com/" TargetMode="Externa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dspfin.com/" TargetMode="External"/><Relationship Id="rId2"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2025-11-19T11:13:13Z</dcterms:created>
  <dcterms:modified xsi:type="dcterms:W3CDTF">2025-11-19T11:13:13Z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iLovePDF</vt:lpwstr>
  </property>
</Properties>
</file>