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  <w:sz w:val="18"/>
          <w:szCs w:val="18"/>
        </w:rPr>
      </w:pPr>
    </w:p>
    <w:p w14:paraId="0669232D">
      <w:pPr>
        <w:spacing w:after="3" w:line="358" w:lineRule="auto"/>
        <w:ind w:right="348"/>
        <w:jc w:val="center"/>
        <w:rPr>
          <w:b/>
          <w:sz w:val="18"/>
          <w:szCs w:val="18"/>
          <w:rtl w:val="0"/>
        </w:rPr>
      </w:pPr>
      <w:r>
        <w:rPr>
          <w:b/>
          <w:sz w:val="18"/>
          <w:szCs w:val="18"/>
          <w:rtl w:val="0"/>
        </w:rPr>
        <w:t>KEY FACTS STATEMENT</w:t>
      </w:r>
    </w:p>
    <w:p w14:paraId="00000003">
      <w:pPr>
        <w:pStyle w:val="3"/>
        <w:spacing w:after="13" w:line="265" w:lineRule="auto"/>
        <w:ind w:right="72"/>
        <w:rPr>
          <w:b/>
          <w:sz w:val="18"/>
          <w:szCs w:val="18"/>
        </w:rPr>
      </w:pPr>
      <w:r>
        <w:rPr>
          <w:b/>
          <w:sz w:val="18"/>
          <w:szCs w:val="18"/>
          <w:rtl w:val="0"/>
        </w:rPr>
        <w:t>Part 1 (Interest rate and fees/charges)</w:t>
      </w:r>
      <w:r>
        <w:rPr>
          <w:sz w:val="18"/>
          <w:szCs w:val="18"/>
          <w:rtl w:val="0"/>
        </w:rPr>
        <w:t xml:space="preserve"> </w:t>
      </w:r>
    </w:p>
    <w:p w14:paraId="00000004">
      <w:pPr>
        <w:spacing w:line="259" w:lineRule="auto"/>
        <w:ind w:right="9"/>
        <w:rPr>
          <w:sz w:val="18"/>
          <w:szCs w:val="18"/>
        </w:rPr>
      </w:pPr>
      <w:r>
        <w:rPr>
          <w:b/>
          <w:sz w:val="18"/>
          <w:szCs w:val="18"/>
          <w:rtl w:val="0"/>
        </w:rPr>
        <w:t xml:space="preserve"> </w:t>
      </w:r>
    </w:p>
    <w:tbl>
      <w:tblPr>
        <w:tblStyle w:val="15"/>
        <w:tblW w:w="10485" w:type="dxa"/>
        <w:jc w:val="center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840"/>
        <w:gridCol w:w="1560"/>
        <w:gridCol w:w="270"/>
        <w:gridCol w:w="390"/>
        <w:gridCol w:w="795"/>
        <w:gridCol w:w="360"/>
        <w:gridCol w:w="525"/>
        <w:gridCol w:w="420"/>
        <w:gridCol w:w="375"/>
        <w:gridCol w:w="506"/>
        <w:gridCol w:w="1009"/>
        <w:gridCol w:w="1035"/>
        <w:gridCol w:w="800"/>
        <w:gridCol w:w="1600"/>
      </w:tblGrid>
      <w:tr w14:paraId="48D35B79">
        <w:trPr>
          <w:trHeight w:val="302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5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1 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6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Unique Proposal Number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9">
            <w:pPr>
              <w:rPr>
                <w:color w:val="9876AA"/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{{kfsUtilityId}}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E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Type of Loan 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3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 </w:t>
            </w:r>
            <w:r>
              <w:rPr>
                <w:sz w:val="18"/>
                <w:szCs w:val="18"/>
                <w:rtl w:val="0"/>
              </w:rPr>
              <w:t xml:space="preserve"> Loan against securities</w:t>
            </w:r>
          </w:p>
        </w:tc>
      </w:tr>
      <w:tr w14:paraId="35D80982">
        <w:trPr>
          <w:trHeight w:val="300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5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2 </w:t>
            </w:r>
          </w:p>
        </w:tc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6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Facility Value Limit</w:t>
            </w:r>
          </w:p>
        </w:tc>
        <w:tc>
          <w:tcPr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E">
            <w:pPr>
              <w:spacing w:after="1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₹{{kfsData.terms.creditLimit.inNumber}}</w:t>
            </w:r>
            <w:r>
              <w:rPr>
                <w:sz w:val="18"/>
                <w:szCs w:val="18"/>
                <w:rtl w:val="0"/>
              </w:rPr>
              <w:br w:type="textWrapping"/>
            </w:r>
            <w:r>
              <w:rPr>
                <w:sz w:val="18"/>
                <w:szCs w:val="18"/>
                <w:rtl w:val="0"/>
              </w:rPr>
              <w:br w:type="textWrapping"/>
            </w:r>
            <w:r>
              <w:rPr>
                <w:sz w:val="18"/>
                <w:szCs w:val="18"/>
                <w:rtl w:val="0"/>
              </w:rPr>
              <w:t>Facility Value Limit is determined on the basis of the Market Value of Collateral provided by the Borrower(s) and/or the Security Provider(s). Facility Value Limit will be increased or decreased based on addition or withdrawal of Collateral by the Borrower(s) and/or the Security Provider(s).</w:t>
            </w:r>
          </w:p>
          <w:p w14:paraId="0000001F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For the avoidance of doubt, the Facility Value Limit cannot be more than INR 2,00,00,000 (Rupees Two Crores) at any point, unless increased/decreased pursuant to the internal policies of the Lender or Applicable Laws.</w:t>
            </w:r>
          </w:p>
        </w:tc>
      </w:tr>
      <w:tr w14:paraId="649E8780">
        <w:trPr>
          <w:trHeight w:val="111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26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3 </w:t>
            </w:r>
          </w:p>
        </w:tc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27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Disbursal schedule  </w:t>
            </w:r>
          </w:p>
          <w:p w14:paraId="00000028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30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Flexible disbursements.</w:t>
            </w:r>
            <w:r>
              <w:rPr>
                <w:sz w:val="18"/>
                <w:szCs w:val="18"/>
                <w:rtl w:val="0"/>
              </w:rPr>
              <w:br w:type="textWrapping"/>
            </w:r>
          </w:p>
          <w:p w14:paraId="00000031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Disbursements will be made based on the customer's drawdown requests.</w:t>
            </w:r>
            <w:r>
              <w:rPr>
                <w:sz w:val="18"/>
                <w:szCs w:val="18"/>
                <w:rtl w:val="0"/>
              </w:rPr>
              <w:br w:type="textWrapping"/>
            </w:r>
          </w:p>
          <w:p w14:paraId="00000032">
            <w:pPr>
              <w:spacing w:line="259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  <w:rtl w:val="0"/>
              </w:rPr>
              <w:t xml:space="preserve">For further clarification, refer to </w:t>
            </w:r>
            <w:r>
              <w:rPr>
                <w:b/>
                <w:i/>
                <w:sz w:val="18"/>
                <w:szCs w:val="18"/>
                <w:rtl w:val="0"/>
              </w:rPr>
              <w:t xml:space="preserve">Clause 2.2 </w:t>
            </w:r>
            <w:r>
              <w:rPr>
                <w:i/>
                <w:sz w:val="18"/>
                <w:szCs w:val="18"/>
                <w:rtl w:val="0"/>
              </w:rPr>
              <w:t>from the general terms &amp; conditions of loan agreement.</w:t>
            </w:r>
          </w:p>
        </w:tc>
      </w:tr>
      <w:tr w14:paraId="2E2E0AEE">
        <w:trPr>
          <w:trHeight w:val="301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3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4 </w:t>
            </w:r>
          </w:p>
        </w:tc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3A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Loan term (year/months/days) </w:t>
            </w:r>
          </w:p>
        </w:tc>
        <w:tc>
          <w:tcPr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42">
            <w:pPr>
              <w:spacing w:after="3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{{kfsData.terms.months}} months {{kfsData.terms.days}} days</w:t>
            </w:r>
            <w:r>
              <w:rPr>
                <w:sz w:val="18"/>
                <w:szCs w:val="18"/>
                <w:rtl w:val="0"/>
              </w:rPr>
              <w:br w:type="textWrapping"/>
            </w:r>
            <w:r>
              <w:rPr>
                <w:sz w:val="18"/>
                <w:szCs w:val="18"/>
                <w:rtl w:val="0"/>
              </w:rPr>
              <w:br w:type="textWrapping"/>
            </w:r>
            <w:r>
              <w:rPr>
                <w:sz w:val="18"/>
                <w:szCs w:val="18"/>
                <w:rtl w:val="0"/>
              </w:rPr>
              <w:t>Loan maturity date: {{kfsData.terms.maturityDate}}</w:t>
            </w:r>
            <w:r>
              <w:rPr>
                <w:sz w:val="18"/>
                <w:szCs w:val="18"/>
                <w:rtl w:val="0"/>
              </w:rPr>
              <w:br w:type="textWrapping"/>
            </w:r>
            <w:r>
              <w:rPr>
                <w:sz w:val="18"/>
                <w:szCs w:val="18"/>
                <w:rtl w:val="0"/>
              </w:rPr>
              <w:br w:type="textWrapping"/>
            </w:r>
            <w:r>
              <w:rPr>
                <w:i/>
                <w:sz w:val="18"/>
                <w:szCs w:val="18"/>
                <w:rtl w:val="0"/>
              </w:rPr>
              <w:t>Can be renewed basis lender’s review</w:t>
            </w:r>
          </w:p>
        </w:tc>
      </w:tr>
      <w:tr w14:paraId="7AFDC24D">
        <w:trPr>
          <w:trHeight w:val="301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4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5 </w:t>
            </w:r>
          </w:p>
        </w:tc>
        <w:tc>
          <w:tcPr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4A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Installment details </w:t>
            </w:r>
          </w:p>
        </w:tc>
      </w:tr>
      <w:tr w14:paraId="324B478B">
        <w:trPr>
          <w:trHeight w:val="247" w:hRule="atLeast"/>
          <w:jc w:val="center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5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Type of installments 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5C">
            <w:pPr>
              <w:spacing w:line="259" w:lineRule="auto"/>
              <w:ind w:right="76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Number of EPIs </w:t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5E">
            <w:pPr>
              <w:spacing w:line="259" w:lineRule="auto"/>
              <w:ind w:right="75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EPI (₹) </w:t>
            </w:r>
          </w:p>
          <w:p w14:paraId="0000005F">
            <w:pPr>
              <w:spacing w:line="259" w:lineRule="auto"/>
              <w:ind w:right="77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65">
            <w:pPr>
              <w:spacing w:line="259" w:lineRule="auto"/>
              <w:ind w:right="77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Commencement of repayment, post sanction</w:t>
            </w:r>
          </w:p>
        </w:tc>
      </w:tr>
      <w:tr w14:paraId="60B00E8C">
        <w:trPr>
          <w:trHeight w:val="301" w:hRule="atLeast"/>
          <w:jc w:val="center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6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Monthly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{{totalInstallments}}</w:t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6F">
            <w:pPr>
              <w:spacing w:line="259" w:lineRule="auto"/>
              <w:ind w:right="13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  <w:rtl w:val="0"/>
              </w:rPr>
              <w:t>As per repayment schedule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75">
            <w:pPr>
              <w:spacing w:line="259" w:lineRule="auto"/>
              <w:ind w:right="13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1st of the month immediately following the date of 1st disbursement</w:t>
            </w:r>
          </w:p>
        </w:tc>
      </w:tr>
      <w:tr w14:paraId="36F50F18">
        <w:trPr>
          <w:trHeight w:val="301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7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6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7B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Interest rate (%)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{{kfsData.interestDetails.interestRate}}% p.a.</w:t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80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Interest Type 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87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Floating</w:t>
            </w:r>
          </w:p>
        </w:tc>
      </w:tr>
      <w:tr w14:paraId="213F1A8E">
        <w:trPr>
          <w:trHeight w:val="389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8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7 </w:t>
            </w:r>
          </w:p>
        </w:tc>
        <w:tc>
          <w:tcPr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8B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Additional Information in case of Floating rate of interest </w:t>
            </w:r>
          </w:p>
        </w:tc>
      </w:tr>
      <w:tr w14:paraId="0884F704">
        <w:trPr>
          <w:trHeight w:val="631" w:hRule="atLeast"/>
          <w:jc w:val="center"/>
        </w:trPr>
        <w:tc>
          <w:tcPr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9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Reference Benchmark  </w:t>
            </w:r>
          </w:p>
        </w:tc>
        <w:tc>
          <w:tcPr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9D">
            <w:pPr>
              <w:spacing w:line="259" w:lineRule="auto"/>
              <w:ind w:left="18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Benchmark rate (%) (B) </w:t>
            </w:r>
          </w:p>
        </w:tc>
        <w:tc>
          <w:tcPr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9F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Spread (%) (S) </w:t>
            </w:r>
          </w:p>
        </w:tc>
        <w:tc>
          <w:tcPr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A2">
            <w:pPr>
              <w:spacing w:line="259" w:lineRule="auto"/>
              <w:ind w:left="12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Final rate (%) R = (B) + (S) 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A7">
            <w:pPr>
              <w:spacing w:line="259" w:lineRule="auto"/>
              <w:ind w:right="76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Reset periodicity (Months) </w:t>
            </w:r>
          </w:p>
        </w:tc>
      </w:tr>
      <w:tr w14:paraId="6438E913">
        <w:trPr>
          <w:trHeight w:val="320" w:hRule="atLeast"/>
          <w:jc w:val="center"/>
        </w:trPr>
        <w:tc>
          <w:tcPr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A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</w:p>
        </w:tc>
        <w:tc>
          <w:tcPr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A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</w:p>
        </w:tc>
        <w:tc>
          <w:tcPr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A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</w:p>
        </w:tc>
        <w:tc>
          <w:tcPr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7">
            <w:pPr>
              <w:spacing w:line="259" w:lineRule="auto"/>
              <w:ind w:right="73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B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spacing w:line="259" w:lineRule="auto"/>
              <w:ind w:right="73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</w:t>
            </w:r>
          </w:p>
        </w:tc>
      </w:tr>
      <w:tr w14:paraId="6032A3BB">
        <w:trPr>
          <w:trHeight w:val="390" w:hRule="atLeast"/>
          <w:jc w:val="center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{{kfsData.interestDetails.referenceBenchmark}}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{{kfsData.interestDetails.benchmarkRate}}%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{{kfsData.interestDetails.spread}}%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{{kfsData.interestDetails.interestRate}}% p.a.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7">
            <w:pPr>
              <w:spacing w:line="259" w:lineRule="auto"/>
              <w:ind w:right="15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At such intervals as may be decided by DSP Finance Pvt Ltd</w:t>
            </w:r>
          </w:p>
          <w:p w14:paraId="000000C8">
            <w:pPr>
              <w:spacing w:line="259" w:lineRule="auto"/>
              <w:ind w:right="15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</w:tr>
      <w:tr w14:paraId="51FFD0E9">
        <w:trPr>
          <w:trHeight w:val="389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8 </w:t>
            </w:r>
          </w:p>
        </w:tc>
        <w:tc>
          <w:tcPr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Fee/ Charges</w:t>
            </w:r>
          </w:p>
        </w:tc>
      </w:tr>
      <w:tr w14:paraId="22978D00">
        <w:trPr>
          <w:trHeight w:val="320" w:hRule="atLeast"/>
          <w:jc w:val="center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D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DE">
            <w:pPr>
              <w:spacing w:line="259" w:lineRule="auto"/>
              <w:ind w:right="77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Payable to DSP Fin (A) </w:t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E5">
            <w:pPr>
              <w:spacing w:line="259" w:lineRule="auto"/>
              <w:ind w:right="77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Payable to a third party through DSP Fin (B) </w:t>
            </w:r>
          </w:p>
        </w:tc>
      </w:tr>
    </w:tbl>
    <w:p w14:paraId="730ADF23">
      <w:pPr>
        <w:keepNext w:val="0"/>
        <w:keepLines w:val="0"/>
        <w:widowControl/>
        <w:suppressLineNumbers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      </w:t>
      </w:r>
    </w:p>
    <w:p w14:paraId="2A2F63E7">
      <w:pPr>
        <w:keepNext w:val="0"/>
        <w:keepLines w:val="0"/>
        <w:widowControl/>
        <w:suppressLineNumbers w:val="0"/>
        <w:rPr>
          <w:rFonts w:hint="default"/>
          <w:sz w:val="18"/>
          <w:szCs w:val="1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2122"/>
        <w:gridCol w:w="2130"/>
        <w:gridCol w:w="1968"/>
        <w:gridCol w:w="1605"/>
      </w:tblGrid>
      <w:tr w14:paraId="71443294">
        <w:trPr>
          <w:trHeight w:val="389" w:hRule="atLeast"/>
        </w:trPr>
        <w:tc>
          <w:tcPr>
            <w:tcW w:w="6003" w:type="dxa"/>
            <w:gridSpan w:val="3"/>
          </w:tcPr>
          <w:p w14:paraId="2B6B38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Credit Limit</w:t>
            </w:r>
          </w:p>
        </w:tc>
        <w:tc>
          <w:tcPr>
            <w:tcW w:w="3573" w:type="dxa"/>
            <w:gridSpan w:val="2"/>
          </w:tcPr>
          <w:p w14:paraId="05F057B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</w:rPr>
              <w:t>₹{{kfsData.terms.creditLimit.inNumber}}</w:t>
            </w:r>
          </w:p>
        </w:tc>
      </w:tr>
      <w:tr w14:paraId="1082C09A">
        <w:trPr>
          <w:trHeight w:val="389" w:hRule="atLeast"/>
        </w:trPr>
        <w:tc>
          <w:tcPr>
            <w:tcW w:w="6003" w:type="dxa"/>
            <w:gridSpan w:val="3"/>
          </w:tcPr>
          <w:p w14:paraId="7F8896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CreditLimit Words</w:t>
            </w:r>
          </w:p>
        </w:tc>
        <w:tc>
          <w:tcPr>
            <w:tcW w:w="3573" w:type="dxa"/>
            <w:gridSpan w:val="2"/>
          </w:tcPr>
          <w:p w14:paraId="477601F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</w:rPr>
              <w:t>{{kfsData.terms.creditLimit.inWords}}</w:t>
            </w:r>
          </w:p>
        </w:tc>
      </w:tr>
      <w:tr w14:paraId="4B8BBBA4">
        <w:trPr>
          <w:trHeight w:val="389" w:hRule="atLeast"/>
        </w:trPr>
        <w:tc>
          <w:tcPr>
            <w:tcW w:w="6003" w:type="dxa"/>
            <w:gridSpan w:val="3"/>
          </w:tcPr>
          <w:p w14:paraId="263DEF4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Term Loan Amount</w:t>
            </w:r>
          </w:p>
        </w:tc>
        <w:tc>
          <w:tcPr>
            <w:tcW w:w="3573" w:type="dxa"/>
            <w:gridSpan w:val="2"/>
          </w:tcPr>
          <w:p w14:paraId="6777ED3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</w:rPr>
              <w:t>₹{{kfsData.termLoanDetails.amount}}</w:t>
            </w:r>
          </w:p>
        </w:tc>
      </w:tr>
      <w:tr w14:paraId="363C5A3D">
        <w:trPr>
          <w:trHeight w:val="389" w:hRule="atLeast"/>
        </w:trPr>
        <w:tc>
          <w:tcPr>
            <w:tcW w:w="6003" w:type="dxa"/>
            <w:gridSpan w:val="3"/>
          </w:tcPr>
          <w:p w14:paraId="6CFAC1A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 xml:space="preserve">Term </w:t>
            </w: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</w:rPr>
              <w:t>Loan Tenure (Months)</w:t>
            </w:r>
          </w:p>
        </w:tc>
        <w:tc>
          <w:tcPr>
            <w:tcW w:w="3573" w:type="dxa"/>
            <w:gridSpan w:val="2"/>
          </w:tcPr>
          <w:p w14:paraId="195B734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</w:rPr>
              <w:t>{{kfsData.termLoanDetails.tenure}}</w:t>
            </w:r>
          </w:p>
        </w:tc>
      </w:tr>
      <w:tr w14:paraId="2EDE5471">
        <w:trPr>
          <w:trHeight w:val="389" w:hRule="atLeast"/>
        </w:trPr>
        <w:tc>
          <w:tcPr>
            <w:tcW w:w="6003" w:type="dxa"/>
            <w:gridSpan w:val="3"/>
          </w:tcPr>
          <w:p w14:paraId="383CE9E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Term Loan EMI Amount</w:t>
            </w:r>
          </w:p>
        </w:tc>
        <w:tc>
          <w:tcPr>
            <w:tcW w:w="3573" w:type="dxa"/>
            <w:gridSpan w:val="2"/>
          </w:tcPr>
          <w:p w14:paraId="6DB48BD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</w:rPr>
              <w:t>₹{{kfsData.termLoanDetails.emiAmount}}</w:t>
            </w:r>
          </w:p>
        </w:tc>
      </w:tr>
      <w:tr w14:paraId="41B3F06D">
        <w:trPr>
          <w:trHeight w:val="389" w:hRule="atLeast"/>
        </w:trPr>
        <w:tc>
          <w:tcPr>
            <w:tcW w:w="6003" w:type="dxa"/>
            <w:gridSpan w:val="3"/>
          </w:tcPr>
          <w:p w14:paraId="0CD1D24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Term Loan Interest Rate %</w:t>
            </w:r>
          </w:p>
        </w:tc>
        <w:tc>
          <w:tcPr>
            <w:tcW w:w="3573" w:type="dxa"/>
            <w:gridSpan w:val="2"/>
          </w:tcPr>
          <w:p w14:paraId="1448868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</w:rPr>
              <w:t>{{kfsData.termLoanDetails.interestRate}}</w:t>
            </w:r>
          </w:p>
        </w:tc>
      </w:tr>
      <w:tr w14:paraId="499B1141">
        <w:trPr>
          <w:trHeight w:val="389" w:hRule="atLeast"/>
        </w:trPr>
        <w:tc>
          <w:tcPr>
            <w:tcW w:w="6003" w:type="dxa"/>
            <w:gridSpan w:val="3"/>
          </w:tcPr>
          <w:p w14:paraId="53DE47A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Repayment Schedule</w:t>
            </w:r>
          </w:p>
        </w:tc>
        <w:tc>
          <w:tcPr>
            <w:tcW w:w="3573" w:type="dxa"/>
            <w:gridSpan w:val="2"/>
          </w:tcPr>
          <w:p w14:paraId="35F9FB3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 Regular" w:hAnsi="Arial Regular" w:cs="Arial Regular"/>
                <w:sz w:val="18"/>
                <w:szCs w:val="18"/>
                <w:vertAlign w:val="baseline"/>
              </w:rPr>
            </w:pPr>
          </w:p>
        </w:tc>
      </w:tr>
      <w:tr w14:paraId="7F0AB4FE">
        <w:tblPrEx>
          <w:tblCellMar>
            <w:left w:w="108" w:type="dxa"/>
            <w:right w:w="108" w:type="dxa"/>
          </w:tblCellMar>
        </w:tblPrEx>
        <w:tc>
          <w:tcPr>
            <w:tcW w:w="9576" w:type="dxa"/>
            <w:gridSpan w:val="5"/>
          </w:tcPr>
          <w:p w14:paraId="1F0A6E9B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cs="Arial Regular"/>
              </w:rPr>
            </w:pPr>
          </w:p>
        </w:tc>
      </w:tr>
      <w:tr w14:paraId="665F6875">
        <w:tc>
          <w:tcPr>
            <w:tcW w:w="1751" w:type="dxa"/>
          </w:tcPr>
          <w:p w14:paraId="22E8B25B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Month</w:t>
            </w:r>
          </w:p>
        </w:tc>
        <w:tc>
          <w:tcPr>
            <w:tcW w:w="2122" w:type="dxa"/>
          </w:tcPr>
          <w:p w14:paraId="1E3D0E72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EmiAmount</w:t>
            </w:r>
          </w:p>
        </w:tc>
        <w:tc>
          <w:tcPr>
            <w:tcW w:w="2130" w:type="dxa"/>
          </w:tcPr>
          <w:p w14:paraId="0AF956B6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InterestAmount</w:t>
            </w:r>
          </w:p>
        </w:tc>
        <w:tc>
          <w:tcPr>
            <w:tcW w:w="1968" w:type="dxa"/>
          </w:tcPr>
          <w:p w14:paraId="1509B901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PrincipleAmount</w:t>
            </w:r>
          </w:p>
        </w:tc>
        <w:tc>
          <w:tcPr>
            <w:tcW w:w="1605" w:type="dxa"/>
          </w:tcPr>
          <w:p w14:paraId="59773E0E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OutstandingPrinciple</w:t>
            </w:r>
          </w:p>
        </w:tc>
      </w:tr>
      <w:tr w14:paraId="1F29FFAD">
        <w:tc>
          <w:tcPr>
            <w:tcW w:w="1751" w:type="dxa"/>
          </w:tcPr>
          <w:p w14:paraId="4607802D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{{</w:t>
            </w:r>
            <w:r>
              <w:rPr>
                <w:rFonts w:hint="default" w:ascii="Arial Regular" w:hAnsi="Arial Regular" w:cs="Arial Regular"/>
              </w:rPr>
              <w:t>kfsData.termLoanDetails.repaymentSchedule</w:t>
            </w:r>
            <w:r>
              <w:rPr>
                <w:rFonts w:hint="default" w:ascii="Arial Regular" w:hAnsi="Arial Regular" w:cs="Arial Regular"/>
                <w:lang w:val="en-US"/>
              </w:rPr>
              <w:t>[0].month}}</w:t>
            </w:r>
          </w:p>
        </w:tc>
        <w:tc>
          <w:tcPr>
            <w:tcW w:w="2122" w:type="dxa"/>
          </w:tcPr>
          <w:p w14:paraId="47A6A1D3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{{</w:t>
            </w:r>
            <w:r>
              <w:rPr>
                <w:rFonts w:hint="default" w:ascii="Arial Regular" w:hAnsi="Arial Regular" w:cs="Arial Regular"/>
              </w:rPr>
              <w:t>kfsData.termLoanDetails.repayme</w:t>
            </w:r>
            <w:bookmarkStart w:id="0" w:name="_GoBack"/>
            <w:bookmarkEnd w:id="0"/>
            <w:r>
              <w:rPr>
                <w:rFonts w:hint="default" w:ascii="Arial Regular" w:hAnsi="Arial Regular" w:cs="Arial Regular"/>
              </w:rPr>
              <w:t>ntSchedule</w:t>
            </w:r>
            <w:r>
              <w:rPr>
                <w:rFonts w:hint="default" w:ascii="Arial Regular" w:hAnsi="Arial Regular" w:cs="Arial Regular"/>
                <w:lang w:val="en-US"/>
              </w:rPr>
              <w:t>[0].emiAmount}}</w:t>
            </w:r>
          </w:p>
        </w:tc>
        <w:tc>
          <w:tcPr>
            <w:tcW w:w="2130" w:type="dxa"/>
          </w:tcPr>
          <w:p w14:paraId="7676D57B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{{</w:t>
            </w:r>
            <w:r>
              <w:rPr>
                <w:rFonts w:hint="default" w:ascii="Arial Regular" w:hAnsi="Arial Regular" w:cs="Arial Regular"/>
              </w:rPr>
              <w:t>kfsData.termLoanDetails.repaymentSchedule</w:t>
            </w:r>
            <w:r>
              <w:rPr>
                <w:rFonts w:hint="default" w:ascii="Arial Regular" w:hAnsi="Arial Regular" w:cs="Arial Regular"/>
                <w:lang w:val="en-US"/>
              </w:rPr>
              <w:t>[0].InterestAmount}}</w:t>
            </w:r>
          </w:p>
        </w:tc>
        <w:tc>
          <w:tcPr>
            <w:tcW w:w="1968" w:type="dxa"/>
          </w:tcPr>
          <w:p w14:paraId="1C8CFA3D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{{</w:t>
            </w:r>
            <w:r>
              <w:rPr>
                <w:rFonts w:hint="default" w:ascii="Arial Regular" w:hAnsi="Arial Regular" w:cs="Arial Regular"/>
              </w:rPr>
              <w:t>kfsData.termLoanDetails.repaymentSchedule</w:t>
            </w:r>
            <w:r>
              <w:rPr>
                <w:rFonts w:hint="default" w:ascii="Arial Regular" w:hAnsi="Arial Regular" w:cs="Arial Regular"/>
                <w:lang w:val="en-US"/>
              </w:rPr>
              <w:t>[0].principalAmount}}</w:t>
            </w:r>
          </w:p>
        </w:tc>
        <w:tc>
          <w:tcPr>
            <w:tcW w:w="1605" w:type="dxa"/>
          </w:tcPr>
          <w:p w14:paraId="592AF919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{{</w:t>
            </w:r>
            <w:r>
              <w:rPr>
                <w:rFonts w:hint="default" w:ascii="Arial Regular" w:hAnsi="Arial Regular" w:cs="Arial Regular"/>
              </w:rPr>
              <w:t>kfsData.termLoanDetails.repaymentSchedule</w:t>
            </w:r>
            <w:r>
              <w:rPr>
                <w:rFonts w:hint="default" w:ascii="Arial Regular" w:hAnsi="Arial Regular" w:cs="Arial Regular"/>
                <w:lang w:val="en-US"/>
              </w:rPr>
              <w:t>[0].outstandingPrice}}</w:t>
            </w:r>
          </w:p>
        </w:tc>
      </w:tr>
      <w:tr w14:paraId="0C1AC980">
        <w:tc>
          <w:tcPr>
            <w:tcW w:w="1751" w:type="dxa"/>
            <w:shd w:val="clear"/>
            <w:vAlign w:val="top"/>
          </w:tcPr>
          <w:p w14:paraId="68FC1EE8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{{</w:t>
            </w:r>
            <w:r>
              <w:rPr>
                <w:rFonts w:hint="default" w:ascii="Arial Regular" w:hAnsi="Arial Regular" w:cs="Arial Regular"/>
              </w:rPr>
              <w:t>kfsData.termLoanDetails.repaymentSchedule</w:t>
            </w:r>
            <w:r>
              <w:rPr>
                <w:rFonts w:hint="default" w:ascii="Arial Regular" w:hAnsi="Arial Regular" w:cs="Arial Regular"/>
                <w:lang w:val="en-US"/>
              </w:rPr>
              <w:t>[1].month}}</w:t>
            </w:r>
          </w:p>
        </w:tc>
        <w:tc>
          <w:tcPr>
            <w:tcW w:w="2122" w:type="dxa"/>
            <w:shd w:val="clear"/>
            <w:vAlign w:val="top"/>
          </w:tcPr>
          <w:p w14:paraId="14377D0A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{{</w:t>
            </w:r>
            <w:r>
              <w:rPr>
                <w:rFonts w:hint="default" w:ascii="Arial Regular" w:hAnsi="Arial Regular" w:cs="Arial Regular"/>
              </w:rPr>
              <w:t>kfsData.termLoanDetails.repaymentSchedule</w:t>
            </w:r>
            <w:r>
              <w:rPr>
                <w:rFonts w:hint="default" w:ascii="Arial Regular" w:hAnsi="Arial Regular" w:cs="Arial Regular"/>
                <w:lang w:val="en-US"/>
              </w:rPr>
              <w:t>[1].emiAmount}}</w:t>
            </w:r>
          </w:p>
        </w:tc>
        <w:tc>
          <w:tcPr>
            <w:tcW w:w="2130" w:type="dxa"/>
            <w:shd w:val="clear"/>
            <w:vAlign w:val="top"/>
          </w:tcPr>
          <w:p w14:paraId="2C8A78C8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{{</w:t>
            </w:r>
            <w:r>
              <w:rPr>
                <w:rFonts w:hint="default" w:ascii="Arial Regular" w:hAnsi="Arial Regular" w:cs="Arial Regular"/>
              </w:rPr>
              <w:t>kfsData.termLoanDetails.repaymentSchedule</w:t>
            </w:r>
            <w:r>
              <w:rPr>
                <w:rFonts w:hint="default" w:ascii="Arial Regular" w:hAnsi="Arial Regular" w:cs="Arial Regular"/>
                <w:lang w:val="en-US"/>
              </w:rPr>
              <w:t>[1].InterestAmount}}</w:t>
            </w:r>
          </w:p>
        </w:tc>
        <w:tc>
          <w:tcPr>
            <w:tcW w:w="1968" w:type="dxa"/>
            <w:shd w:val="clear"/>
            <w:vAlign w:val="top"/>
          </w:tcPr>
          <w:p w14:paraId="5081800C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{{</w:t>
            </w:r>
            <w:r>
              <w:rPr>
                <w:rFonts w:hint="default" w:ascii="Arial Regular" w:hAnsi="Arial Regular" w:cs="Arial Regular"/>
              </w:rPr>
              <w:t>kfsData.termLoanDetails.repaymentSchedule</w:t>
            </w:r>
            <w:r>
              <w:rPr>
                <w:rFonts w:hint="default" w:ascii="Arial Regular" w:hAnsi="Arial Regular" w:cs="Arial Regular"/>
                <w:lang w:val="en-US"/>
              </w:rPr>
              <w:t>[1].principalAmount}}</w:t>
            </w:r>
          </w:p>
        </w:tc>
        <w:tc>
          <w:tcPr>
            <w:tcW w:w="1605" w:type="dxa"/>
            <w:shd w:val="clear"/>
            <w:vAlign w:val="top"/>
          </w:tcPr>
          <w:p w14:paraId="149E4FF3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{{</w:t>
            </w:r>
            <w:r>
              <w:rPr>
                <w:rFonts w:hint="default" w:ascii="Arial Regular" w:hAnsi="Arial Regular" w:cs="Arial Regular"/>
              </w:rPr>
              <w:t>kfsData.termLoanDetails.repaymentSchedule</w:t>
            </w:r>
            <w:r>
              <w:rPr>
                <w:rFonts w:hint="default" w:ascii="Arial Regular" w:hAnsi="Arial Regular" w:cs="Arial Regular"/>
                <w:lang w:val="en-US"/>
              </w:rPr>
              <w:t>[1].outstandingPrice}}</w:t>
            </w:r>
          </w:p>
        </w:tc>
      </w:tr>
      <w:tr w14:paraId="2A3CCBBD">
        <w:tc>
          <w:tcPr>
            <w:tcW w:w="1751" w:type="dxa"/>
            <w:shd w:val="clear"/>
            <w:vAlign w:val="top"/>
          </w:tcPr>
          <w:p w14:paraId="4B43D377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{{</w:t>
            </w:r>
            <w:r>
              <w:rPr>
                <w:rFonts w:hint="default" w:ascii="Arial Regular" w:hAnsi="Arial Regular" w:cs="Arial Regular"/>
              </w:rPr>
              <w:t>kfsData.termLoanDetails.repaymentSchedule</w:t>
            </w:r>
            <w:r>
              <w:rPr>
                <w:rFonts w:hint="default" w:ascii="Arial Regular" w:hAnsi="Arial Regular" w:cs="Arial Regular"/>
                <w:lang w:val="en-US"/>
              </w:rPr>
              <w:t>[2].month}}</w:t>
            </w:r>
          </w:p>
        </w:tc>
        <w:tc>
          <w:tcPr>
            <w:tcW w:w="2122" w:type="dxa"/>
            <w:shd w:val="clear"/>
            <w:vAlign w:val="top"/>
          </w:tcPr>
          <w:p w14:paraId="63AC4935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{{</w:t>
            </w:r>
            <w:r>
              <w:rPr>
                <w:rFonts w:hint="default" w:ascii="Arial Regular" w:hAnsi="Arial Regular" w:cs="Arial Regular"/>
              </w:rPr>
              <w:t>kfsData.termLoanDetails.repaymentSchedule</w:t>
            </w:r>
            <w:r>
              <w:rPr>
                <w:rFonts w:hint="default" w:ascii="Arial Regular" w:hAnsi="Arial Regular" w:cs="Arial Regular"/>
                <w:lang w:val="en-US"/>
              </w:rPr>
              <w:t>[2].emiAmount}}</w:t>
            </w:r>
          </w:p>
        </w:tc>
        <w:tc>
          <w:tcPr>
            <w:tcW w:w="2130" w:type="dxa"/>
            <w:shd w:val="clear"/>
            <w:vAlign w:val="top"/>
          </w:tcPr>
          <w:p w14:paraId="02711C35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{{</w:t>
            </w:r>
            <w:r>
              <w:rPr>
                <w:rFonts w:hint="default" w:ascii="Arial Regular" w:hAnsi="Arial Regular" w:cs="Arial Regular"/>
              </w:rPr>
              <w:t>kfsData.termLoanDetails.repaymentSchedule</w:t>
            </w:r>
            <w:r>
              <w:rPr>
                <w:rFonts w:hint="default" w:ascii="Arial Regular" w:hAnsi="Arial Regular" w:cs="Arial Regular"/>
                <w:lang w:val="en-US"/>
              </w:rPr>
              <w:t>[2].InterestAmount}}</w:t>
            </w:r>
          </w:p>
        </w:tc>
        <w:tc>
          <w:tcPr>
            <w:tcW w:w="1968" w:type="dxa"/>
            <w:shd w:val="clear"/>
            <w:vAlign w:val="top"/>
          </w:tcPr>
          <w:p w14:paraId="4E9B99E5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{{</w:t>
            </w:r>
            <w:r>
              <w:rPr>
                <w:rFonts w:hint="default" w:ascii="Arial Regular" w:hAnsi="Arial Regular" w:cs="Arial Regular"/>
              </w:rPr>
              <w:t>kfsData.termLoanDetails.repaymentSchedule</w:t>
            </w:r>
            <w:r>
              <w:rPr>
                <w:rFonts w:hint="default" w:ascii="Arial Regular" w:hAnsi="Arial Regular" w:cs="Arial Regular"/>
                <w:lang w:val="en-US"/>
              </w:rPr>
              <w:t>[2].principalAmount}}</w:t>
            </w:r>
          </w:p>
        </w:tc>
        <w:tc>
          <w:tcPr>
            <w:tcW w:w="1605" w:type="dxa"/>
            <w:shd w:val="clear"/>
            <w:vAlign w:val="top"/>
          </w:tcPr>
          <w:p w14:paraId="11690789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{{</w:t>
            </w:r>
            <w:r>
              <w:rPr>
                <w:rFonts w:hint="default" w:ascii="Arial Regular" w:hAnsi="Arial Regular" w:cs="Arial Regular"/>
              </w:rPr>
              <w:t>kfsData.termLoanDetails.repaymentSchedule</w:t>
            </w:r>
            <w:r>
              <w:rPr>
                <w:rFonts w:hint="default" w:ascii="Arial Regular" w:hAnsi="Arial Regular" w:cs="Arial Regular"/>
                <w:lang w:val="en-US"/>
              </w:rPr>
              <w:t>[2].outstandingPrice}}</w:t>
            </w:r>
          </w:p>
        </w:tc>
      </w:tr>
      <w:tr w14:paraId="59F4A50B">
        <w:tc>
          <w:tcPr>
            <w:tcW w:w="1751" w:type="dxa"/>
            <w:shd w:val="clear"/>
            <w:vAlign w:val="top"/>
          </w:tcPr>
          <w:p w14:paraId="72FEBD22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{{</w:t>
            </w:r>
            <w:r>
              <w:rPr>
                <w:rFonts w:hint="default" w:ascii="Arial Regular" w:hAnsi="Arial Regular" w:cs="Arial Regular"/>
              </w:rPr>
              <w:t>kfsData.termLoanDetails.repaymentSchedule</w:t>
            </w:r>
            <w:r>
              <w:rPr>
                <w:rFonts w:hint="default" w:ascii="Arial Regular" w:hAnsi="Arial Regular" w:cs="Arial Regular"/>
                <w:lang w:val="en-US"/>
              </w:rPr>
              <w:t>[3].month}}</w:t>
            </w:r>
          </w:p>
        </w:tc>
        <w:tc>
          <w:tcPr>
            <w:tcW w:w="2122" w:type="dxa"/>
            <w:shd w:val="clear"/>
            <w:vAlign w:val="top"/>
          </w:tcPr>
          <w:p w14:paraId="0F04C0BD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{{</w:t>
            </w:r>
            <w:r>
              <w:rPr>
                <w:rFonts w:hint="default" w:ascii="Arial Regular" w:hAnsi="Arial Regular" w:cs="Arial Regular"/>
              </w:rPr>
              <w:t>kfsData.termLoanDetails.repaymentSchedule</w:t>
            </w:r>
            <w:r>
              <w:rPr>
                <w:rFonts w:hint="default" w:ascii="Arial Regular" w:hAnsi="Arial Regular" w:cs="Arial Regular"/>
                <w:lang w:val="en-US"/>
              </w:rPr>
              <w:t>[3].emiAmount}}</w:t>
            </w:r>
          </w:p>
        </w:tc>
        <w:tc>
          <w:tcPr>
            <w:tcW w:w="2130" w:type="dxa"/>
            <w:shd w:val="clear"/>
            <w:vAlign w:val="top"/>
          </w:tcPr>
          <w:p w14:paraId="03CDAD87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{{</w:t>
            </w:r>
            <w:r>
              <w:rPr>
                <w:rFonts w:hint="default" w:ascii="Arial Regular" w:hAnsi="Arial Regular" w:cs="Arial Regular"/>
              </w:rPr>
              <w:t>kfsData.termLoanDetails.repaymentSchedule</w:t>
            </w:r>
            <w:r>
              <w:rPr>
                <w:rFonts w:hint="default" w:ascii="Arial Regular" w:hAnsi="Arial Regular" w:cs="Arial Regular"/>
                <w:lang w:val="en-US"/>
              </w:rPr>
              <w:t>[3].InterestAmount}}</w:t>
            </w:r>
          </w:p>
        </w:tc>
        <w:tc>
          <w:tcPr>
            <w:tcW w:w="1968" w:type="dxa"/>
            <w:shd w:val="clear"/>
            <w:vAlign w:val="top"/>
          </w:tcPr>
          <w:p w14:paraId="30BE5A17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{{</w:t>
            </w:r>
            <w:r>
              <w:rPr>
                <w:rFonts w:hint="default" w:ascii="Arial Regular" w:hAnsi="Arial Regular" w:cs="Arial Regular"/>
              </w:rPr>
              <w:t>kfsData.termLoanDetails.repaymentSchedule</w:t>
            </w:r>
            <w:r>
              <w:rPr>
                <w:rFonts w:hint="default" w:ascii="Arial Regular" w:hAnsi="Arial Regular" w:cs="Arial Regular"/>
                <w:lang w:val="en-US"/>
              </w:rPr>
              <w:t>[3].principalAmount}}</w:t>
            </w:r>
          </w:p>
        </w:tc>
        <w:tc>
          <w:tcPr>
            <w:tcW w:w="1605" w:type="dxa"/>
            <w:shd w:val="clear"/>
            <w:vAlign w:val="top"/>
          </w:tcPr>
          <w:p w14:paraId="5018213C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{{</w:t>
            </w:r>
            <w:r>
              <w:rPr>
                <w:rFonts w:hint="default" w:ascii="Arial Regular" w:hAnsi="Arial Regular" w:cs="Arial Regular"/>
              </w:rPr>
              <w:t>kfsData.termLoanDetails.repaymentSchedule</w:t>
            </w:r>
            <w:r>
              <w:rPr>
                <w:rFonts w:hint="default" w:ascii="Arial Regular" w:hAnsi="Arial Regular" w:cs="Arial Regular"/>
                <w:lang w:val="en-US"/>
              </w:rPr>
              <w:t>[3].outstandingPrice}}</w:t>
            </w:r>
          </w:p>
        </w:tc>
      </w:tr>
      <w:tr w14:paraId="6236700A">
        <w:tc>
          <w:tcPr>
            <w:tcW w:w="1751" w:type="dxa"/>
            <w:shd w:val="clear"/>
            <w:vAlign w:val="top"/>
          </w:tcPr>
          <w:p w14:paraId="1734845F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{{</w:t>
            </w:r>
            <w:r>
              <w:rPr>
                <w:rFonts w:hint="default" w:ascii="Arial Regular" w:hAnsi="Arial Regular" w:cs="Arial Regular"/>
              </w:rPr>
              <w:t>kfsData.termLoanDetails.repaymentSchedule</w:t>
            </w:r>
            <w:r>
              <w:rPr>
                <w:rFonts w:hint="default" w:ascii="Arial Regular" w:hAnsi="Arial Regular" w:cs="Arial Regular"/>
                <w:lang w:val="en-US"/>
              </w:rPr>
              <w:t>[4].month}}</w:t>
            </w:r>
          </w:p>
        </w:tc>
        <w:tc>
          <w:tcPr>
            <w:tcW w:w="2122" w:type="dxa"/>
            <w:shd w:val="clear"/>
            <w:vAlign w:val="top"/>
          </w:tcPr>
          <w:p w14:paraId="287A730E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{{</w:t>
            </w:r>
            <w:r>
              <w:rPr>
                <w:rFonts w:hint="default" w:ascii="Arial Regular" w:hAnsi="Arial Regular" w:cs="Arial Regular"/>
              </w:rPr>
              <w:t>kfsData.termLoanDetails.repaymentSchedule</w:t>
            </w:r>
            <w:r>
              <w:rPr>
                <w:rFonts w:hint="default" w:ascii="Arial Regular" w:hAnsi="Arial Regular" w:cs="Arial Regular"/>
                <w:lang w:val="en-US"/>
              </w:rPr>
              <w:t>[4].emiAmount}}</w:t>
            </w:r>
          </w:p>
        </w:tc>
        <w:tc>
          <w:tcPr>
            <w:tcW w:w="2130" w:type="dxa"/>
            <w:shd w:val="clear"/>
            <w:vAlign w:val="top"/>
          </w:tcPr>
          <w:p w14:paraId="1A7B8CE9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{{</w:t>
            </w:r>
            <w:r>
              <w:rPr>
                <w:rFonts w:hint="default" w:ascii="Arial Regular" w:hAnsi="Arial Regular" w:cs="Arial Regular"/>
              </w:rPr>
              <w:t>kfsData.termLoanDetails.repaymentSchedule</w:t>
            </w:r>
            <w:r>
              <w:rPr>
                <w:rFonts w:hint="default" w:ascii="Arial Regular" w:hAnsi="Arial Regular" w:cs="Arial Regular"/>
                <w:lang w:val="en-US"/>
              </w:rPr>
              <w:t>[4].InterestAmount}}</w:t>
            </w:r>
          </w:p>
        </w:tc>
        <w:tc>
          <w:tcPr>
            <w:tcW w:w="1968" w:type="dxa"/>
            <w:shd w:val="clear"/>
            <w:vAlign w:val="top"/>
          </w:tcPr>
          <w:p w14:paraId="227CB20D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{{</w:t>
            </w:r>
            <w:r>
              <w:rPr>
                <w:rFonts w:hint="default" w:ascii="Arial Regular" w:hAnsi="Arial Regular" w:cs="Arial Regular"/>
              </w:rPr>
              <w:t>kfsData.termLoanDetails.repaymentSchedule</w:t>
            </w:r>
            <w:r>
              <w:rPr>
                <w:rFonts w:hint="default" w:ascii="Arial Regular" w:hAnsi="Arial Regular" w:cs="Arial Regular"/>
                <w:lang w:val="en-US"/>
              </w:rPr>
              <w:t>[4].principalAmount}}</w:t>
            </w:r>
          </w:p>
        </w:tc>
        <w:tc>
          <w:tcPr>
            <w:tcW w:w="1605" w:type="dxa"/>
            <w:shd w:val="clear"/>
            <w:vAlign w:val="top"/>
          </w:tcPr>
          <w:p w14:paraId="50E44C7D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eastAsia="Arial" w:cs="Arial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  <w:t>{{</w:t>
            </w:r>
            <w:r>
              <w:rPr>
                <w:rFonts w:hint="default" w:ascii="Arial Regular" w:hAnsi="Arial Regular" w:cs="Arial Regular"/>
              </w:rPr>
              <w:t>kfsData.termLoanDetails.repaymentSchedule</w:t>
            </w:r>
            <w:r>
              <w:rPr>
                <w:rFonts w:hint="default" w:ascii="Arial Regular" w:hAnsi="Arial Regular" w:cs="Arial Regular"/>
                <w:lang w:val="en-US"/>
              </w:rPr>
              <w:t>[4].outstandingPrice}}</w:t>
            </w:r>
          </w:p>
        </w:tc>
      </w:tr>
      <w:tr w14:paraId="10C36970">
        <w:tc>
          <w:tcPr>
            <w:tcW w:w="1751" w:type="dxa"/>
          </w:tcPr>
          <w:p w14:paraId="79D0D5C7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2122" w:type="dxa"/>
          </w:tcPr>
          <w:p w14:paraId="4861165F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 w14:paraId="7889542C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968" w:type="dxa"/>
          </w:tcPr>
          <w:p w14:paraId="44102E66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605" w:type="dxa"/>
          </w:tcPr>
          <w:p w14:paraId="0A44BF1F">
            <w:pPr>
              <w:keepNext w:val="0"/>
              <w:keepLines w:val="0"/>
              <w:widowControl/>
              <w:suppressLineNumbers w:val="0"/>
              <w:rPr>
                <w:rFonts w:hint="default" w:ascii="Arial Regular" w:hAnsi="Arial Regular" w:cs="Arial Regular"/>
                <w:sz w:val="18"/>
                <w:szCs w:val="18"/>
                <w:vertAlign w:val="baseline"/>
                <w:lang w:val="en-US"/>
              </w:rPr>
            </w:pPr>
          </w:p>
        </w:tc>
      </w:tr>
    </w:tbl>
    <w:p w14:paraId="35AA2984">
      <w:pPr>
        <w:keepNext w:val="0"/>
        <w:keepLines w:val="0"/>
        <w:widowControl/>
        <w:suppressLineNumbers w:val="0"/>
        <w:rPr>
          <w:rFonts w:hint="default"/>
          <w:sz w:val="18"/>
          <w:szCs w:val="18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144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 Regular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422">
    <w:pPr>
      <w:ind w:left="-1160" w:right="-540" w:firstLine="0"/>
      <w:jc w:val="center"/>
    </w:pPr>
    <w:r>
      <w:rPr>
        <w:sz w:val="16"/>
        <w:szCs w:val="16"/>
        <w:rtl w:val="0"/>
      </w:rPr>
      <w:t>Address: Mafatlal Centre, 11th Floor, Nariman Point, Mumbai – 400 021 | Phone No. 022-41484529</w:t>
    </w:r>
    <w:r>
      <w:rPr>
        <w:sz w:val="16"/>
        <w:szCs w:val="16"/>
        <w:rtl w:val="0"/>
      </w:rPr>
      <w:br w:type="textWrapping"/>
    </w:r>
    <w:r>
      <w:rPr>
        <w:sz w:val="16"/>
        <w:szCs w:val="16"/>
        <w:rtl w:val="0"/>
      </w:rPr>
      <w:t xml:space="preserve">Website: www.dspfin.com | Email: </w:t>
    </w:r>
    <w:r>
      <w:fldChar w:fldCharType="begin"/>
    </w:r>
    <w:r>
      <w:instrText xml:space="preserve"> HYPERLINK "mailto:support@dspfin.com" \h </w:instrText>
    </w:r>
    <w:r>
      <w:fldChar w:fldCharType="separate"/>
    </w:r>
    <w:r>
      <w:rPr>
        <w:color w:val="AF005F"/>
        <w:sz w:val="16"/>
        <w:szCs w:val="16"/>
        <w:u w:val="none"/>
        <w:rtl w:val="0"/>
      </w:rPr>
      <w:t>support@dspfin.com</w:t>
    </w:r>
    <w:r>
      <w:rPr>
        <w:color w:val="AF005F"/>
        <w:sz w:val="16"/>
        <w:szCs w:val="16"/>
        <w:u w:val="none"/>
        <w:rtl w:val="0"/>
      </w:rPr>
      <w:fldChar w:fldCharType="end"/>
    </w:r>
    <w:r>
      <w:rPr>
        <w:sz w:val="16"/>
        <w:szCs w:val="16"/>
        <w:rtl w:val="0"/>
      </w:rPr>
      <w:t xml:space="preserve"> </w:t>
    </w:r>
    <w:r>
      <w:rPr>
        <w:color w:val="AF005F"/>
        <w:sz w:val="16"/>
        <w:szCs w:val="16"/>
        <w:rtl w:val="0"/>
      </w:rPr>
      <w:br w:type="textWrapping"/>
    </w:r>
    <w:r>
      <w:rPr>
        <w:color w:val="AF005F"/>
        <w:sz w:val="16"/>
        <w:szCs w:val="16"/>
        <w:rtl w:val="0"/>
      </w:rPr>
      <w:br w:type="textWrapping"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PAGE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41F">
    <w:pPr>
      <w:rPr>
        <w:b/>
        <w:sz w:val="20"/>
        <w:szCs w:val="20"/>
      </w:rPr>
    </w:pPr>
    <w:r>
      <w:rPr>
        <w:rtl w:val="0"/>
      </w:rPr>
      <w:t xml:space="preserve">                                                                                                     </w:t>
    </w:r>
    <w:r>
      <w:rPr>
        <w:b/>
        <w:sz w:val="20"/>
        <w:szCs w:val="20"/>
        <w:rtl w:val="0"/>
      </w:rPr>
      <w:t>DSP FINANCE PRIVATE LIMITED</w:t>
    </w:r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769745" cy="32575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9642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420">
    <w:pPr>
      <w:spacing w:line="240" w:lineRule="auto"/>
      <w:jc w:val="right"/>
      <w:rPr>
        <w:sz w:val="16"/>
        <w:szCs w:val="16"/>
      </w:rPr>
    </w:pPr>
    <w:r>
      <w:rPr>
        <w:sz w:val="16"/>
        <w:szCs w:val="16"/>
        <w:rtl w:val="0"/>
      </w:rPr>
      <w:t>CIN: U64920MH1996PTC099483</w:t>
    </w:r>
  </w:p>
  <w:p w14:paraId="000004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37F70261"/>
    <w:rsid w:val="3DFD6501"/>
    <w:rsid w:val="7EF6D99E"/>
    <w:rsid w:val="9D43F3A0"/>
    <w:rsid w:val="BBFF0126"/>
    <w:rsid w:val="CEEDEFAB"/>
    <w:rsid w:val="E3F71745"/>
    <w:rsid w:val="F1D55B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0"/>
    <w:rPr>
      <w:b/>
      <w:bCs/>
    </w:rPr>
  </w:style>
  <w:style w:type="paragraph" w:styleId="11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2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4">
    <w:name w:val="TableNormal"/>
    <w:uiPriority w:val="0"/>
  </w:style>
  <w:style w:type="table" w:customStyle="1" w:styleId="15">
    <w:name w:val="_Style 10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_Style 11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12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8">
    <w:name w:val="_Style 13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3</TotalTime>
  <ScaleCrop>false</ScaleCrop>
  <LinksUpToDate>false</LinksUpToDate>
  <Application>WPS Office_6.15.0.8733_F1E327BC-269C-435d-A152-05C5408002CA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2025-07-26T01:41:00Z</dcterms:created>
  <dc:creator>Data</dc:creator>
  <cp:lastModifiedBy>Akshat Sachan</cp:lastModifiedBy>
  <dcterms:modified xsi:type="dcterms:W3CDTF">2025-07-31T18:20:49Z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D3BE3ABC20C26FBBC3698368C088D4BD_43</vt:lpwstr>
  </property>
</Properties>
</file>